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hd w:fill="FFFFFF" w:val="clear"/>
        <w:kinsoku w:val="true"/>
        <w:overflowPunct w:val="true"/>
        <w:autoSpaceDE w:val="true"/>
        <w:bidi w:val="0"/>
        <w:snapToGrid w:val="true"/>
        <w:spacing w:lineRule="exact" w:line="560"/>
        <w:ind w:end="0"/>
        <w:jc w:val="end"/>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阳泉市市容和环境卫生管理条例</w:t>
      </w:r>
    </w:p>
    <w:p>
      <w:pPr>
        <w:pStyle w:val="Normal"/>
        <w:keepNext w:val="false"/>
        <w:keepLines w:val="false"/>
        <w:pageBreakBefore w:val="false"/>
        <w:kinsoku w:val="true"/>
        <w:overflowPunct w:val="true"/>
        <w:autoSpaceDE w:val="true"/>
        <w:bidi w:val="0"/>
        <w:snapToGrid w:val="true"/>
        <w:spacing w:lineRule="exact" w:line="560"/>
        <w:ind w:end="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w:t>
      </w:r>
      <w:r>
        <w:rPr>
          <w:rFonts w:eastAsia="楷体_GB2312" w:cs="楷体_GB2312" w:hint="eastAsia" w:ascii="楷体_GB2312" w:hAnsi="楷体_GB2312"/>
          <w:b w:val="false"/>
          <w:bCs w:val="false"/>
          <w:kern w:val="0"/>
          <w:sz w:val="32"/>
          <w:szCs w:val="32"/>
        </w:rPr>
        <w:t>2019</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2</w:t>
      </w: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22</w:t>
      </w:r>
      <w:r>
        <w:rPr>
          <w:rFonts w:ascii="楷体_GB2312" w:hAnsi="楷体_GB2312" w:cs="楷体_GB2312" w:hint="eastAsia" w:eastAsia="楷体_GB2312"/>
          <w:b w:val="false"/>
          <w:bCs w:val="false"/>
          <w:kern w:val="0"/>
          <w:sz w:val="32"/>
          <w:szCs w:val="32"/>
        </w:rPr>
        <w:t>日阳泉市第十五届人民代表大</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会常务委员会第二十一次会议通过　</w:t>
      </w:r>
      <w:r>
        <w:rPr>
          <w:rFonts w:eastAsia="楷体_GB2312" w:cs="楷体_GB2312" w:hint="eastAsia" w:ascii="楷体_GB2312" w:hAnsi="楷体_GB2312"/>
          <w:b w:val="false"/>
          <w:bCs w:val="false"/>
          <w:kern w:val="0"/>
          <w:sz w:val="32"/>
          <w:szCs w:val="32"/>
        </w:rPr>
        <w:t>2019</w:t>
      </w:r>
      <w:r>
        <w:rPr>
          <w:rFonts w:ascii="楷体_GB2312" w:hAnsi="楷体_GB2312" w:cs="楷体_GB2312" w:hint="eastAsia" w:eastAsia="楷体_GB2312"/>
          <w:b w:val="false"/>
          <w:bCs w:val="false"/>
          <w:kern w:val="0"/>
          <w:sz w:val="32"/>
          <w:szCs w:val="32"/>
        </w:rPr>
        <w:t>年</w:t>
      </w:r>
      <w:r>
        <w:rPr>
          <w:rFonts w:eastAsia="楷体_GB2312" w:cs="楷体_GB2312" w:hint="eastAsia" w:ascii="楷体_GB2312" w:hAnsi="楷体_GB2312"/>
          <w:b w:val="false"/>
          <w:bCs w:val="false"/>
          <w:kern w:val="0"/>
          <w:sz w:val="32"/>
          <w:szCs w:val="32"/>
        </w:rPr>
        <w:t>3</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月</w:t>
      </w:r>
      <w:r>
        <w:rPr>
          <w:rFonts w:eastAsia="楷体_GB2312" w:cs="楷体_GB2312" w:hint="eastAsia" w:ascii="楷体_GB2312" w:hAnsi="楷体_GB2312"/>
          <w:b w:val="false"/>
          <w:bCs w:val="false"/>
          <w:kern w:val="0"/>
          <w:sz w:val="32"/>
          <w:szCs w:val="32"/>
        </w:rPr>
        <w:t>22</w:t>
      </w:r>
      <w:r>
        <w:rPr>
          <w:rFonts w:ascii="楷体_GB2312" w:hAnsi="楷体_GB2312" w:cs="楷体_GB2312" w:hint="eastAsia" w:eastAsia="楷体_GB2312"/>
          <w:b w:val="false"/>
          <w:bCs w:val="false"/>
          <w:kern w:val="0"/>
          <w:sz w:val="32"/>
          <w:szCs w:val="32"/>
        </w:rPr>
        <w:t>日山西省第十三届人民代表大会常务委员</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b w:val="false"/>
          <w:bCs w:val="false"/>
          <w:kern w:val="0"/>
          <w:sz w:val="32"/>
          <w:szCs w:val="32"/>
        </w:rPr>
        <w:t>会第九次会议批准　</w:t>
      </w:r>
      <w:r>
        <w:rPr>
          <w:rFonts w:ascii="楷体_GB2312" w:hAnsi="楷体_GB2312" w:cs="楷体_GB2312" w:hint="eastAsia" w:eastAsia="楷体_GB2312"/>
          <w:kern w:val="0"/>
          <w:sz w:val="32"/>
          <w:szCs w:val="32"/>
        </w:rPr>
        <w:t>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w:t>
      </w:r>
      <w:r>
        <w:rPr>
          <w:rFonts w:ascii="楷体_GB2312" w:hAnsi="楷体_GB2312" w:cs="楷体_GB2312" w:hint="eastAsia" w:eastAsia="楷体_GB2312"/>
          <w:kern w:val="0"/>
          <w:sz w:val="32"/>
          <w:szCs w:val="32"/>
        </w:rPr>
        <w:t>阳泉</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市人民代表大会常务委员会《关于修改〈阳泉市</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道路交通安全管理条例〉等六部地方性法规的决</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kern w:val="0"/>
          <w:sz w:val="32"/>
          <w:szCs w:val="32"/>
        </w:rPr>
        <w:t>定》修正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日山西省第十三届人</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sz w:val="32"/>
          <w:szCs w:val="32"/>
        </w:rPr>
        <w:t>民代表大会常务委员会第二十一次会议批准</w:t>
      </w:r>
      <w:r>
        <w:rPr>
          <w:rFonts w:ascii="楷体_GB2312" w:hAnsi="楷体_GB2312" w:cs="楷体_GB2312" w:hint="eastAsia" w:eastAsia="楷体_GB2312"/>
          <w:b w:val="false"/>
          <w:bCs w:val="false"/>
          <w:kern w:val="0"/>
          <w:sz w:val="32"/>
          <w:szCs w:val="32"/>
        </w:rPr>
        <w:t>）</w:t>
      </w:r>
    </w:p>
    <w:p>
      <w:pPr>
        <w:pStyle w:val="Normal"/>
        <w:keepNext w:val="false"/>
        <w:keepLines w:val="false"/>
        <w:pageBreakBefore w:val="false"/>
        <w:kinsoku w:val="true"/>
        <w:overflowPunct w:val="true"/>
        <w:autoSpaceDE w:val="true"/>
        <w:bidi w:val="0"/>
        <w:snapToGrid w:val="true"/>
        <w:spacing w:lineRule="exact" w:line="560"/>
        <w:ind w:end="0"/>
        <w:jc w:val="both"/>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kinsoku w:val="true"/>
        <w:overflowPunct w:val="true"/>
        <w:autoSpaceDE w:val="true"/>
        <w:bidi w:val="0"/>
        <w:snapToGrid w:val="true"/>
        <w:spacing w:lineRule="exact" w:line="560"/>
        <w:ind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总  则</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市容和环境卫生责任区制度</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市容管理</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建筑物和构筑物管理</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道路和公共设施管理</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广告和照明管理</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u w:val="none"/>
        </w:rPr>
      </w:pPr>
      <w:r>
        <w:rPr>
          <w:rFonts w:ascii="楷体_GB2312" w:hAnsi="楷体_GB2312" w:cs="楷体_GB2312" w:hint="eastAsia" w:eastAsia="楷体_GB2312"/>
          <w:color w:val="000000"/>
          <w:sz w:val="32"/>
          <w:szCs w:val="32"/>
        </w:rPr>
        <w:t>环境卫生管理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u w:val="none"/>
        </w:rPr>
      </w:pPr>
      <w:r>
        <w:rPr>
          <w:rFonts w:ascii="楷体_GB2312" w:hAnsi="楷体_GB2312" w:cs="楷体_GB2312" w:hint="eastAsia" w:eastAsia="楷体_GB2312"/>
          <w:color w:val="000000"/>
          <w:sz w:val="32"/>
          <w:szCs w:val="32"/>
          <w:u w:val="none"/>
        </w:rPr>
        <w:t>环境卫生设施建设和管理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u w:val="none"/>
        </w:rPr>
      </w:pPr>
      <w:r>
        <w:rPr>
          <w:rFonts w:ascii="楷体_GB2312" w:hAnsi="楷体_GB2312" w:cs="楷体_GB2312" w:hint="eastAsia" w:eastAsia="楷体_GB2312"/>
          <w:color w:val="000000"/>
          <w:sz w:val="32"/>
          <w:szCs w:val="32"/>
          <w:u w:val="none"/>
        </w:rPr>
        <w:t>公共场所环境卫生管理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u w:val="none"/>
        </w:rPr>
      </w:pPr>
      <w:r>
        <w:rPr>
          <w:rFonts w:ascii="楷体_GB2312" w:hAnsi="楷体_GB2312" w:cs="楷体_GB2312" w:hint="eastAsia" w:eastAsia="楷体_GB2312"/>
          <w:color w:val="000000"/>
          <w:sz w:val="32"/>
          <w:szCs w:val="32"/>
          <w:u w:val="none"/>
        </w:rPr>
        <w:t>废弃物处置</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500" w:startChars="0" w:start="0" w:endChars="0" w:end="0"/>
        <w:textAlignment w:val="auto"/>
        <w:rPr>
          <w:rFonts w:ascii="楷体_GB2312" w:hAnsi="楷体_GB2312" w:eastAsia="楷体_GB2312" w:cs="楷体_GB2312" w:hint="eastAsia"/>
          <w:color w:val="000000"/>
          <w:sz w:val="32"/>
          <w:szCs w:val="32"/>
          <w:u w:val="none"/>
        </w:rPr>
      </w:pPr>
      <w:r>
        <w:rPr>
          <w:rFonts w:ascii="楷体_GB2312" w:hAnsi="楷体_GB2312" w:cs="楷体_GB2312" w:hint="eastAsia" w:eastAsia="楷体_GB2312"/>
          <w:color w:val="000000"/>
          <w:sz w:val="32"/>
          <w:szCs w:val="32"/>
          <w:u w:val="none"/>
        </w:rPr>
        <w:t>养犬管理</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法律责任</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附  则</w:t>
      </w:r>
    </w:p>
    <w:p>
      <w:pPr>
        <w:pStyle w:val="Normal"/>
        <w:keepNext w:val="false"/>
        <w:keepLines w:val="false"/>
        <w:pageBreakBefore w:val="false"/>
        <w:widowControl/>
        <w:shd w:fill="FFFFFF" w:val="clear"/>
        <w:kinsoku w:val="true"/>
        <w:overflowPunct w:val="true"/>
        <w:autoSpaceDE w:val="true"/>
        <w:bidi w:val="0"/>
        <w:snapToGrid w:val="true"/>
        <w:spacing w:lineRule="exact" w:line="560" w:before="345" w:after="345"/>
        <w:ind w:end="0"/>
        <w:jc w:val="center"/>
        <w:textAlignment w:val="auto"/>
        <w:rPr>
          <w:rFonts w:ascii="黑体" w:hAnsi="黑体" w:eastAsia="黑体" w:cs="宋体" w:hint="eastAsia"/>
          <w:color w:val="000000"/>
          <w:kern w:val="0"/>
          <w:sz w:val="32"/>
          <w:szCs w:val="32"/>
          <w:shd w:fill="FFFFFF" w:val="clear"/>
        </w:rPr>
      </w:pPr>
      <w:r>
        <w:rPr>
          <w:rFonts w:eastAsia="黑体" w:cs="宋体" w:hint="eastAsia" w:ascii="黑体" w:hAnsi="黑体"/>
          <w:color w:val="000000"/>
          <w:kern w:val="0"/>
          <w:sz w:val="32"/>
          <w:szCs w:val="32"/>
          <w:shd w:fill="FFFFFF" w:val="clear"/>
        </w:rPr>
      </w:r>
    </w:p>
    <w:p>
      <w:pPr>
        <w:pStyle w:val="Normal"/>
        <w:keepNext w:val="false"/>
        <w:keepLines w:val="false"/>
        <w:pageBreakBefore w:val="false"/>
        <w:widowControl/>
        <w:shd w:fill="FFFFFF" w:val="clear"/>
        <w:kinsoku w:val="true"/>
        <w:overflowPunct w:val="true"/>
        <w:autoSpaceDE w:val="true"/>
        <w:bidi w:val="0"/>
        <w:snapToGrid w:val="true"/>
        <w:spacing w:lineRule="exact" w:line="560" w:before="345" w:after="345"/>
        <w:ind w:end="0"/>
        <w:jc w:val="center"/>
        <w:textAlignment w:val="auto"/>
        <w:rPr>
          <w:rFonts w:ascii="宋体" w:hAnsi="宋体" w:eastAsia="仿宋_GB2312" w:cs="宋体"/>
          <w:kern w:val="0"/>
          <w:sz w:val="27"/>
          <w:szCs w:val="27"/>
        </w:rPr>
      </w:pPr>
      <w:r>
        <w:rPr>
          <w:rFonts w:ascii="黑体" w:hAnsi="黑体" w:cs="宋体" w:hint="eastAsia" w:eastAsia="黑体"/>
          <w:kern w:val="0"/>
          <w:sz w:val="32"/>
          <w:szCs w:val="32"/>
          <w:shd w:fill="FFFFFF" w:val="clear"/>
        </w:rPr>
        <w:t>第一章</w:t>
      </w:r>
      <w:r>
        <w:rPr>
          <w:rFonts w:ascii="宋体" w:hAnsi="宋体" w:cs="宋体" w:hint="eastAsia" w:eastAsia="仿宋_GB2312"/>
          <w:kern w:val="0"/>
          <w:sz w:val="32"/>
          <w:szCs w:val="32"/>
          <w:shd w:fill="FFFFFF" w:val="clear"/>
        </w:rPr>
        <w:t xml:space="preserve"> </w:t>
      </w:r>
      <w:r>
        <w:rPr>
          <w:rFonts w:ascii="黑体" w:hAnsi="黑体" w:cs="宋体" w:hint="eastAsia" w:eastAsia="黑体"/>
          <w:kern w:val="0"/>
          <w:sz w:val="32"/>
          <w:szCs w:val="32"/>
          <w:shd w:fill="FFFFFF" w:val="clear"/>
        </w:rPr>
        <w:t>总</w:t>
      </w:r>
      <w:r>
        <w:rPr>
          <w:rFonts w:ascii="宋体" w:hAnsi="宋体" w:cs="宋体" w:hint="eastAsia" w:eastAsia="仿宋_GB2312"/>
          <w:kern w:val="0"/>
          <w:sz w:val="32"/>
          <w:szCs w:val="32"/>
          <w:shd w:fill="FFFFFF" w:val="clear"/>
        </w:rPr>
        <w:t xml:space="preserve"> </w:t>
      </w:r>
      <w:r>
        <w:rPr>
          <w:rFonts w:ascii="黑体" w:hAnsi="黑体" w:cs="宋体" w:hint="eastAsia" w:eastAsia="黑体"/>
          <w:kern w:val="0"/>
          <w:sz w:val="32"/>
          <w:szCs w:val="32"/>
          <w:shd w:fill="FFFFFF" w:val="clear"/>
        </w:rPr>
        <w:t>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第一条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为了加强市容和环境卫生管理，创造和维护整洁、优美、文明的城市环境，根据国务院《城市市容和环境卫生管理条例》《山西省城乡环境综合治理条例》等有关规定，结合本市实际，制定本条例。</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第二条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本条例适用于本市建成区以及实行城市化管理的其他区域。</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实行城市化管理的其他区域由市人民政府确定并公布。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第三条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市容和环境卫生管理工作实行政府统一领导、分区负责、公众参与、社会监督的原则。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第四条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市、县（区）人民政府应当将市容和环境卫生事业纳入国民经济和社会发展规划，保障市容和环境卫生事业所需经费，不断完善市容和环境卫生设施，提高城市公共服务水平。</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市、县（区）人民政府市容和环境卫生行政主管部门负责本行政区域内市容和环境卫生管理工作；其他部门按照各自职责</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共同做好市容和环境卫生管理的相关工作。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rPr>
        <w:t>第五条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市、县（区）人民政府市容和环境卫生行政主管部门应当建立健全市容和环境卫生行政执法监督举报制度、投诉受理制度、</w:t>
      </w:r>
      <w:r>
        <w:rPr>
          <w:rFonts w:ascii="仿宋" w:hAnsi="仿宋" w:cs="仿宋" w:hint="eastAsia" w:eastAsia="仿宋_GB2312"/>
          <w:b w:val="false"/>
          <w:i w:val="false"/>
          <w:color w:val="000000"/>
          <w:sz w:val="32"/>
          <w:szCs w:val="32"/>
          <w:u w:val="none"/>
        </w:rPr>
        <w:t>巡查</w:t>
      </w:r>
      <w:r>
        <w:rPr>
          <w:rFonts w:ascii="仿宋" w:hAnsi="仿宋" w:cs="仿宋" w:hint="eastAsia" w:eastAsia="仿宋_GB2312"/>
          <w:b w:val="false"/>
          <w:i w:val="false"/>
          <w:color w:val="000000"/>
          <w:sz w:val="32"/>
          <w:szCs w:val="32"/>
        </w:rPr>
        <w:t>监督制度，规范综合执法机构的处置权限和处置程序，</w:t>
      </w:r>
      <w:r>
        <w:rPr>
          <w:rFonts w:ascii="仿宋" w:hAnsi="仿宋" w:cs="仿宋" w:hint="eastAsia" w:eastAsia="仿宋_GB2312"/>
          <w:b w:val="false"/>
          <w:i w:val="false"/>
          <w:color w:val="000000"/>
          <w:sz w:val="32"/>
          <w:szCs w:val="32"/>
          <w:u w:val="none"/>
        </w:rPr>
        <w:t>向社会公布投诉举报电话，及时处理市容和环境卫生管理违法行为。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第六条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市、县（区）人民政府应当加强市容和环境卫生法律、法规的宣传。</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single"/>
        </w:rPr>
      </w:pPr>
      <w:r>
        <w:rPr>
          <w:rFonts w:ascii="仿宋" w:hAnsi="仿宋" w:cs="仿宋" w:hint="eastAsia" w:eastAsia="仿宋_GB2312"/>
          <w:b w:val="false"/>
          <w:i w:val="false"/>
          <w:color w:val="000000"/>
          <w:sz w:val="32"/>
          <w:szCs w:val="32"/>
        </w:rPr>
        <w:t>报刊、广播、电视、网络等新闻媒体应当对市容和环境卫生知识进行普及宣传，引导公民树立维护市容和环境卫生的责任意识。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第七条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市、县（区）人民政府应当加强市容和环境卫生管理信息化建设，整合市容和环境卫生行政主管部门与公安、生态环境、市场监督管理等部门的信息资源，建立信息互通共享机制。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第八条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市、县（区）人民政府应当引导单位和个人参与市容和环境卫生治理活动。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居（村）民委员会应当制定市容和环境卫生公约，引导居（村）民参与市容和环境卫生治理工作。</w:t>
      </w:r>
    </w:p>
    <w:p>
      <w:pPr>
        <w:pStyle w:val="Normal"/>
        <w:keepNext w:val="false"/>
        <w:keepLines w:val="false"/>
        <w:pageBreakBefore w:val="false"/>
        <w:widowControl w:val="false"/>
        <w:kinsoku w:val="true"/>
        <w:overflowPunct w:val="true"/>
        <w:autoSpaceDE w:val="true"/>
        <w:bidi w:val="0"/>
        <w:snapToGrid w:val="true"/>
        <w:spacing w:lineRule="exact" w:line="560" w:before="345" w:after="345"/>
        <w:ind w:end="0"/>
        <w:jc w:val="center"/>
        <w:textAlignment w:val="auto"/>
        <w:rPr>
          <w:rFonts w:ascii="黑体" w:hAnsi="黑体" w:eastAsia="黑体" w:cs="Times New Roman" w:hint="eastAsia"/>
          <w:color w:val="000000"/>
          <w:sz w:val="32"/>
          <w:szCs w:val="32"/>
        </w:rPr>
      </w:pPr>
      <w:r>
        <w:rPr>
          <w:rFonts w:ascii="黑体" w:hAnsi="黑体" w:cs="黑体" w:hint="eastAsia" w:eastAsia="黑体"/>
          <w:color w:val="000000"/>
          <w:sz w:val="32"/>
          <w:szCs w:val="32"/>
        </w:rPr>
        <w:t>第二章 市容和环境卫生责任区制度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第九条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本市实行市容和环境卫生责任区制度。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市容和环境卫生责任区，按照下列规定划分：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（一）城市道路、街巷、过街天桥、地下通道、公共广场等城市公共区域，公共厕所、垃圾转运站以及其他环境卫生公共设施，由县（区）市容和环境卫生行政主管部门负责；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（二）实行物业管理的居住区，由物业管理企业负责；未实行物业管理的居住区、城中村、背街小巷由乡（镇）人民政府、街道办事处负责；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（三）铁路、公路、涵洞、河道、水域以及其他附属设施，由相关管理单位负责；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single"/>
        </w:rPr>
      </w:pPr>
      <w:r>
        <w:rPr>
          <w:rFonts w:ascii="仿宋" w:hAnsi="仿宋" w:cs="仿宋" w:hint="eastAsia" w:eastAsia="仿宋_GB2312"/>
          <w:b w:val="false"/>
          <w:i w:val="false"/>
          <w:color w:val="000000"/>
          <w:sz w:val="32"/>
          <w:szCs w:val="32"/>
        </w:rPr>
        <w:t>（四）</w:t>
      </w:r>
      <w:r>
        <w:rPr>
          <w:rFonts w:ascii="仿宋" w:hAnsi="仿宋" w:cs="仿宋" w:hint="eastAsia" w:eastAsia="仿宋_GB2312"/>
          <w:b w:val="false"/>
          <w:i w:val="false"/>
          <w:color w:val="000000"/>
          <w:sz w:val="32"/>
          <w:szCs w:val="32"/>
          <w:u w:val="none"/>
        </w:rPr>
        <w:t>文化、体育、娱乐、旅游景区、公园（公共绿地）、城市小游园、车站、农贸市场、商铺和停车场等公共场所以及报刊亭、候车亭、户外广告等临街设施，由经营、管理、产权单位负责；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（五）国家机关、社会团体、企业事业单位内部以及规划红线范围内的区域，由管理、产权、使用单位负责；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（六）电力、通讯、邮政、供水、供气、供热以及空中管线等公共设施，由管理、产权单位负责；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（七）</w:t>
      </w:r>
      <w:r>
        <w:rPr>
          <w:rFonts w:ascii="仿宋" w:hAnsi="仿宋" w:cs="仿宋" w:hint="eastAsia" w:eastAsia="仿宋_GB2312"/>
          <w:b w:val="false"/>
          <w:i w:val="false"/>
          <w:color w:val="000000"/>
          <w:sz w:val="32"/>
          <w:szCs w:val="32"/>
          <w:u w:val="none"/>
        </w:rPr>
        <w:t>在建</w:t>
      </w:r>
      <w:r>
        <w:rPr>
          <w:rFonts w:ascii="仿宋" w:hAnsi="仿宋" w:cs="仿宋" w:hint="eastAsia" w:eastAsia="仿宋_GB2312"/>
          <w:b w:val="false"/>
          <w:i w:val="false"/>
          <w:color w:val="000000"/>
          <w:sz w:val="32"/>
          <w:szCs w:val="32"/>
        </w:rPr>
        <w:t>施工工地由施工单位负责，待建、停建工程工地由建设单位或者所有权人负责；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rPr>
        <w:t>（八）</w:t>
      </w:r>
      <w:r>
        <w:rPr>
          <w:rFonts w:ascii="仿宋" w:hAnsi="仿宋" w:cs="仿宋" w:hint="eastAsia" w:eastAsia="仿宋_GB2312"/>
          <w:b w:val="false"/>
          <w:i w:val="false"/>
          <w:color w:val="000000"/>
          <w:sz w:val="32"/>
          <w:szCs w:val="32"/>
          <w:u w:val="none"/>
        </w:rPr>
        <w:t>下水主管网、</w:t>
      </w:r>
      <w:r>
        <w:rPr>
          <w:rFonts w:ascii="仿宋" w:hAnsi="仿宋" w:cs="仿宋" w:hint="eastAsia" w:eastAsia="仿宋_GB2312"/>
          <w:b w:val="false"/>
          <w:i w:val="false"/>
          <w:color w:val="000000"/>
          <w:sz w:val="32"/>
          <w:szCs w:val="32"/>
        </w:rPr>
        <w:t>化粪池由管理单位负责。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确定责任区时，所有权人、管理人、使用人之间约定管理责任的，由约定的责任人负责；范围和权属划分不清或者有争议的，由具有管辖权的市、县（区）人民政府予以确定。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市、县</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区</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人民政府应当和责任单位、责任人签订责任书，并负责指导、监督、检查、通报市容和环境卫生责任区的责任落实情况。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市、县</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区</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人民政府市容和环境卫生行政主管部门应当建立责任区公示制度，向社会公开责任单位、责任人、责任区范围和联系方式，方便群众监督。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第十一条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市容和环境卫生责任单位和责任人，应当履行下列职责：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（一）保持市容和环境卫生整洁；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（二）保持环境卫生设施完好；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（三）遇有降雪结冰，及时清除积雪残冰；</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（四）市容和环境卫生管理的其他工作。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市容和环境卫生责任单位、责任人对责任区内违反市容和环境卫生管理规定的行为，应当予以劝阻、制止；对不听劝阻、制止的，应当及时向相关执法部门报告。</w:t>
      </w:r>
    </w:p>
    <w:p>
      <w:pPr>
        <w:pStyle w:val="Normal"/>
        <w:keepNext w:val="false"/>
        <w:keepLines w:val="false"/>
        <w:pageBreakBefore w:val="false"/>
        <w:widowControl w:val="false"/>
        <w:kinsoku w:val="true"/>
        <w:overflowPunct w:val="true"/>
        <w:autoSpaceDE w:val="true"/>
        <w:bidi w:val="0"/>
        <w:snapToGrid w:val="true"/>
        <w:spacing w:lineRule="exact" w:line="560" w:before="345" w:after="345"/>
        <w:ind w:end="0"/>
        <w:jc w:val="center"/>
        <w:textAlignment w:val="auto"/>
        <w:rPr>
          <w:rFonts w:ascii="华文楷体" w:hAnsi="华文楷体" w:eastAsia="华文楷体" w:cs="华文楷体" w:hint="eastAsia"/>
          <w:color w:val="000000"/>
          <w:sz w:val="32"/>
          <w:szCs w:val="32"/>
        </w:rPr>
      </w:pPr>
      <w:r>
        <w:rPr>
          <w:rFonts w:ascii="黑体" w:hAnsi="黑体" w:cs="黑体" w:hint="eastAsia" w:eastAsia="黑体"/>
          <w:color w:val="000000"/>
          <w:sz w:val="32"/>
          <w:szCs w:val="32"/>
        </w:rPr>
        <w:t>第三章 市容管理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第一节 建筑物和构筑物管理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华文楷体" w:hAnsi="华文楷体" w:eastAsia="华文楷体" w:cs="华文楷体" w:hint="eastAsia"/>
          <w:color w:val="000000"/>
          <w:sz w:val="32"/>
          <w:szCs w:val="32"/>
        </w:rPr>
      </w:pPr>
      <w:r>
        <w:rPr>
          <w:rFonts w:eastAsia="华文楷体" w:cs="华文楷体" w:hint="eastAsia" w:ascii="华文楷体" w:hAnsi="华文楷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第十二条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临街建筑物、构筑物外立面应当按照批准的设计方案进行建设或者改造，保持整洁、完好、美观。外立面出现残损、变色、污渍等影响市容美观的，由责任人负责维修。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第十三条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临街建筑物、构筑物外安装窗栏、遮阳篷、空调室外机、排气扇、油烟机等设施，应当规范设置、保持整洁。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禁止在临街建筑物、构筑物的未封闭阳台、门窗外、屋顶、平台，放置、悬挂、晾晒有碍市容的物品。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禁止在道路、广场等公共场所，放置、晾晒有碍市容的物品。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第十四条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在道路或者其他公共场地设置照明、交通、监控、通讯、电力等设施，应当符合相关设置规划、标准；有条件的应当合并设置。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架空的管线，应当采取套管、捆扎等措施进行隐蔽，有条件的应当改造入地。</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管线设施应当保持整洁、完好、牢固、安全，出现污浊、腐蚀、破损的，设置单位应当及时整理、清洗、修复、拆除或者更换。</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第十五条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u w:val="none"/>
        </w:rPr>
        <w:t>禁止</w:t>
      </w:r>
      <w:r>
        <w:rPr>
          <w:rFonts w:ascii="仿宋" w:hAnsi="仿宋" w:cs="仿宋" w:hint="eastAsia" w:eastAsia="仿宋_GB2312"/>
          <w:b w:val="false"/>
          <w:i w:val="false"/>
          <w:color w:val="000000"/>
          <w:sz w:val="32"/>
          <w:szCs w:val="32"/>
        </w:rPr>
        <w:t>单位和个人擅自在城市道路两侧或者其他公共场地堆放物料、搭建建筑物和构筑物；经过批准临时堆放或者搭建的，应当保持周边环境卫生整洁，并在占用结束后及时恢复原状。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第十六条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rPr>
        <w:t>土地收储、拆除拆迁、房屋建筑、市政、园林、道路交通各类工程施工现场应当按照规定设置围挡、施工标志牌和警示标志。除应急工程外，施工现场应当</w:t>
      </w:r>
      <w:r>
        <w:rPr>
          <w:rFonts w:ascii="仿宋" w:hAnsi="仿宋" w:cs="仿宋" w:hint="eastAsia" w:eastAsia="仿宋_GB2312"/>
          <w:b w:val="false"/>
          <w:i w:val="false"/>
          <w:color w:val="000000"/>
          <w:sz w:val="32"/>
          <w:szCs w:val="32"/>
          <w:u w:val="none"/>
        </w:rPr>
        <w:t>硬化出入口、设置车辆冲洗装置和现场监控装置，并和主管部门联网，</w:t>
      </w:r>
      <w:r>
        <w:rPr>
          <w:rFonts w:ascii="仿宋" w:hAnsi="仿宋" w:cs="仿宋" w:hint="eastAsia" w:eastAsia="仿宋_GB2312"/>
          <w:b w:val="false"/>
          <w:i w:val="false"/>
          <w:color w:val="000000"/>
          <w:sz w:val="32"/>
          <w:szCs w:val="32"/>
        </w:rPr>
        <w:t>现场物料、机具应当放置整齐，于完工后清理并恢复原状。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eastAsia="仿宋_GB2312" w:cs="仿宋" w:hint="eastAsia" w:ascii="仿宋" w:hAnsi="仿宋"/>
          <w:b w:val="false"/>
          <w:i w:val="false"/>
          <w:color w:val="000000"/>
          <w:sz w:val="32"/>
          <w:szCs w:val="32"/>
        </w:rPr>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 xml:space="preserve">第二节 </w:t>
      </w:r>
      <w:r>
        <w:rPr>
          <w:rFonts w:ascii="宋体" w:hAnsi="宋体" w:cs="宋体" w:hint="eastAsia"/>
          <w:color w:val="000000"/>
          <w:sz w:val="32"/>
          <w:szCs w:val="32"/>
        </w:rPr>
        <w:t>道路和公共设施管理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第十七条</w:t>
      </w:r>
      <w:r>
        <w:rPr>
          <w:rFonts w:ascii="仿宋" w:hAnsi="仿宋" w:cs="仿宋" w:hint="eastAsia" w:eastAsia="仿宋_GB2312"/>
          <w:b w:val="false"/>
          <w:i w:val="false"/>
          <w:color w:val="000000"/>
          <w:sz w:val="32"/>
          <w:szCs w:val="32"/>
        </w:rPr>
        <w:t xml:space="preserve"> 道路、广场等公共场地应当保持平整、完好，在道路、公共场地设置的井盖、沟盖、篦子等设施应当保持正位、完好。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公共场地及设施发生塌陷、破损、隆起、缺失、移位、堵塞等情况，责任单位、责任人应当立即修复；不能立即修复的，应当设立警示标志，在规定的期限内修复。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无法确定产权单位的公共场地设施发生破损、缺失、移位、堵塞等情况，由市、县（区）人民政府城市管理综合行政执法部门或者所在地的乡（镇）人民政府、街道办事处按照应急管理程序处置。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第十八条</w:t>
      </w:r>
      <w:r>
        <w:rPr>
          <w:rFonts w:ascii="仿宋" w:hAnsi="仿宋" w:cs="仿宋" w:hint="eastAsia" w:eastAsia="仿宋_GB2312"/>
          <w:b w:val="false"/>
          <w:i w:val="false"/>
          <w:color w:val="000000"/>
          <w:sz w:val="32"/>
          <w:szCs w:val="32"/>
        </w:rPr>
        <w:t xml:space="preserve"> 共享交通工具的经营者和</w:t>
      </w:r>
      <w:r>
        <w:rPr>
          <w:rFonts w:ascii="仿宋" w:hAnsi="仿宋" w:cs="仿宋" w:hint="eastAsia" w:eastAsia="仿宋_GB2312"/>
          <w:b w:val="false"/>
          <w:i w:val="false"/>
          <w:color w:val="000000"/>
          <w:sz w:val="32"/>
          <w:szCs w:val="32"/>
          <w:u w:val="none"/>
        </w:rPr>
        <w:t>使用者</w:t>
      </w:r>
      <w:r>
        <w:rPr>
          <w:rFonts w:ascii="仿宋" w:hAnsi="仿宋" w:cs="仿宋" w:hint="eastAsia" w:eastAsia="仿宋_GB2312"/>
          <w:b w:val="false"/>
          <w:i w:val="false"/>
          <w:color w:val="000000"/>
          <w:sz w:val="32"/>
          <w:szCs w:val="32"/>
        </w:rPr>
        <w:t>应当在规定的区域存放共享交通工具；经营者应当安排专人管理，使用者应当文明使用，保持共享交通工具排列有序。</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第十九条</w:t>
      </w:r>
      <w:r>
        <w:rPr>
          <w:rFonts w:ascii="仿宋" w:hAnsi="仿宋" w:cs="仿宋" w:hint="eastAsia" w:eastAsia="仿宋_GB2312"/>
          <w:b w:val="false"/>
          <w:i w:val="false"/>
          <w:color w:val="000000"/>
          <w:sz w:val="32"/>
          <w:szCs w:val="32"/>
        </w:rPr>
        <w:t xml:space="preserve"> 任何单位和个人不得</w:t>
      </w:r>
      <w:r>
        <w:rPr>
          <w:rFonts w:ascii="仿宋" w:hAnsi="仿宋" w:cs="仿宋" w:hint="eastAsia" w:eastAsia="仿宋_GB2312"/>
          <w:b w:val="false"/>
          <w:i w:val="false"/>
          <w:color w:val="000000"/>
          <w:sz w:val="32"/>
          <w:szCs w:val="32"/>
          <w:u w:val="none"/>
        </w:rPr>
        <w:t>擅自</w:t>
      </w:r>
      <w:r>
        <w:rPr>
          <w:rFonts w:ascii="仿宋" w:hAnsi="仿宋" w:cs="仿宋" w:hint="eastAsia" w:eastAsia="仿宋_GB2312"/>
          <w:b w:val="false"/>
          <w:i w:val="false"/>
          <w:color w:val="000000"/>
          <w:sz w:val="32"/>
          <w:szCs w:val="32"/>
        </w:rPr>
        <w:t>占用道路、桥梁、人行天桥、地下通道、广场以及其他公共场所从事摆摊设点、兜售物品等经营活动。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临街和广场周边的经营者不得</w:t>
      </w:r>
      <w:r>
        <w:rPr>
          <w:rFonts w:ascii="仿宋" w:hAnsi="仿宋" w:cs="仿宋" w:hint="eastAsia" w:eastAsia="仿宋_GB2312"/>
          <w:b w:val="false"/>
          <w:bCs w:val="false"/>
          <w:i w:val="false"/>
          <w:color w:val="000000"/>
          <w:sz w:val="32"/>
          <w:szCs w:val="32"/>
          <w:u w:val="none"/>
        </w:rPr>
        <w:t>擅自</w:t>
      </w:r>
      <w:r>
        <w:rPr>
          <w:rFonts w:ascii="仿宋" w:hAnsi="仿宋" w:cs="仿宋" w:hint="eastAsia" w:eastAsia="仿宋_GB2312"/>
          <w:b w:val="false"/>
          <w:i w:val="false"/>
          <w:color w:val="000000"/>
          <w:sz w:val="32"/>
          <w:szCs w:val="32"/>
        </w:rPr>
        <w:t>超出经营场地经营、作业或者展示商品。</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华文楷体" w:hAnsi="华文楷体" w:eastAsia="华文楷体" w:cs="华文楷体" w:hint="eastAsia"/>
          <w:b w:val="false"/>
          <w:i w:val="false"/>
          <w:color w:val="000000"/>
          <w:sz w:val="32"/>
          <w:szCs w:val="32"/>
        </w:rPr>
      </w:pPr>
      <w:r>
        <w:rPr>
          <w:rFonts w:eastAsia="华文楷体" w:cs="华文楷体" w:hint="eastAsia" w:ascii="华文楷体" w:hAnsi="华文楷体"/>
          <w:b w:val="false"/>
          <w:i w:val="false"/>
          <w:color w:val="000000"/>
          <w:sz w:val="32"/>
          <w:szCs w:val="32"/>
        </w:rPr>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cs="宋体" w:hint="eastAsia"/>
          <w:color w:val="000000"/>
          <w:sz w:val="32"/>
          <w:szCs w:val="32"/>
        </w:rPr>
      </w:pPr>
      <w:r>
        <w:rPr>
          <w:rFonts w:ascii="宋体" w:hAnsi="宋体" w:cs="宋体" w:hint="eastAsia"/>
          <w:color w:val="000000"/>
          <w:sz w:val="32"/>
          <w:szCs w:val="32"/>
        </w:rPr>
        <w:t>第三节 广告和照明管理</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both"/>
        <w:textAlignment w:val="auto"/>
        <w:rPr>
          <w:rFonts w:ascii="华文楷体" w:hAnsi="华文楷体" w:eastAsia="华文楷体" w:cs="华文楷体" w:hint="eastAsia"/>
          <w:color w:val="000000"/>
          <w:sz w:val="32"/>
          <w:szCs w:val="32"/>
        </w:rPr>
      </w:pPr>
      <w:r>
        <w:rPr>
          <w:rFonts w:eastAsia="华文楷体" w:cs="华文楷体" w:hint="eastAsia" w:ascii="华文楷体" w:hAnsi="华文楷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第二十条</w:t>
      </w:r>
      <w:r>
        <w:rPr>
          <w:rFonts w:ascii="仿宋" w:hAnsi="仿宋" w:cs="仿宋" w:hint="eastAsia" w:eastAsia="仿宋_GB2312"/>
          <w:b w:val="false"/>
          <w:i w:val="false"/>
          <w:color w:val="000000"/>
          <w:sz w:val="32"/>
          <w:szCs w:val="32"/>
        </w:rPr>
        <w:t xml:space="preserve"> 临街招牌、路牌、展示牌、橱窗、广告栏、宣传栏、招贴栏、阅报栏、霓虹灯、电子显示屏、门头牌匾、灯箱、雕塑等户外广告应当保持整洁、牢固，符合有关法律、法规的规定和技术规范。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none"/>
        </w:rPr>
      </w:pPr>
      <w:r>
        <w:rPr>
          <w:rFonts w:ascii="宋体" w:hAnsi="宋体" w:cs="宋体" w:hint="eastAsia" w:eastAsia="黑体"/>
          <w:b w:val="false"/>
          <w:bCs/>
          <w:i w:val="false"/>
          <w:color w:val="000000"/>
          <w:sz w:val="32"/>
          <w:szCs w:val="32"/>
        </w:rPr>
        <w:t>第二十一条</w:t>
      </w:r>
      <w:r>
        <w:rPr>
          <w:rFonts w:ascii="仿宋" w:hAnsi="仿宋" w:cs="仿宋" w:hint="eastAsia" w:eastAsia="仿宋_GB2312"/>
          <w:b w:val="false"/>
          <w:i w:val="false"/>
          <w:color w:val="000000"/>
          <w:sz w:val="32"/>
          <w:szCs w:val="32"/>
        </w:rPr>
        <w:t xml:space="preserve"> 未经批准</w:t>
      </w:r>
      <w:r>
        <w:rPr>
          <w:rFonts w:ascii="仿宋" w:hAnsi="仿宋" w:cs="仿宋" w:hint="eastAsia" w:eastAsia="仿宋_GB2312"/>
          <w:b w:val="false"/>
          <w:i w:val="false"/>
          <w:color w:val="000000"/>
          <w:sz w:val="32"/>
          <w:szCs w:val="32"/>
          <w:u w:val="none"/>
        </w:rPr>
        <w:t>禁止单位和个人在城市道路、建筑物、构筑物、树木、市政设施上以及居民区涂写、刻画、张贴广告。</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第二十二条</w:t>
      </w:r>
      <w:r>
        <w:rPr>
          <w:rFonts w:ascii="仿宋" w:hAnsi="仿宋" w:cs="仿宋" w:hint="eastAsia" w:eastAsia="仿宋_GB2312"/>
          <w:b w:val="false"/>
          <w:i w:val="false"/>
          <w:color w:val="000000"/>
          <w:sz w:val="32"/>
          <w:szCs w:val="32"/>
        </w:rPr>
        <w:t xml:space="preserve"> 在建筑物、构筑物外立面设置的招牌，应当和建筑物、构筑物以及周边环境相协调，并保持整洁美观，出现破损、褪色、脏污、字体残缺的，设置者应当及时维修。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第二十三条</w:t>
      </w:r>
      <w:r>
        <w:rPr>
          <w:rFonts w:ascii="仿宋" w:hAnsi="仿宋" w:cs="仿宋" w:hint="eastAsia" w:eastAsia="仿宋_GB2312"/>
          <w:b w:val="false"/>
          <w:i w:val="false"/>
          <w:color w:val="000000"/>
          <w:sz w:val="32"/>
          <w:szCs w:val="32"/>
        </w:rPr>
        <w:t xml:space="preserve"> 城市道路、街区、景区、公共场所等设置的照明设施，责任人应当加强日常维护，保持设施完好、安全运行。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第二十四条</w:t>
      </w:r>
      <w:r>
        <w:rPr>
          <w:rFonts w:ascii="仿宋" w:hAnsi="仿宋" w:cs="仿宋" w:hint="eastAsia" w:eastAsia="仿宋_GB2312"/>
          <w:b w:val="false"/>
          <w:i w:val="false"/>
          <w:color w:val="000000"/>
          <w:sz w:val="32"/>
          <w:szCs w:val="32"/>
        </w:rPr>
        <w:t xml:space="preserve"> 设置重大节日道路灯光、景观区灯展、楼体灯饰、大型电子屏等设施，应当符合下列规定</w:t>
      </w:r>
      <w:r>
        <w:rPr>
          <w:rFonts w:eastAsia="仿宋_GB2312" w:cs="仿宋" w:hint="eastAsia" w:ascii="仿宋" w:hAnsi="仿宋"/>
          <w:b w:val="false"/>
          <w:i w:val="false"/>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（一）美观、整洁，不影响白昼的景观效果；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（二）安全、环保、节能；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（三）局部景观灯饰效果和周边环境协调；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（四）不影响道路交通安全和市民正常生活。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color w:val="000000"/>
          <w:sz w:val="32"/>
          <w:szCs w:val="32"/>
        </w:rPr>
      </w:pPr>
      <w:r>
        <w:rPr>
          <w:rFonts w:ascii="仿宋" w:hAnsi="仿宋" w:cs="仿宋" w:hint="eastAsia" w:eastAsia="仿宋_GB2312"/>
          <w:b w:val="false"/>
          <w:i w:val="false"/>
          <w:color w:val="000000"/>
          <w:sz w:val="32"/>
          <w:szCs w:val="32"/>
        </w:rPr>
        <w:t>城市夜景灯饰设施所有权人或者管理人应当保持设施完好，定时启闭；任何单位和个人不得损坏、移动、拆除。</w:t>
      </w:r>
    </w:p>
    <w:p>
      <w:pPr>
        <w:pStyle w:val="Normal"/>
        <w:keepNext w:val="false"/>
        <w:keepLines w:val="false"/>
        <w:pageBreakBefore w:val="false"/>
        <w:widowControl w:val="false"/>
        <w:kinsoku w:val="true"/>
        <w:overflowPunct w:val="true"/>
        <w:autoSpaceDE w:val="true"/>
        <w:bidi w:val="0"/>
        <w:snapToGrid w:val="true"/>
        <w:spacing w:lineRule="exact" w:line="560" w:before="345" w:after="345"/>
        <w:ind w:end="0"/>
        <w:jc w:val="center"/>
        <w:textAlignment w:val="auto"/>
        <w:rPr>
          <w:rFonts w:ascii="黑体" w:hAnsi="黑体" w:eastAsia="黑体" w:cs="Times New Roman"/>
          <w:color w:val="000000"/>
          <w:sz w:val="32"/>
          <w:szCs w:val="32"/>
        </w:rPr>
      </w:pPr>
      <w:r>
        <w:rPr>
          <w:rFonts w:ascii="黑体" w:hAnsi="黑体" w:cs="黑体" w:hint="eastAsia" w:eastAsia="黑体"/>
          <w:color w:val="000000"/>
          <w:sz w:val="32"/>
          <w:szCs w:val="32"/>
        </w:rPr>
        <w:t>第四章 环境卫生管理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cs="宋体" w:hint="eastAsia"/>
          <w:color w:val="000000"/>
          <w:sz w:val="32"/>
          <w:szCs w:val="32"/>
        </w:rPr>
      </w:pPr>
      <w:r>
        <w:rPr>
          <w:rFonts w:ascii="宋体" w:hAnsi="宋体" w:cs="宋体" w:hint="eastAsia"/>
          <w:color w:val="000000"/>
          <w:sz w:val="32"/>
          <w:szCs w:val="32"/>
        </w:rPr>
        <w:t>第一节 环境卫生设施建设和管理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华文楷体" w:hAnsi="华文楷体" w:eastAsia="华文楷体" w:cs="华文楷体" w:hint="eastAsia"/>
          <w:color w:val="000000"/>
          <w:sz w:val="32"/>
          <w:szCs w:val="32"/>
        </w:rPr>
      </w:pPr>
      <w:r>
        <w:rPr>
          <w:rFonts w:eastAsia="华文楷体" w:cs="华文楷体" w:hint="eastAsia" w:ascii="华文楷体" w:hAnsi="华文楷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第二十五条</w:t>
      </w:r>
      <w:r>
        <w:rPr>
          <w:rFonts w:ascii="仿宋" w:hAnsi="仿宋" w:cs="仿宋" w:hint="eastAsia" w:eastAsia="仿宋_GB2312"/>
          <w:b w:val="false"/>
          <w:i w:val="false"/>
          <w:color w:val="000000"/>
          <w:sz w:val="32"/>
          <w:szCs w:val="32"/>
        </w:rPr>
        <w:t xml:space="preserve"> 城市垃圾转运站、环境卫生专用车辆停车场以及有关附属用房应当合理规划布局，符合环境卫生作业标准要求。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none"/>
        </w:rPr>
      </w:pPr>
      <w:r>
        <w:rPr>
          <w:rFonts w:ascii="宋体" w:hAnsi="宋体" w:cs="宋体" w:hint="eastAsia" w:eastAsia="黑体"/>
          <w:b w:val="false"/>
          <w:bCs/>
          <w:i w:val="false"/>
          <w:color w:val="000000"/>
          <w:sz w:val="32"/>
          <w:szCs w:val="32"/>
        </w:rPr>
        <w:t>第二十六条</w:t>
      </w:r>
      <w:r>
        <w:rPr>
          <w:rFonts w:ascii="仿宋" w:hAnsi="仿宋" w:cs="仿宋" w:hint="eastAsia" w:eastAsia="仿宋_GB2312"/>
          <w:b w:val="false"/>
          <w:i w:val="false"/>
          <w:color w:val="000000"/>
          <w:sz w:val="32"/>
          <w:szCs w:val="32"/>
        </w:rPr>
        <w:t xml:space="preserve"> </w:t>
      </w:r>
      <w:r>
        <w:rPr>
          <w:rFonts w:ascii="仿宋" w:hAnsi="仿宋" w:cs="仿宋" w:hint="eastAsia" w:eastAsia="仿宋_GB2312"/>
          <w:b w:val="false"/>
          <w:i w:val="false"/>
          <w:color w:val="000000"/>
          <w:sz w:val="32"/>
          <w:szCs w:val="32"/>
          <w:u w:val="none"/>
        </w:rPr>
        <w:t>市、县（区）人民政府应当合理规划、设置公共厕所，鼓励社会团体、企业事业单位和个人建设、改造公共厕所，鼓励临街公共建筑、公共场所附设的内部厕所供行人免费使用。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下列城市公共场所应当设置公共厕所，并设立明显标志或者指示路牌</w:t>
      </w:r>
      <w:r>
        <w:rPr>
          <w:rFonts w:eastAsia="仿宋_GB2312" w:cs="仿宋" w:hint="eastAsia" w:ascii="仿宋" w:hAnsi="仿宋"/>
          <w:b w:val="false"/>
          <w:i w:val="false"/>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一</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广场和主要交通干道两侧</w:t>
      </w:r>
      <w:r>
        <w:rPr>
          <w:rFonts w:eastAsia="仿宋_GB2312" w:cs="仿宋" w:hint="eastAsia" w:ascii="仿宋" w:hAnsi="仿宋"/>
          <w:b w:val="false"/>
          <w:i w:val="false"/>
          <w:color w:val="00000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二</w:t>
      </w:r>
      <w:r>
        <w:rPr>
          <w:rFonts w:eastAsia="仿宋_GB2312" w:cs="仿宋" w:hint="eastAsia" w:ascii="仿宋" w:hAnsi="仿宋"/>
          <w:b w:val="false"/>
          <w:i w:val="false"/>
          <w:color w:val="000000"/>
          <w:sz w:val="32"/>
          <w:szCs w:val="32"/>
        </w:rPr>
        <w:t>)</w:t>
      </w:r>
      <w:r>
        <w:rPr>
          <w:rFonts w:ascii="仿宋" w:hAnsi="仿宋" w:cs="仿宋" w:hint="eastAsia" w:eastAsia="仿宋_GB2312"/>
          <w:b w:val="false"/>
          <w:i w:val="false"/>
          <w:color w:val="000000"/>
          <w:sz w:val="32"/>
          <w:szCs w:val="32"/>
        </w:rPr>
        <w:t>车站、展览馆、体育馆等公共建筑物附近。</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u w:val="none"/>
        </w:rPr>
        <w:t>市、县（区）人民政府市容和环境卫生行政主管部门应当制定城市公共厕所的保洁标准、作业规范，</w:t>
      </w:r>
      <w:r>
        <w:rPr>
          <w:rFonts w:ascii="仿宋" w:hAnsi="仿宋" w:cs="仿宋" w:hint="eastAsia" w:eastAsia="仿宋_GB2312"/>
          <w:b w:val="false"/>
          <w:i w:val="false"/>
          <w:color w:val="000000"/>
          <w:sz w:val="32"/>
          <w:szCs w:val="32"/>
        </w:rPr>
        <w:t>保持</w:t>
      </w:r>
      <w:r>
        <w:rPr>
          <w:rFonts w:ascii="仿宋" w:hAnsi="仿宋" w:cs="仿宋" w:hint="eastAsia" w:eastAsia="仿宋_GB2312"/>
          <w:b w:val="false"/>
          <w:i w:val="false"/>
          <w:color w:val="000000"/>
          <w:sz w:val="32"/>
          <w:szCs w:val="32"/>
          <w:u w:val="none"/>
        </w:rPr>
        <w:t>公共厕所</w:t>
      </w:r>
      <w:r>
        <w:rPr>
          <w:rFonts w:ascii="仿宋" w:hAnsi="仿宋" w:cs="仿宋" w:hint="eastAsia" w:eastAsia="仿宋_GB2312"/>
          <w:b w:val="false"/>
          <w:i w:val="false"/>
          <w:color w:val="000000"/>
          <w:sz w:val="32"/>
          <w:szCs w:val="32"/>
        </w:rPr>
        <w:t>清洁卫生、设备设施完好。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第二十七条</w:t>
      </w:r>
      <w:r>
        <w:rPr>
          <w:rFonts w:ascii="仿宋" w:hAnsi="仿宋" w:cs="仿宋" w:hint="eastAsia" w:eastAsia="仿宋_GB2312"/>
          <w:b w:val="false"/>
          <w:i w:val="false"/>
          <w:color w:val="000000"/>
          <w:sz w:val="32"/>
          <w:szCs w:val="32"/>
        </w:rPr>
        <w:t xml:space="preserve"> 责任单位、责任人应当对垃圾收集设施以及收集点、转运站等定期消毒灭害，并保持整洁、完好。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none"/>
        </w:rPr>
      </w:pPr>
      <w:r>
        <w:rPr>
          <w:rFonts w:ascii="宋体" w:hAnsi="宋体" w:cs="宋体" w:hint="eastAsia" w:eastAsia="黑体"/>
          <w:b w:val="false"/>
          <w:bCs/>
          <w:i w:val="false"/>
          <w:color w:val="000000"/>
          <w:sz w:val="32"/>
          <w:szCs w:val="32"/>
        </w:rPr>
        <w:t>第二十八条</w:t>
      </w:r>
      <w:r>
        <w:rPr>
          <w:rFonts w:ascii="宋体" w:hAnsi="宋体" w:cs="宋体" w:hint="eastAsia"/>
          <w:b/>
          <w:bCs/>
          <w:color w:val="000000"/>
          <w:sz w:val="32"/>
          <w:szCs w:val="32"/>
        </w:rPr>
        <w:t xml:space="preserve"> </w:t>
      </w:r>
      <w:r>
        <w:rPr>
          <w:rFonts w:ascii="仿宋" w:hAnsi="仿宋" w:cs="仿宋" w:hint="eastAsia" w:eastAsia="仿宋_GB2312"/>
          <w:b w:val="false"/>
          <w:i w:val="false"/>
          <w:color w:val="000000"/>
          <w:sz w:val="32"/>
          <w:szCs w:val="32"/>
          <w:u w:val="none"/>
        </w:rPr>
        <w:t>禁止单位和个人迁移、拆除、封闭环境卫生设施，或者擅自改变环境卫生设施的用途。因城市建设确实需要迁移、拆除、封闭或者改变用途的，应当报市容和环境卫生行政主管部门批准。</w:t>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华文楷体" w:hAnsi="华文楷体" w:eastAsia="华文楷体" w:cs="华文楷体" w:hint="eastAsia"/>
          <w:b w:val="false"/>
          <w:i w:val="false"/>
          <w:color w:val="000000"/>
          <w:sz w:val="32"/>
          <w:szCs w:val="32"/>
          <w:u w:val="none"/>
        </w:rPr>
      </w:pPr>
      <w:r>
        <w:rPr>
          <w:rFonts w:eastAsia="华文楷体" w:cs="华文楷体" w:hint="eastAsia" w:ascii="华文楷体" w:hAnsi="华文楷体"/>
          <w:b w:val="false"/>
          <w:i w:val="false"/>
          <w:color w:val="000000"/>
          <w:sz w:val="32"/>
          <w:szCs w:val="32"/>
          <w:u w:val="none"/>
        </w:rPr>
      </w:r>
    </w:p>
    <w:p>
      <w:pPr>
        <w:pStyle w:val="Normal"/>
        <w:keepNext w:val="false"/>
        <w:keepLines w:val="false"/>
        <w:pageBreakBefore w:val="false"/>
        <w:kinsoku w:val="true"/>
        <w:overflowPunct w:val="true"/>
        <w:autoSpaceDE w:val="true"/>
        <w:bidi w:val="0"/>
        <w:spacing w:lineRule="exact" w:line="560"/>
        <w:ind w:end="0"/>
        <w:jc w:val="center"/>
        <w:textAlignment w:val="auto"/>
        <w:rPr>
          <w:rFonts w:ascii="宋体" w:hAnsi="宋体" w:cs="宋体" w:hint="eastAsia"/>
          <w:color w:val="000000"/>
          <w:sz w:val="32"/>
          <w:szCs w:val="32"/>
        </w:rPr>
      </w:pPr>
      <w:r>
        <w:rPr>
          <w:rFonts w:ascii="宋体" w:hAnsi="宋体" w:cs="宋体" w:hint="eastAsia"/>
          <w:color w:val="000000"/>
          <w:sz w:val="32"/>
          <w:szCs w:val="32"/>
        </w:rPr>
        <w:t>第二节 公共场所环境卫生管理</w:t>
      </w:r>
    </w:p>
    <w:p>
      <w:pPr>
        <w:pStyle w:val="Normal"/>
        <w:keepNext w:val="false"/>
        <w:keepLines w:val="false"/>
        <w:pageBreakBefore w:val="false"/>
        <w:numPr>
          <w:ilvl w:val="0"/>
          <w:numId w:val="0"/>
        </w:numPr>
        <w:kinsoku w:val="true"/>
        <w:overflowPunct w:val="true"/>
        <w:autoSpaceDE w:val="true"/>
        <w:bidi w:val="0"/>
        <w:spacing w:lineRule="exact" w:line="560"/>
        <w:ind w:hanging="0" w:start="0"/>
        <w:jc w:val="both"/>
        <w:textAlignment w:val="auto"/>
        <w:rPr>
          <w:rFonts w:ascii="华文楷体" w:hAnsi="华文楷体" w:eastAsia="华文楷体" w:cs="华文楷体" w:hint="eastAsia"/>
          <w:color w:val="000000"/>
          <w:sz w:val="32"/>
          <w:szCs w:val="32"/>
        </w:rPr>
      </w:pPr>
      <w:r>
        <w:rPr>
          <w:rFonts w:eastAsia="华文楷体" w:cs="华文楷体" w:hint="eastAsia" w:ascii="华文楷体" w:hAnsi="华文楷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第二十九条</w:t>
      </w:r>
      <w:r>
        <w:rPr>
          <w:rFonts w:ascii="仿宋" w:hAnsi="仿宋" w:cs="仿宋" w:hint="eastAsia" w:eastAsia="仿宋_GB2312"/>
          <w:b w:val="false"/>
          <w:i w:val="false"/>
          <w:color w:val="000000"/>
          <w:sz w:val="32"/>
          <w:szCs w:val="32"/>
        </w:rPr>
        <w:t xml:space="preserve"> 禁止下列影响公共环境卫生的行为：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（一）随地吐痰、吐口香糖、便溺；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（二）乱扔瓜果皮、纸屑、烟蒂、包装物等废弃物；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rPr>
        <w:t>（三）</w:t>
      </w:r>
      <w:r>
        <w:rPr>
          <w:rFonts w:ascii="仿宋" w:hAnsi="仿宋" w:cs="仿宋" w:hint="eastAsia" w:eastAsia="仿宋_GB2312"/>
          <w:b w:val="false"/>
          <w:i w:val="false"/>
          <w:color w:val="000000"/>
          <w:sz w:val="32"/>
          <w:szCs w:val="32"/>
          <w:u w:val="none"/>
        </w:rPr>
        <w:t>将垃圾、污水、粪便扫入或者倒入道路、下水道、花坛、绿化带、窨井、河渠、水域内；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rPr>
        <w:t>（四）</w:t>
      </w:r>
      <w:r>
        <w:rPr>
          <w:rFonts w:ascii="仿宋" w:hAnsi="仿宋" w:cs="仿宋" w:hint="eastAsia" w:eastAsia="仿宋_GB2312"/>
          <w:b w:val="false"/>
          <w:bCs w:val="false"/>
          <w:i w:val="false"/>
          <w:color w:val="000000"/>
          <w:sz w:val="32"/>
          <w:szCs w:val="32"/>
          <w:u w:val="none"/>
        </w:rPr>
        <w:t>食品小作坊、小经营店、小摊点</w:t>
      </w:r>
      <w:r>
        <w:rPr>
          <w:rFonts w:ascii="仿宋" w:hAnsi="仿宋" w:cs="仿宋" w:hint="eastAsia" w:eastAsia="仿宋_GB2312"/>
          <w:b w:val="false"/>
          <w:i w:val="false"/>
          <w:color w:val="000000"/>
          <w:sz w:val="32"/>
          <w:szCs w:val="32"/>
          <w:u w:val="none"/>
        </w:rPr>
        <w:t>经营者将泔水倒入绿地、树坑、下水道、窨井、垃圾桶内；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single"/>
        </w:rPr>
      </w:pPr>
      <w:r>
        <w:rPr>
          <w:rFonts w:ascii="仿宋" w:hAnsi="仿宋" w:cs="仿宋" w:hint="eastAsia" w:eastAsia="仿宋_GB2312"/>
          <w:b w:val="false"/>
          <w:i w:val="false"/>
          <w:color w:val="000000"/>
          <w:sz w:val="32"/>
          <w:szCs w:val="32"/>
          <w:u w:val="none"/>
        </w:rPr>
        <w:t>（五）从房屋或者车辆内向外抛洒废弃物；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（六）在规定地点外堆放垃圾、废弃家具、家电等物品；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（七）在城市道路、公园等公共活动区域焚烧垃圾、树叶等物品；</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single"/>
        </w:rPr>
      </w:pPr>
      <w:r>
        <w:rPr>
          <w:rFonts w:ascii="仿宋" w:hAnsi="仿宋" w:cs="仿宋" w:hint="eastAsia" w:eastAsia="仿宋_GB2312"/>
          <w:b w:val="false"/>
          <w:i w:val="false"/>
          <w:color w:val="000000"/>
          <w:sz w:val="32"/>
          <w:szCs w:val="32"/>
        </w:rPr>
        <w:t>（八）其他影响环境卫生的行为。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第三十条</w:t>
      </w:r>
      <w:r>
        <w:rPr>
          <w:rFonts w:ascii="仿宋" w:hAnsi="仿宋" w:cs="仿宋" w:hint="eastAsia" w:eastAsia="仿宋_GB2312"/>
          <w:b w:val="false"/>
          <w:i w:val="false"/>
          <w:color w:val="000000"/>
          <w:sz w:val="32"/>
          <w:szCs w:val="32"/>
        </w:rPr>
        <w:t xml:space="preserve"> 县（区）人民政府应当合理规划、布局集贸市场，完善配套设施。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集贸市场经营者应当保持摊位和经营场所的整洁，易产生垃圾的餐饮、农产品等摊位应当配置垃圾收容器。活禽、活畜应当在特定的</w:t>
      </w:r>
      <w:r>
        <w:rPr>
          <w:rFonts w:ascii="仿宋" w:hAnsi="仿宋" w:cs="仿宋" w:hint="eastAsia" w:eastAsia="仿宋_GB2312"/>
          <w:b w:val="false"/>
          <w:i w:val="false"/>
          <w:color w:val="000000"/>
          <w:sz w:val="32"/>
          <w:szCs w:val="32"/>
          <w:u w:val="none"/>
        </w:rPr>
        <w:t>封闭区域内</w:t>
      </w:r>
      <w:r>
        <w:rPr>
          <w:rFonts w:ascii="仿宋" w:hAnsi="仿宋" w:cs="仿宋" w:hint="eastAsia" w:eastAsia="仿宋_GB2312"/>
          <w:b w:val="false"/>
          <w:i w:val="false"/>
          <w:color w:val="000000"/>
          <w:sz w:val="32"/>
          <w:szCs w:val="32"/>
        </w:rPr>
        <w:t>宰杀，并配备完善的污物污水处置和消毒设施。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第三十一条</w:t>
      </w:r>
      <w:r>
        <w:rPr>
          <w:rFonts w:ascii="仿宋" w:hAnsi="仿宋" w:cs="仿宋" w:hint="eastAsia" w:eastAsia="仿宋_GB2312"/>
          <w:b w:val="false"/>
          <w:i w:val="false"/>
          <w:color w:val="000000"/>
          <w:sz w:val="32"/>
          <w:szCs w:val="32"/>
        </w:rPr>
        <w:t xml:space="preserve"> 市、县（区）人民政府应当根据需要统一规划早市、夜市、临时性商品交易市场等经营区域。</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经营者应当按照规定的时间和地点经营，保持摊位整洁、有序，在收市时将垃圾、污水、油渍清理干净。</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single"/>
        </w:rPr>
      </w:pPr>
      <w:r>
        <w:rPr>
          <w:rFonts w:ascii="宋体" w:hAnsi="宋体" w:cs="宋体" w:hint="eastAsia" w:eastAsia="黑体"/>
          <w:b w:val="false"/>
          <w:bCs/>
          <w:i w:val="false"/>
          <w:color w:val="000000"/>
          <w:sz w:val="32"/>
          <w:szCs w:val="32"/>
        </w:rPr>
        <w:t>第三十二条</w:t>
      </w:r>
      <w:r>
        <w:rPr>
          <w:rFonts w:ascii="仿宋" w:hAnsi="仿宋" w:cs="仿宋" w:hint="eastAsia" w:eastAsia="仿宋_GB2312"/>
          <w:b w:val="false"/>
          <w:i w:val="false"/>
          <w:color w:val="000000"/>
          <w:sz w:val="32"/>
          <w:szCs w:val="32"/>
        </w:rPr>
        <w:t xml:space="preserve"> </w:t>
      </w:r>
      <w:r>
        <w:rPr>
          <w:rFonts w:ascii="仿宋" w:hAnsi="仿宋" w:cs="仿宋" w:hint="eastAsia" w:eastAsia="仿宋_GB2312"/>
          <w:b w:val="false"/>
          <w:i w:val="false"/>
          <w:color w:val="000000"/>
          <w:sz w:val="32"/>
          <w:szCs w:val="32"/>
          <w:u w:val="none"/>
        </w:rPr>
        <w:t>市、县（区）人民政府应当规划建设城市再生资源回收利用体系，合理布局再生资源回收网点、废旧物品收购站。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仿宋" w:hAnsi="仿宋" w:cs="仿宋" w:hint="eastAsia" w:eastAsia="仿宋_GB2312"/>
          <w:b w:val="false"/>
          <w:i w:val="false"/>
          <w:color w:val="000000"/>
          <w:sz w:val="32"/>
          <w:szCs w:val="32"/>
        </w:rPr>
        <w:t>废旧物品收购站经营者应当采取设置围挡等措施，保持收储场所以及周边环境干净、整洁，不得占用道路和公共场所。</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rPr>
        <w:t>第三十三条</w:t>
      </w:r>
      <w:r>
        <w:rPr>
          <w:rFonts w:ascii="仿宋" w:hAnsi="仿宋" w:cs="仿宋" w:hint="eastAsia" w:eastAsia="仿宋_GB2312"/>
          <w:b w:val="false"/>
          <w:i w:val="false"/>
          <w:color w:val="000000"/>
          <w:sz w:val="32"/>
          <w:szCs w:val="32"/>
        </w:rPr>
        <w:t xml:space="preserve"> 从事车辆修理、清洗、装饰的，应当符合市容和环境卫生管理标准要求，保持经营场所以及周边环境整洁卫生，</w:t>
      </w:r>
      <w:r>
        <w:rPr>
          <w:rFonts w:ascii="仿宋" w:hAnsi="仿宋" w:cs="仿宋" w:hint="eastAsia" w:eastAsia="仿宋_GB2312"/>
          <w:b w:val="false"/>
          <w:i w:val="false"/>
          <w:color w:val="000000"/>
          <w:sz w:val="32"/>
          <w:szCs w:val="32"/>
          <w:u w:val="none"/>
        </w:rPr>
        <w:t>不得占用道路和公共场所。</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eastAsia="仿宋_GB2312" w:cs="仿宋" w:hint="eastAsia" w:ascii="仿宋" w:hAnsi="仿宋"/>
          <w:b w:val="false"/>
          <w:i w:val="false"/>
          <w:color w:val="000000"/>
          <w:sz w:val="32"/>
          <w:szCs w:val="32"/>
          <w:u w:val="none"/>
        </w:rPr>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center"/>
        <w:textAlignment w:val="auto"/>
        <w:rPr>
          <w:rFonts w:ascii="宋体" w:hAnsi="宋体" w:eastAsia="宋体" w:cs="宋体" w:hint="eastAsia"/>
          <w:color w:val="000000"/>
          <w:sz w:val="32"/>
          <w:szCs w:val="32"/>
          <w:u w:val="none"/>
        </w:rPr>
      </w:pPr>
      <w:r>
        <w:rPr>
          <w:rFonts w:ascii="宋体" w:hAnsi="宋体" w:cs="宋体" w:hint="eastAsia"/>
          <w:color w:val="000000"/>
          <w:sz w:val="32"/>
          <w:szCs w:val="32"/>
        </w:rPr>
        <w:t xml:space="preserve">第三节 </w:t>
      </w:r>
      <w:r>
        <w:rPr>
          <w:rFonts w:ascii="宋体" w:hAnsi="宋体" w:cs="宋体" w:hint="eastAsia"/>
          <w:color w:val="000000"/>
          <w:sz w:val="32"/>
          <w:szCs w:val="32"/>
        </w:rPr>
        <w:t>废弃物</w:t>
      </w:r>
      <w:r>
        <w:rPr>
          <w:rFonts w:ascii="宋体" w:hAnsi="宋体" w:cs="宋体" w:hint="eastAsia"/>
          <w:color w:val="000000"/>
          <w:sz w:val="32"/>
          <w:szCs w:val="32"/>
          <w:u w:val="none"/>
        </w:rPr>
        <w:t>处置</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both"/>
        <w:textAlignment w:val="auto"/>
        <w:rPr>
          <w:rFonts w:ascii="华文楷体" w:hAnsi="华文楷体" w:eastAsia="华文楷体" w:cs="华文楷体" w:hint="eastAsia"/>
          <w:color w:val="000000"/>
          <w:sz w:val="32"/>
          <w:szCs w:val="32"/>
          <w:u w:val="none"/>
        </w:rPr>
      </w:pPr>
      <w:r>
        <w:rPr>
          <w:rFonts w:eastAsia="华文楷体" w:cs="华文楷体" w:hint="eastAsia" w:ascii="华文楷体" w:hAnsi="华文楷体"/>
          <w:color w:val="000000"/>
          <w:sz w:val="32"/>
          <w:szCs w:val="32"/>
          <w:u w:val="none"/>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第三十四条</w:t>
      </w:r>
      <w:r>
        <w:rPr>
          <w:rFonts w:ascii="仿宋" w:hAnsi="仿宋" w:cs="仿宋" w:hint="eastAsia" w:eastAsia="仿宋_GB2312"/>
          <w:b w:val="false"/>
          <w:i w:val="false"/>
          <w:color w:val="000000"/>
          <w:sz w:val="32"/>
          <w:szCs w:val="32"/>
        </w:rPr>
        <w:t xml:space="preserve"> 城市垃圾逐步实行分类投放、收集、运输和处置。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u w:val="none"/>
        </w:rPr>
      </w:pPr>
      <w:r>
        <w:rPr>
          <w:rFonts w:ascii="仿宋" w:hAnsi="仿宋" w:cs="仿宋" w:hint="eastAsia" w:eastAsia="仿宋_GB2312"/>
          <w:b w:val="false"/>
          <w:i w:val="false"/>
          <w:color w:val="000000"/>
          <w:sz w:val="32"/>
          <w:szCs w:val="32"/>
          <w:u w:val="none"/>
        </w:rPr>
        <w:t>运输容易造成污染的有毒有害垃圾或者液体垃圾应当采取密闭措施，不得泄漏抛洒。</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第三十五条</w:t>
      </w:r>
      <w:r>
        <w:rPr>
          <w:rFonts w:ascii="仿宋" w:hAnsi="仿宋" w:cs="仿宋" w:hint="eastAsia" w:eastAsia="仿宋_GB2312"/>
          <w:b w:val="false"/>
          <w:i w:val="false"/>
          <w:color w:val="000000"/>
          <w:sz w:val="32"/>
          <w:szCs w:val="32"/>
        </w:rPr>
        <w:t xml:space="preserve"> </w:t>
      </w:r>
      <w:r>
        <w:rPr>
          <w:rFonts w:ascii="仿宋" w:hAnsi="仿宋" w:cs="仿宋" w:hint="eastAsia" w:eastAsia="仿宋_GB2312"/>
          <w:b w:val="false"/>
          <w:i w:val="false"/>
          <w:color w:val="000000"/>
          <w:sz w:val="32"/>
          <w:szCs w:val="32"/>
          <w:u w:val="none"/>
        </w:rPr>
        <w:t>生活垃圾由环境卫生专业单位按照日产日清的要求清运；</w:t>
      </w:r>
      <w:r>
        <w:rPr>
          <w:rFonts w:ascii="仿宋" w:hAnsi="仿宋" w:cs="仿宋" w:hint="eastAsia" w:eastAsia="仿宋_GB2312"/>
          <w:b w:val="false"/>
          <w:i w:val="false"/>
          <w:color w:val="000000"/>
          <w:sz w:val="32"/>
          <w:szCs w:val="32"/>
        </w:rPr>
        <w:t>清运作业应当按照规定时间和线路进行。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第三十六条</w:t>
      </w:r>
      <w:r>
        <w:rPr>
          <w:rFonts w:ascii="仿宋" w:hAnsi="仿宋" w:cs="仿宋" w:hint="eastAsia" w:eastAsia="仿宋_GB2312"/>
          <w:b w:val="false"/>
          <w:i w:val="false"/>
          <w:color w:val="000000"/>
          <w:sz w:val="32"/>
          <w:szCs w:val="32"/>
        </w:rPr>
        <w:t xml:space="preserve"> 市、县（区）人民政府市容和环境卫生行政主管部门应当建立餐厨垃圾处理的源头登记、定点回收、集中处理制度，推行餐厨垃圾源头减量化、无害化处理和资源化利用。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仿宋" w:hAnsi="仿宋" w:cs="仿宋" w:hint="eastAsia" w:eastAsia="仿宋_GB2312"/>
          <w:b w:val="false"/>
          <w:i w:val="false"/>
          <w:color w:val="000000"/>
          <w:sz w:val="32"/>
          <w:szCs w:val="32"/>
        </w:rPr>
        <w:t>单位和餐饮经营者产生的餐厨垃圾、废弃食用油脂应当单独收集和处置，具体办法由市人民政府制定。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rPr>
        <w:t>第</w:t>
      </w:r>
      <w:r>
        <w:rPr>
          <w:rFonts w:ascii="宋体" w:hAnsi="宋体" w:cs="宋体" w:hint="eastAsia" w:eastAsia="黑体"/>
          <w:b w:val="false"/>
          <w:bCs/>
          <w:i w:val="false"/>
          <w:color w:val="000000"/>
          <w:sz w:val="32"/>
          <w:szCs w:val="32"/>
          <w:u w:val="none"/>
        </w:rPr>
        <w:t>三十七条</w:t>
      </w:r>
      <w:r>
        <w:rPr>
          <w:rFonts w:ascii="仿宋" w:hAnsi="仿宋" w:cs="仿宋" w:hint="eastAsia" w:eastAsia="仿宋_GB2312"/>
          <w:b w:val="false"/>
          <w:i w:val="false"/>
          <w:color w:val="000000"/>
          <w:sz w:val="32"/>
          <w:szCs w:val="32"/>
          <w:u w:val="none"/>
        </w:rPr>
        <w:t xml:space="preserve"> 市、县（区）人民政府应当加强建筑垃圾消纳场所和转运场所建设。处置建筑垃圾的单位应当经市容和环境卫生行政主管部门核准，并按照核准内容进行处置，禁止下列行为：</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将建筑垃圾混入生活垃圾进行投放；</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随意倾倒或者堆放建筑垃圾；</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擅自设置建筑垃圾消纳场所；</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擅自处置建筑垃圾；</w:t>
      </w:r>
    </w:p>
    <w:p>
      <w:pPr>
        <w:pStyle w:val="Normal"/>
        <w:keepNext w:val="false"/>
        <w:keepLines w:val="false"/>
        <w:pageBreakBefore w:val="false"/>
        <w:numPr>
          <w:ilvl w:val="0"/>
          <w:numId w:val="6"/>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超出核准的范围处置建筑垃圾。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rPr>
        <w:t>第</w:t>
      </w:r>
      <w:r>
        <w:rPr>
          <w:rFonts w:ascii="宋体" w:hAnsi="宋体" w:cs="宋体" w:hint="eastAsia" w:eastAsia="黑体"/>
          <w:b w:val="false"/>
          <w:bCs/>
          <w:i w:val="false"/>
          <w:color w:val="000000"/>
          <w:sz w:val="32"/>
          <w:szCs w:val="32"/>
          <w:u w:val="none"/>
        </w:rPr>
        <w:t>三十八条</w:t>
      </w:r>
      <w:r>
        <w:rPr>
          <w:rFonts w:ascii="仿宋" w:hAnsi="仿宋" w:cs="仿宋" w:hint="eastAsia" w:eastAsia="仿宋_GB2312"/>
          <w:b w:val="false"/>
          <w:i w:val="false"/>
          <w:color w:val="000000"/>
          <w:sz w:val="32"/>
          <w:szCs w:val="32"/>
          <w:u w:val="none"/>
        </w:rPr>
        <w:t xml:space="preserve"> 医疗垃圾应当按照国家有关规定统一由有资质的医疗垃圾处置单位处置，医疗机构不得自行处置医疗废物。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rPr>
        <w:t>第</w:t>
      </w:r>
      <w:r>
        <w:rPr>
          <w:rFonts w:ascii="宋体" w:hAnsi="宋体" w:cs="宋体" w:hint="eastAsia" w:eastAsia="黑体"/>
          <w:b w:val="false"/>
          <w:bCs/>
          <w:i w:val="false"/>
          <w:color w:val="000000"/>
          <w:sz w:val="32"/>
          <w:szCs w:val="32"/>
          <w:u w:val="none"/>
        </w:rPr>
        <w:t>三十九条</w:t>
      </w:r>
      <w:r>
        <w:rPr>
          <w:rFonts w:ascii="仿宋" w:hAnsi="仿宋" w:cs="仿宋" w:hint="eastAsia" w:eastAsia="仿宋_GB2312"/>
          <w:b w:val="false"/>
          <w:i w:val="false"/>
          <w:color w:val="000000"/>
          <w:sz w:val="32"/>
          <w:szCs w:val="32"/>
          <w:u w:val="none"/>
        </w:rPr>
        <w:t xml:space="preserve"> 易燃、易爆、剧毒、放射性等有毒、有害垃圾，应当按照国家有关规定处置，不得混入生活垃圾收集站和垃圾消纳场所。</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eastAsia="仿宋_GB2312" w:cs="仿宋" w:hint="eastAsia" w:ascii="仿宋" w:hAnsi="仿宋"/>
          <w:b w:val="false"/>
          <w:i w:val="false"/>
          <w:color w:val="000000"/>
          <w:sz w:val="32"/>
          <w:szCs w:val="32"/>
          <w:u w:val="none"/>
        </w:rPr>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 xml:space="preserve">第四节 </w:t>
      </w:r>
      <w:r>
        <w:rPr>
          <w:rFonts w:ascii="宋体" w:hAnsi="宋体" w:cs="宋体" w:hint="eastAsia"/>
          <w:color w:val="000000"/>
          <w:sz w:val="32"/>
          <w:szCs w:val="32"/>
        </w:rPr>
        <w:t>养犬管理</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0" w:start="0" w:endChars="0" w:end="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第四十条</w:t>
      </w:r>
      <w:r>
        <w:rPr>
          <w:rFonts w:ascii="仿宋" w:hAnsi="仿宋" w:cs="仿宋" w:hint="eastAsia" w:eastAsia="仿宋_GB2312"/>
          <w:b w:val="false"/>
          <w:i w:val="false"/>
          <w:color w:val="000000"/>
          <w:sz w:val="32"/>
          <w:szCs w:val="32"/>
        </w:rPr>
        <w:t xml:space="preserve"> 养犬实行登记、年检和免疫制度，所需费用由饲养人自行负担，具体办法由市人民政府制定。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第四十一条</w:t>
      </w:r>
      <w:r>
        <w:rPr>
          <w:rFonts w:ascii="仿宋" w:hAnsi="仿宋" w:cs="仿宋" w:hint="eastAsia" w:eastAsia="仿宋_GB2312"/>
          <w:b w:val="false"/>
          <w:i w:val="false"/>
          <w:color w:val="000000"/>
          <w:sz w:val="32"/>
          <w:szCs w:val="32"/>
          <w:u w:val="none"/>
        </w:rPr>
        <w:t xml:space="preserve"> 携犬外出时，应当遵守下列规定</w:t>
      </w:r>
      <w:r>
        <w:rPr>
          <w:rFonts w:eastAsia="仿宋_GB2312" w:cs="仿宋" w:hint="eastAsia" w:ascii="仿宋" w:hAnsi="仿宋"/>
          <w:b w:val="false"/>
          <w:i w:val="false"/>
          <w:color w:val="000000"/>
          <w:sz w:val="32"/>
          <w:szCs w:val="32"/>
          <w:u w:val="none"/>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（一）使用犬绳、束链、牵引带等工具对其约束，并主动避让老年人、残疾人、孕妇和儿童；</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（二）乘坐电梯或者在人员密集场所，应当采取戴嘴套、怀抱、装入犬袋等防护避让措施；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（三）及时清除犬粪。</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第四十二条</w:t>
      </w:r>
      <w:r>
        <w:rPr>
          <w:rFonts w:ascii="仿宋" w:hAnsi="仿宋" w:cs="仿宋" w:hint="eastAsia" w:eastAsia="仿宋_GB2312"/>
          <w:b w:val="false"/>
          <w:i w:val="false"/>
          <w:color w:val="000000"/>
          <w:sz w:val="32"/>
          <w:szCs w:val="32"/>
          <w:u w:val="none"/>
        </w:rPr>
        <w:t xml:space="preserve"> 禁止养犬人、携犬人有下列行为：</w:t>
      </w:r>
    </w:p>
    <w:p>
      <w:pPr>
        <w:pStyle w:val="Normal"/>
        <w:keepNext w:val="false"/>
        <w:keepLines w:val="false"/>
        <w:pageBreakBefore w:val="false"/>
        <w:numPr>
          <w:ilvl w:val="0"/>
          <w:numId w:val="7"/>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饲养烈性犬和大型犬（工作犬、导盲犬除外）；</w:t>
      </w:r>
    </w:p>
    <w:p>
      <w:pPr>
        <w:pStyle w:val="Normal"/>
        <w:keepNext w:val="false"/>
        <w:keepLines w:val="false"/>
        <w:pageBreakBefore w:val="false"/>
        <w:numPr>
          <w:ilvl w:val="0"/>
          <w:numId w:val="7"/>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占用公共区域养犬；</w:t>
      </w:r>
    </w:p>
    <w:p>
      <w:pPr>
        <w:pStyle w:val="Normal"/>
        <w:keepNext w:val="false"/>
        <w:keepLines w:val="false"/>
        <w:pageBreakBefore w:val="false"/>
        <w:numPr>
          <w:ilvl w:val="0"/>
          <w:numId w:val="7"/>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携犬（工作犬、导盲犬除外）进入机关、学校、幼儿园、医院、公园、影剧院、体育场馆、展览馆、</w:t>
      </w:r>
      <w:r>
        <w:rPr>
          <w:rFonts w:ascii="仿宋_GB2312" w:hAnsi="仿宋_GB2312" w:cs="仿宋_GB2312" w:hint="eastAsia" w:eastAsia="仿宋_GB2312"/>
          <w:sz w:val="32"/>
          <w:szCs w:val="32"/>
        </w:rPr>
        <w:t>火车站、客运汽车站、旅游景区</w:t>
      </w:r>
      <w:r>
        <w:rPr>
          <w:rFonts w:ascii="仿宋" w:hAnsi="仿宋" w:cs="仿宋" w:hint="eastAsia" w:eastAsia="仿宋_GB2312"/>
          <w:b w:val="false"/>
          <w:i w:val="false"/>
          <w:color w:val="000000"/>
          <w:sz w:val="32"/>
          <w:szCs w:val="32"/>
          <w:u w:val="none"/>
        </w:rPr>
        <w:t>等公共场所；</w:t>
      </w:r>
    </w:p>
    <w:p>
      <w:pPr>
        <w:pStyle w:val="Normal"/>
        <w:keepNext w:val="false"/>
        <w:keepLines w:val="false"/>
        <w:pageBreakBefore w:val="false"/>
        <w:numPr>
          <w:ilvl w:val="0"/>
          <w:numId w:val="7"/>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携犬（工作犬、导盲犬除外）乘坐公共交通工具；</w:t>
      </w:r>
    </w:p>
    <w:p>
      <w:pPr>
        <w:pStyle w:val="Normal"/>
        <w:keepNext w:val="false"/>
        <w:keepLines w:val="false"/>
        <w:pageBreakBefore w:val="false"/>
        <w:numPr>
          <w:ilvl w:val="0"/>
          <w:numId w:val="7"/>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随意扔弃犬只尸体、随意弃养犬只。</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第四十三条</w:t>
      </w:r>
      <w:r>
        <w:rPr>
          <w:rFonts w:ascii="仿宋" w:hAnsi="仿宋" w:cs="仿宋" w:hint="eastAsia" w:eastAsia="仿宋_GB2312"/>
          <w:b w:val="false"/>
          <w:i w:val="false"/>
          <w:color w:val="000000"/>
          <w:sz w:val="32"/>
          <w:szCs w:val="32"/>
        </w:rPr>
        <w:t xml:space="preserve"> 任何单位或者个人发现或者怀疑犬只患有狂犬病时，应当及时向公安机关、畜牧兽医、疾病预防控制中心等相关部门报告，接到报告的部门应当立即予以处理。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宋体" w:hAnsi="宋体" w:cs="宋体" w:hint="eastAsia"/>
          <w:b/>
          <w:bCs/>
          <w:color w:val="000000"/>
          <w:sz w:val="32"/>
          <w:szCs w:val="32"/>
        </w:rPr>
      </w:pPr>
      <w:r>
        <w:rPr>
          <w:rFonts w:ascii="仿宋" w:hAnsi="仿宋" w:cs="仿宋" w:hint="eastAsia" w:eastAsia="仿宋_GB2312"/>
          <w:b w:val="false"/>
          <w:i w:val="false"/>
          <w:color w:val="000000"/>
          <w:sz w:val="32"/>
          <w:szCs w:val="32"/>
        </w:rPr>
        <w:t>患有或者疑似患有狂犬病的犬只尸体应当在畜牧兽医、疾病预防控制中心的指导下进行无害化处理。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rPr>
      </w:pPr>
      <w:r>
        <w:rPr>
          <w:rFonts w:ascii="宋体" w:hAnsi="宋体" w:cs="宋体" w:hint="eastAsia" w:eastAsia="黑体"/>
          <w:b w:val="false"/>
          <w:bCs/>
          <w:i w:val="false"/>
          <w:color w:val="000000"/>
          <w:sz w:val="32"/>
          <w:szCs w:val="32"/>
        </w:rPr>
        <w:t>第四十四条</w:t>
      </w:r>
      <w:r>
        <w:rPr>
          <w:rFonts w:ascii="仿宋" w:hAnsi="仿宋" w:cs="仿宋" w:hint="eastAsia" w:eastAsia="仿宋_GB2312"/>
          <w:b w:val="false"/>
          <w:i w:val="false"/>
          <w:color w:val="000000"/>
          <w:sz w:val="32"/>
          <w:szCs w:val="32"/>
        </w:rPr>
        <w:t xml:space="preserve"> 市、县（区）人民政府应当设立流浪犬收容站，收留流浪、送交的犬只以及被没收、扣押的犬只。</w:t>
      </w:r>
    </w:p>
    <w:p>
      <w:pPr>
        <w:pStyle w:val="Normal"/>
        <w:keepNext w:val="false"/>
        <w:keepLines w:val="false"/>
        <w:pageBreakBefore w:val="false"/>
        <w:widowControl w:val="false"/>
        <w:kinsoku w:val="true"/>
        <w:overflowPunct w:val="true"/>
        <w:autoSpaceDE w:val="true"/>
        <w:bidi w:val="0"/>
        <w:snapToGrid w:val="true"/>
        <w:spacing w:lineRule="exact" w:line="560" w:before="345" w:after="345"/>
        <w:ind w:end="0"/>
        <w:jc w:val="center"/>
        <w:textAlignment w:val="auto"/>
        <w:rPr>
          <w:rFonts w:ascii="黑体" w:hAnsi="黑体" w:eastAsia="黑体" w:cs="Times New Roman"/>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Times New Roman"/>
          <w:b w:val="false"/>
          <w:i w:val="false"/>
          <w:color w:val="000000"/>
          <w:sz w:val="32"/>
          <w:szCs w:val="32"/>
        </w:rPr>
      </w:pPr>
      <w:r>
        <w:rPr>
          <w:rFonts w:ascii="宋体" w:hAnsi="宋体" w:cs="宋体" w:hint="eastAsia" w:eastAsia="黑体"/>
          <w:b w:val="false"/>
          <w:bCs/>
          <w:i w:val="false"/>
          <w:color w:val="000000"/>
          <w:sz w:val="32"/>
          <w:szCs w:val="32"/>
        </w:rPr>
        <w:t>第四十五条</w:t>
      </w:r>
      <w:r>
        <w:rPr>
          <w:rFonts w:ascii="仿宋" w:hAnsi="仿宋" w:cs="仿宋" w:hint="eastAsia" w:eastAsia="仿宋_GB2312"/>
          <w:b w:val="false"/>
          <w:i w:val="false"/>
          <w:color w:val="000000"/>
          <w:sz w:val="32"/>
          <w:szCs w:val="32"/>
        </w:rPr>
        <w:t xml:space="preserve"> 违反本条例规定，法律、行政法规以及山西省人民代表大会及其常务委员会制定的地方性法规已有法律责任规定的，从其规定。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第四十六条</w:t>
      </w:r>
      <w:r>
        <w:rPr>
          <w:rFonts w:ascii="仿宋" w:hAnsi="仿宋" w:cs="仿宋" w:hint="eastAsia" w:eastAsia="仿宋_GB2312"/>
          <w:b w:val="false"/>
          <w:i w:val="false"/>
          <w:color w:val="000000"/>
          <w:sz w:val="32"/>
          <w:szCs w:val="32"/>
          <w:u w:val="none"/>
        </w:rPr>
        <w:t xml:space="preserve"> 市容和环境卫生责任单位、责任人违反本条例有关规定，有下列情形之一的，由市、县（区）人民政府市容和环境卫生行政主管部门予以警告，责令改正；拒不改正的，可以对单位处一千元以上二千元以下罚款，对个人处二百元罚款：</w:t>
      </w:r>
    </w:p>
    <w:p>
      <w:pPr>
        <w:pStyle w:val="Normal"/>
        <w:keepNext w:val="false"/>
        <w:keepLines w:val="false"/>
        <w:pageBreakBefore w:val="false"/>
        <w:numPr>
          <w:ilvl w:val="0"/>
          <w:numId w:val="3"/>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责任区的容貌和环境卫生未达到标准；</w:t>
      </w:r>
    </w:p>
    <w:p>
      <w:pPr>
        <w:pStyle w:val="Normal"/>
        <w:keepNext w:val="false"/>
        <w:keepLines w:val="false"/>
        <w:pageBreakBefore w:val="false"/>
        <w:numPr>
          <w:ilvl w:val="0"/>
          <w:numId w:val="3"/>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未按照规定履行市容和环境卫生管理职责；</w:t>
      </w:r>
    </w:p>
    <w:p>
      <w:pPr>
        <w:pStyle w:val="Normal"/>
        <w:keepNext w:val="false"/>
        <w:keepLines w:val="false"/>
        <w:pageBreakBefore w:val="false"/>
        <w:numPr>
          <w:ilvl w:val="0"/>
          <w:numId w:val="3"/>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公共场地和公共设施发生</w:t>
      </w:r>
      <w:r>
        <w:rPr>
          <w:rFonts w:ascii="仿宋" w:hAnsi="仿宋" w:cs="仿宋" w:hint="eastAsia" w:eastAsia="仿宋_GB2312"/>
          <w:b w:val="false"/>
          <w:i w:val="false"/>
          <w:color w:val="000000"/>
          <w:sz w:val="32"/>
          <w:szCs w:val="32"/>
        </w:rPr>
        <w:t>塌陷、破损、隆起等</w:t>
      </w:r>
      <w:r>
        <w:rPr>
          <w:rFonts w:ascii="仿宋" w:hAnsi="仿宋" w:cs="仿宋" w:hint="eastAsia" w:eastAsia="仿宋_GB2312"/>
          <w:b w:val="false"/>
          <w:i w:val="false"/>
          <w:color w:val="000000"/>
          <w:sz w:val="32"/>
          <w:szCs w:val="32"/>
          <w:u w:val="none"/>
        </w:rPr>
        <w:t>情况未及时修复；</w:t>
      </w:r>
    </w:p>
    <w:p>
      <w:pPr>
        <w:pStyle w:val="Normal"/>
        <w:keepNext w:val="false"/>
        <w:keepLines w:val="false"/>
        <w:pageBreakBefore w:val="false"/>
        <w:numPr>
          <w:ilvl w:val="0"/>
          <w:numId w:val="3"/>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乱停乱放共享交通工具影响市容环境；</w:t>
      </w:r>
    </w:p>
    <w:p>
      <w:pPr>
        <w:pStyle w:val="Normal"/>
        <w:keepNext w:val="false"/>
        <w:keepLines w:val="false"/>
        <w:pageBreakBefore w:val="false"/>
        <w:numPr>
          <w:ilvl w:val="0"/>
          <w:numId w:val="3"/>
        </w:numPr>
        <w:kinsoku w:val="true"/>
        <w:overflowPunct w:val="true"/>
        <w:autoSpaceDE w:val="true"/>
        <w:bidi w:val="0"/>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未履行照明设施维护职责。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第四十七条</w:t>
      </w:r>
      <w:r>
        <w:rPr>
          <w:rFonts w:ascii="仿宋" w:hAnsi="仿宋" w:cs="仿宋" w:hint="eastAsia" w:eastAsia="仿宋_GB2312"/>
          <w:b w:val="false"/>
          <w:i w:val="false"/>
          <w:color w:val="000000"/>
          <w:sz w:val="32"/>
          <w:szCs w:val="32"/>
          <w:u w:val="none"/>
        </w:rPr>
        <w:t xml:space="preserve"> 违反本条例规定，擅自迁移、拆除、封闭环境卫生设施或者改变用途的，由市、县（区）人民政府市容和环境卫生行政主管部门责令限期改正，并处二千元以上一万元以下罚款。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第四十八条</w:t>
      </w:r>
      <w:r>
        <w:rPr>
          <w:rFonts w:ascii="仿宋" w:hAnsi="仿宋" w:cs="仿宋" w:hint="eastAsia" w:eastAsia="仿宋_GB2312"/>
          <w:b w:val="false"/>
          <w:i w:val="false"/>
          <w:color w:val="000000"/>
          <w:sz w:val="32"/>
          <w:szCs w:val="32"/>
          <w:u w:val="none"/>
        </w:rPr>
        <w:t xml:space="preserve"> 违反本条例规定，随意倾倒、抛洒、堆放生活垃圾，影响公共环境卫生的，由市、县（区）人民政府城市管理综合行政执法部门责令停止违法行为，限期改正，对单位处五千元以上五万元以下罚款；对个人处二百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第四十九条</w:t>
      </w:r>
      <w:r>
        <w:rPr>
          <w:rFonts w:ascii="仿宋" w:hAnsi="仿宋" w:cs="仿宋" w:hint="eastAsia" w:eastAsia="仿宋_GB2312"/>
          <w:b w:val="false"/>
          <w:i w:val="false"/>
          <w:color w:val="000000"/>
          <w:sz w:val="32"/>
          <w:szCs w:val="32"/>
          <w:u w:val="none"/>
        </w:rPr>
        <w:t xml:space="preserve"> 违反本条例规定，有下列行为之一的，由市、县（区）人民政府市容和环境卫生行政主管部门责令停止违法行为，限期改正，并按照下列规定罚款：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（一）将建筑垃圾混入生活垃圾，对单位处一千元以上三千元以下罚款，对个人处二百元罚款；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（二）随意倾倒或者堆放建筑垃圾，对单位处五千元以上五万元以下罚款，对个人处二百元罚款；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（三）擅自设置建筑垃圾消纳场所，对单位处五千元以上一万元以下罚款，对个人处一千元以上三千元以下罚款；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（四）未经核准擅自处置建筑垃圾，或者超出核准范围处置建筑垃圾，对建设单位、运输单位处五千元以上三万元以下罚款，对施工单位处一万元以上十万元以下罚款。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第五十条</w:t>
      </w:r>
      <w:r>
        <w:rPr>
          <w:rFonts w:ascii="仿宋" w:hAnsi="仿宋" w:cs="仿宋" w:hint="eastAsia" w:eastAsia="仿宋_GB2312"/>
          <w:b w:val="false"/>
          <w:i w:val="false"/>
          <w:color w:val="000000"/>
          <w:sz w:val="32"/>
          <w:szCs w:val="32"/>
          <w:u w:val="none"/>
        </w:rPr>
        <w:t xml:space="preserve"> 违反本条例规定，有下列行为之一的，由市、县（区）人民政府城市管理执法主管部门责令限期改正；拒不改正的，处二百元罚款：</w:t>
      </w:r>
    </w:p>
    <w:p>
      <w:pPr>
        <w:pStyle w:val="Normal"/>
        <w:keepNext w:val="false"/>
        <w:keepLines w:val="false"/>
        <w:pageBreakBefore w:val="false"/>
        <w:widowControl/>
        <w:numPr>
          <w:ilvl w:val="0"/>
          <w:numId w:val="0"/>
        </w:numPr>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（一）携犬外出未使用犬绳、束链、牵引带等工具对其约束；</w:t>
      </w:r>
    </w:p>
    <w:p>
      <w:pPr>
        <w:pStyle w:val="Normal"/>
        <w:keepNext w:val="false"/>
        <w:keepLines w:val="false"/>
        <w:pageBreakBefore w:val="false"/>
        <w:widowControl/>
        <w:numPr>
          <w:ilvl w:val="0"/>
          <w:numId w:val="0"/>
        </w:numPr>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（二）携犬乘坐电梯或者在人员密集场所，未采取防护避让措施；</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（三）携犬（工作犬、导盲犬除外）进入机关、学校、幼儿园、医院、公园、影剧院、体育场馆、展览馆等公共场所；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（四）携犬（工作犬、导盲犬除外）乘坐公共交通工具；</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（五）携犬外出未及时清除犬粪；</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宋体" w:hAnsi="宋体" w:cs="宋体" w:hint="eastAsia"/>
          <w:b/>
          <w:bCs/>
          <w:color w:val="000000"/>
          <w:sz w:val="32"/>
          <w:szCs w:val="32"/>
          <w:u w:val="single"/>
        </w:rPr>
      </w:pPr>
      <w:r>
        <w:rPr>
          <w:rFonts w:ascii="仿宋" w:hAnsi="仿宋" w:cs="仿宋" w:hint="eastAsia" w:eastAsia="仿宋_GB2312"/>
          <w:b w:val="false"/>
          <w:i w:val="false"/>
          <w:color w:val="000000"/>
          <w:sz w:val="32"/>
          <w:szCs w:val="32"/>
          <w:u w:val="none"/>
        </w:rPr>
        <w:t>（六）随意扔弃犬只尸体、随意弃养犬只。</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第五十一条</w:t>
      </w:r>
      <w:r>
        <w:rPr>
          <w:rFonts w:ascii="仿宋" w:hAnsi="仿宋" w:cs="仿宋" w:hint="eastAsia" w:eastAsia="仿宋_GB2312"/>
          <w:b w:val="false"/>
          <w:i w:val="false"/>
          <w:color w:val="000000"/>
          <w:sz w:val="32"/>
          <w:szCs w:val="32"/>
          <w:u w:val="none"/>
        </w:rPr>
        <w:t xml:space="preserve"> 违反本条例规定，有下列行为之一的，由市、县（区）人民政府公安机关予以警告，责令改正；拒不改正的，可以扣押或者没收犬只，并处五百元罚款：</w:t>
      </w:r>
    </w:p>
    <w:p>
      <w:pPr>
        <w:pStyle w:val="Normal"/>
        <w:keepNext w:val="false"/>
        <w:keepLines w:val="false"/>
        <w:pageBreakBefore w:val="false"/>
        <w:widowControl/>
        <w:numPr>
          <w:ilvl w:val="0"/>
          <w:numId w:val="8"/>
        </w:numPr>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饲养烈性犬、大型犬（工作犬、导盲犬除外）；</w:t>
      </w:r>
    </w:p>
    <w:p>
      <w:pPr>
        <w:pStyle w:val="Normal"/>
        <w:keepNext w:val="false"/>
        <w:keepLines w:val="false"/>
        <w:pageBreakBefore w:val="false"/>
        <w:widowControl/>
        <w:numPr>
          <w:ilvl w:val="0"/>
          <w:numId w:val="8"/>
        </w:numPr>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占用公共区域养犬；</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仿宋" w:hAnsi="仿宋" w:cs="仿宋" w:hint="eastAsia" w:eastAsia="仿宋_GB2312"/>
          <w:b w:val="false"/>
          <w:i w:val="false"/>
          <w:color w:val="000000"/>
          <w:sz w:val="32"/>
          <w:szCs w:val="32"/>
          <w:u w:val="none"/>
        </w:rPr>
        <w:t>（三）</w:t>
      </w:r>
      <w:r>
        <w:rPr>
          <w:rFonts w:ascii="仿宋" w:hAnsi="仿宋" w:cs="仿宋" w:hint="eastAsia" w:eastAsia="仿宋_GB2312"/>
          <w:b w:val="false"/>
          <w:i w:val="false"/>
          <w:color w:val="000000"/>
          <w:sz w:val="32"/>
          <w:szCs w:val="32"/>
        </w:rPr>
        <w:t>未采取防护避让措施，造成犬只伤害他人。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仿宋" w:hint="eastAsia"/>
          <w:b w:val="false"/>
          <w:i w:val="false"/>
          <w:color w:val="000000"/>
          <w:sz w:val="32"/>
          <w:szCs w:val="32"/>
          <w:u w:val="none"/>
        </w:rPr>
      </w:pPr>
      <w:r>
        <w:rPr>
          <w:rFonts w:ascii="宋体" w:hAnsi="宋体" w:cs="宋体" w:hint="eastAsia" w:eastAsia="黑体"/>
          <w:b w:val="false"/>
          <w:bCs/>
          <w:i w:val="false"/>
          <w:color w:val="000000"/>
          <w:sz w:val="32"/>
          <w:szCs w:val="32"/>
          <w:u w:val="none"/>
        </w:rPr>
        <w:t>第五十二条</w:t>
      </w:r>
      <w:r>
        <w:rPr>
          <w:rFonts w:ascii="宋体" w:hAnsi="宋体" w:cs="宋体" w:hint="eastAsia"/>
          <w:b/>
          <w:bCs/>
          <w:color w:val="000000"/>
          <w:sz w:val="32"/>
          <w:szCs w:val="32"/>
          <w:u w:val="none"/>
        </w:rPr>
        <w:t xml:space="preserve"> </w:t>
      </w:r>
      <w:r>
        <w:rPr>
          <w:rFonts w:ascii="仿宋" w:hAnsi="仿宋" w:cs="仿宋" w:hint="eastAsia" w:eastAsia="仿宋_GB2312"/>
          <w:b w:val="false"/>
          <w:i w:val="false"/>
          <w:color w:val="000000"/>
          <w:sz w:val="32"/>
          <w:szCs w:val="32"/>
          <w:u w:val="none"/>
        </w:rPr>
        <w:t>违反本条例规定，拒绝、阻挠捕杀病犬，造成狂犬咬伤他人或者导致人群中发生狂犬病的，由市、县（区）人民政府卫生健康行政主管部门责令限期改正，可以处五千元以下的罚款；情节较严重的，可以处五千元以上二万元以下的罚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 w:hAnsi="仿宋" w:eastAsia="仿宋_GB2312" w:cs="Times New Roman"/>
          <w:b w:val="false"/>
          <w:i w:val="false"/>
          <w:color w:val="000000"/>
          <w:sz w:val="32"/>
          <w:szCs w:val="32"/>
          <w:u w:val="none"/>
        </w:rPr>
      </w:pPr>
      <w:r>
        <w:rPr>
          <w:rFonts w:ascii="宋体" w:hAnsi="宋体" w:cs="宋体" w:hint="eastAsia" w:eastAsia="黑体"/>
          <w:b w:val="false"/>
          <w:bCs/>
          <w:i w:val="false"/>
          <w:color w:val="000000"/>
          <w:sz w:val="32"/>
          <w:szCs w:val="32"/>
          <w:u w:val="none"/>
        </w:rPr>
        <w:t>第五十三条</w:t>
      </w:r>
      <w:r>
        <w:rPr>
          <w:rFonts w:ascii="宋体" w:hAnsi="宋体" w:cs="宋体" w:hint="eastAsia" w:eastAsia="仿宋_GB2312"/>
          <w:b/>
          <w:bCs/>
          <w:kern w:val="0"/>
          <w:sz w:val="32"/>
          <w:szCs w:val="32"/>
          <w:u w:val="none"/>
          <w:shd w:fill="FFFFFF" w:val="clear"/>
        </w:rPr>
        <w:t xml:space="preserve"> </w:t>
      </w:r>
      <w:r>
        <w:rPr>
          <w:rFonts w:ascii="仿宋" w:hAnsi="仿宋" w:cs="仿宋" w:hint="eastAsia" w:eastAsia="仿宋_GB2312"/>
          <w:b w:val="false"/>
          <w:i w:val="false"/>
          <w:color w:val="000000"/>
          <w:sz w:val="32"/>
          <w:szCs w:val="32"/>
          <w:u w:val="none"/>
        </w:rPr>
        <w:t>市、县（区）人民政府市容和环境卫生</w:t>
      </w:r>
      <w:r>
        <w:rPr>
          <w:rFonts w:ascii="仿宋" w:hAnsi="仿宋" w:cs="仿宋" w:hint="eastAsia" w:eastAsia="仿宋_GB2312"/>
          <w:b w:val="false"/>
          <w:i w:val="false"/>
          <w:strike w:val="false"/>
          <w:dstrike w:val="false"/>
          <w:color w:val="000000"/>
          <w:sz w:val="32"/>
          <w:szCs w:val="32"/>
          <w:u w:val="none"/>
        </w:rPr>
        <w:t>行政</w:t>
      </w:r>
      <w:r>
        <w:rPr>
          <w:rFonts w:ascii="仿宋" w:hAnsi="仿宋" w:cs="仿宋" w:hint="eastAsia" w:eastAsia="仿宋_GB2312"/>
          <w:b w:val="false"/>
          <w:i w:val="false"/>
          <w:color w:val="000000"/>
          <w:sz w:val="32"/>
          <w:szCs w:val="32"/>
          <w:u w:val="none"/>
        </w:rPr>
        <w:t>主管部门工作人员玩忽职守、滥用职权、徇私舞弊的，由其所在单位或者上级主管机关给予处分。</w:t>
      </w:r>
    </w:p>
    <w:p>
      <w:pPr>
        <w:pStyle w:val="Normal"/>
        <w:keepNext w:val="false"/>
        <w:keepLines w:val="false"/>
        <w:pageBreakBefore w:val="false"/>
        <w:widowControl w:val="false"/>
        <w:kinsoku w:val="true"/>
        <w:overflowPunct w:val="true"/>
        <w:autoSpaceDE w:val="true"/>
        <w:bidi w:val="0"/>
        <w:snapToGrid w:val="true"/>
        <w:spacing w:lineRule="exact" w:line="560" w:before="345" w:after="345"/>
        <w:ind w:end="0"/>
        <w:jc w:val="center"/>
        <w:textAlignment w:val="auto"/>
        <w:rPr>
          <w:rFonts w:ascii="黑体" w:hAnsi="黑体" w:eastAsia="黑体" w:cs="Times New Roman"/>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pPr>
      <w:r>
        <w:rPr>
          <w:rFonts w:ascii="宋体" w:hAnsi="宋体" w:cs="宋体" w:hint="eastAsia" w:eastAsia="黑体"/>
          <w:b w:val="false"/>
          <w:bCs/>
          <w:i w:val="false"/>
          <w:color w:val="000000"/>
          <w:sz w:val="32"/>
          <w:szCs w:val="32"/>
        </w:rPr>
        <w:t>第五十四条</w:t>
      </w:r>
      <w:r>
        <w:rPr>
          <w:rFonts w:ascii="仿宋" w:hAnsi="仿宋" w:cs="仿宋" w:hint="eastAsia" w:eastAsia="仿宋_GB2312"/>
          <w:b w:val="false"/>
          <w:i w:val="false"/>
          <w:color w:val="000000"/>
          <w:sz w:val="32"/>
          <w:szCs w:val="32"/>
        </w:rPr>
        <w:t xml:space="preserve"> 本条例自</w:t>
      </w:r>
      <w:r>
        <w:rPr>
          <w:rFonts w:eastAsia="仿宋_GB2312" w:cs="仿宋" w:hint="eastAsia" w:ascii="仿宋" w:hAnsi="仿宋"/>
          <w:b w:val="false"/>
          <w:i w:val="false"/>
          <w:color w:val="000000"/>
          <w:sz w:val="32"/>
          <w:szCs w:val="32"/>
        </w:rPr>
        <w:t>2019</w:t>
      </w:r>
      <w:r>
        <w:rPr>
          <w:rFonts w:ascii="仿宋" w:hAnsi="仿宋" w:cs="仿宋" w:hint="eastAsia" w:eastAsia="仿宋_GB2312"/>
          <w:b w:val="false"/>
          <w:i w:val="false"/>
          <w:color w:val="000000"/>
          <w:sz w:val="32"/>
          <w:szCs w:val="32"/>
        </w:rPr>
        <w:t>年</w:t>
      </w:r>
      <w:r>
        <w:rPr>
          <w:rFonts w:eastAsia="仿宋_GB2312" w:cs="仿宋" w:hint="eastAsia" w:ascii="仿宋" w:hAnsi="仿宋"/>
          <w:b w:val="false"/>
          <w:i w:val="false"/>
          <w:color w:val="000000"/>
          <w:sz w:val="32"/>
          <w:szCs w:val="32"/>
        </w:rPr>
        <w:t>5</w:t>
      </w:r>
      <w:r>
        <w:rPr>
          <w:rFonts w:ascii="仿宋" w:hAnsi="仿宋" w:cs="仿宋" w:hint="eastAsia" w:eastAsia="仿宋_GB2312"/>
          <w:b w:val="false"/>
          <w:i w:val="false"/>
          <w:color w:val="000000"/>
          <w:sz w:val="32"/>
          <w:szCs w:val="32"/>
        </w:rPr>
        <w:t>月</w:t>
      </w:r>
      <w:r>
        <w:rPr>
          <w:rFonts w:eastAsia="仿宋_GB2312" w:cs="仿宋" w:hint="eastAsia" w:ascii="仿宋" w:hAnsi="仿宋"/>
          <w:b w:val="false"/>
          <w:i w:val="false"/>
          <w:color w:val="000000"/>
          <w:sz w:val="32"/>
          <w:szCs w:val="32"/>
        </w:rPr>
        <w:t>1</w:t>
      </w:r>
      <w:r>
        <w:rPr>
          <w:rFonts w:ascii="仿宋" w:hAnsi="仿宋" w:cs="仿宋" w:hint="eastAsia" w:eastAsia="仿宋_GB2312"/>
          <w:b w:val="false"/>
          <w:i w:val="false"/>
          <w:color w:val="000000"/>
          <w:sz w:val="32"/>
          <w:szCs w:val="32"/>
        </w:rPr>
        <w:t>日起施行。</w:t>
      </w:r>
    </w:p>
    <w:sectPr>
      <w:headerReference w:type="even" r:id="rId2"/>
      <w:headerReference w:type="default" r:id="rId3"/>
      <w:footerReference w:type="even" r:id="rId4"/>
      <w:footerReference w:type="default" r:id="rId5"/>
      <w:type w:val="nextPage"/>
      <w:pgSz w:orient="landscape" w:w="11906" w:h="16838"/>
      <w:pgMar w:left="1984" w:right="2098" w:gutter="0" w:header="851" w:top="1587" w:footer="992" w:bottom="1474"/>
      <w:pgNumType w:fmt="decimal"/>
      <w:formProt w:val="false"/>
      <w:textDirection w:val="lrTb"/>
      <w:docGrid w:type="lines" w:linePitch="34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黑体">
    <w:charset w:val="86"/>
    <w:family w:val="auto"/>
    <w:pitch w:val="default"/>
  </w:font>
  <w:font w:name="仿宋">
    <w:charset w:val="86"/>
    <w:family w:val="modern"/>
    <w:pitch w:val="default"/>
  </w:font>
  <w:font w:name="华文楷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7" behindDoc="1" locked="0" layoutInCell="0" allowOverlap="1">
              <wp:simplePos x="0" y="0"/>
              <wp:positionH relativeFrom="margin">
                <wp:posOffset>86995</wp:posOffset>
              </wp:positionH>
              <wp:positionV relativeFrom="paragraph">
                <wp:posOffset>-8255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65pt;mso-position-vertical-relative:text;margin-left:6.8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rPr>
    </w:pPr>
    <w:r>
      <w:rPr>
        <w:rFonts w:eastAsia="仿宋_GB2312"/>
      </w:rPr>
    </w:r>
    <w:r>
      <mc:AlternateContent>
        <mc:Choice Requires="wps">
          <w:drawing>
            <wp:anchor distT="0" distB="0" distL="114935" distR="114935" simplePos="0" relativeHeight="9" behindDoc="1" locked="0" layoutInCell="0" allowOverlap="1">
              <wp:simplePos x="0" y="0"/>
              <wp:positionH relativeFrom="margin">
                <wp:posOffset>5052695</wp:posOffset>
              </wp:positionH>
              <wp:positionV relativeFrom="paragraph">
                <wp:posOffset>-15875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仿宋_GB2312" w:cs="宋体"/>
                              <w:sz w:val="28"/>
                              <w:szCs w:val="28"/>
                            </w:rPr>
                          </w:pPr>
                          <w:r>
                            <w:rPr>
                              <w:rFonts w:eastAsia="仿宋_GB2312" w:cs="宋体" w:ascii="宋体" w:hAnsi="宋体"/>
                              <w:sz w:val="28"/>
                              <w:szCs w:val="28"/>
                            </w:rPr>
                            <w:fldChar w:fldCharType="begin"/>
                          </w:r>
                          <w:r>
                            <w:rPr>
                              <w:rFonts w:eastAsia="仿宋_GB2312" w:cs="宋体" w:ascii="宋体" w:hAnsi="宋体"/>
                              <w:sz w:val="28"/>
                              <w:szCs w:val="28"/>
                            </w:rPr>
                            <w:instrText xml:space="preserve"> PAGE </w:instrText>
                          </w:r>
                          <w:r>
                            <w:rPr>
                              <w:rFonts w:eastAsia="仿宋_GB2312" w:cs="宋体" w:ascii="宋体" w:hAnsi="宋体"/>
                              <w:sz w:val="28"/>
                              <w:szCs w:val="28"/>
                            </w:rPr>
                            <w:fldChar w:fldCharType="separate"/>
                          </w:r>
                          <w:r>
                            <w:rPr>
                              <w:rFonts w:eastAsia="仿宋_GB2312" w:cs="宋体" w:ascii="宋体" w:hAnsi="宋体"/>
                              <w:sz w:val="28"/>
                              <w:szCs w:val="28"/>
                            </w:rPr>
                            <w:t>15</w:t>
                          </w:r>
                          <w:r>
                            <w:rPr>
                              <w:rFonts w:eastAsia="仿宋_GB2312"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1.25pt;mso-position-vertical-relative:text;margin-left:397.85pt;mso-position-horizontal-relative:margin">
              <v:fill opacity="0f"/>
              <v:textbox inset="0.000694444444444445in,0.000694444444444445in,0.000694444444444445in,0.000694444444444445in">
                <w:txbxContent>
                  <w:p>
                    <w:pPr>
                      <w:pStyle w:val="Footer"/>
                      <w:rPr>
                        <w:rFonts w:ascii="宋体" w:hAnsi="宋体" w:eastAsia="仿宋_GB2312" w:cs="宋体"/>
                        <w:sz w:val="28"/>
                        <w:szCs w:val="28"/>
                      </w:rPr>
                    </w:pPr>
                    <w:r>
                      <w:rPr>
                        <w:rFonts w:eastAsia="仿宋_GB2312" w:cs="宋体" w:ascii="宋体" w:hAnsi="宋体"/>
                        <w:sz w:val="28"/>
                        <w:szCs w:val="28"/>
                      </w:rPr>
                      <w:fldChar w:fldCharType="begin"/>
                    </w:r>
                    <w:r>
                      <w:rPr>
                        <w:rFonts w:eastAsia="仿宋_GB2312" w:cs="宋体" w:ascii="宋体" w:hAnsi="宋体"/>
                        <w:sz w:val="28"/>
                        <w:szCs w:val="28"/>
                      </w:rPr>
                      <w:instrText xml:space="preserve"> PAGE </w:instrText>
                    </w:r>
                    <w:r>
                      <w:rPr>
                        <w:rFonts w:eastAsia="仿宋_GB2312" w:cs="宋体" w:ascii="宋体" w:hAnsi="宋体"/>
                        <w:sz w:val="28"/>
                        <w:szCs w:val="28"/>
                      </w:rPr>
                      <w:fldChar w:fldCharType="separate"/>
                    </w:r>
                    <w:r>
                      <w:rPr>
                        <w:rFonts w:eastAsia="仿宋_GB2312" w:cs="宋体" w:ascii="宋体" w:hAnsi="宋体"/>
                        <w:sz w:val="28"/>
                        <w:szCs w:val="28"/>
                      </w:rPr>
                      <w:t>15</w:t>
                    </w:r>
                    <w:r>
                      <w:rPr>
                        <w:rFonts w:eastAsia="仿宋_GB2312" w:cs="宋体"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rFonts w:eastAsia="仿宋_GB2312"/>
      </w:rPr>
    </w:pPr>
    <w:r>
      <w:rPr>
        <w:rFonts w:eastAsia="仿宋_GB231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节"/>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space"/>
      <w:lvlText w:val="第%1章"/>
      <w:lvlJc w:val="start"/>
      <w:pPr>
        <w:tabs>
          <w:tab w:val="num" w:pos="0"/>
        </w:tabs>
        <w:ind w:start="0" w:hanging="0"/>
      </w:pPr>
      <w:rPr>
        <w:rFonts w:hint="eastAsia"/>
      </w:rPr>
    </w:lvl>
  </w:abstractNum>
  <w:abstractNum w:abstractNumId="5">
    <w:lvl w:ilvl="0">
      <w:start w:val="1"/>
      <w:numFmt w:val="chineseCountingThousand"/>
      <w:suff w:val="space"/>
      <w:lvlText w:val="第%1节"/>
      <w:lvlJc w:val="start"/>
      <w:pPr>
        <w:tabs>
          <w:tab w:val="num" w:pos="0"/>
        </w:tabs>
        <w:ind w:start="420" w:hanging="0"/>
      </w:pPr>
      <w:rPr>
        <w:rFonts w:hint="eastAsia"/>
      </w:rPr>
    </w:lvl>
  </w:abstractNum>
  <w:abstractNum w:abstractNumId="6">
    <w:lvl w:ilvl="0">
      <w:start w:val="1"/>
      <w:numFmt w:val="chineseCountingThousand"/>
      <w:suff w:val="nothing"/>
      <w:lvlText w:val="（%1）"/>
      <w:lvlJc w:val="start"/>
      <w:pPr>
        <w:tabs>
          <w:tab w:val="num" w:pos="0"/>
        </w:tabs>
        <w:ind w:start="0" w:hanging="0"/>
      </w:pPr>
      <w:rPr>
        <w:rFonts w:hint="eastAsia"/>
      </w:rPr>
    </w:lvl>
  </w:abstractNum>
  <w:abstractNum w:abstractNumId="7">
    <w:lvl w:ilvl="0">
      <w:start w:val="1"/>
      <w:numFmt w:val="chineseCountingThousand"/>
      <w:suff w:val="nothing"/>
      <w:lvlText w:val="（%1）"/>
      <w:lvlJc w:val="start"/>
      <w:pPr>
        <w:tabs>
          <w:tab w:val="num" w:pos="0"/>
        </w:tabs>
        <w:ind w:start="0" w:hanging="0"/>
      </w:pPr>
      <w:rPr>
        <w:rFonts w:hint="eastAsia"/>
      </w:rPr>
    </w:lvl>
  </w:abstractNum>
  <w:abstractNum w:abstractNumId="8">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b/>
      <w:bCs/>
      <w:kern w:val="2"/>
      <w:sz w:val="48"/>
      <w:szCs w:val="48"/>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3">
    <w:name w:val="默认段落字体"/>
    <w:qFormat/>
    <w:rPr>
      <w:rFonts w:eastAsia="宋体"/>
      <w:spacing w:val="0"/>
      <w:sz w:val="21"/>
    </w:rPr>
  </w:style>
  <w:style w:type="character" w:styleId="PageNumber">
    <w:name w:val="page number"/>
    <w:basedOn w:val="Style13"/>
    <w:rPr/>
  </w:style>
  <w:style w:type="character" w:styleId="Hyperlink">
    <w:name w:val="Hyperlink"/>
    <w:basedOn w:val="Style13"/>
    <w:rPr>
      <w:rFonts w:cs="Times New Roman"/>
      <w:color w:val="0000FF"/>
      <w:u w:val="single"/>
    </w:rPr>
  </w:style>
  <w:style w:type="character" w:styleId="Char">
    <w:name w:val="页脚 Char"/>
    <w:basedOn w:val="Style13"/>
    <w:qFormat/>
    <w:rPr>
      <w:rFonts w:cs="Times New Roman"/>
      <w:sz w:val="18"/>
      <w:szCs w:val="18"/>
    </w:rPr>
  </w:style>
  <w:style w:type="character" w:styleId="apple-converted-space">
    <w:name w:val="apple-converted-space"/>
    <w:basedOn w:val="Style13"/>
    <w:qFormat/>
    <w:rPr>
      <w:rFonts w:cs="Times New Roman"/>
    </w:rPr>
  </w:style>
  <w:style w:type="character" w:styleId="1Char">
    <w:name w:val="标题 1 Char"/>
    <w:basedOn w:val="Style13"/>
    <w:qFormat/>
    <w:rPr>
      <w:rFonts w:ascii="宋体" w:hAnsi="宋体" w:eastAsia="宋体" w:cs="宋体"/>
      <w:b/>
      <w:bCs/>
      <w:kern w:val="2"/>
      <w:sz w:val="48"/>
      <w:szCs w:val="48"/>
    </w:rPr>
  </w:style>
  <w:style w:type="character" w:styleId="Char1">
    <w:name w:val="页眉 Char"/>
    <w:basedOn w:val="Style13"/>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CharCharCharCharChar">
    <w:name w:val="Char Char Char Char Char Char Char"/>
    <w:basedOn w:val="Normal"/>
    <w:qFormat/>
    <w:pPr>
      <w:tabs>
        <w:tab w:val="clear" w:pos="420"/>
        <w:tab w:val="right" w:pos="600" w:leader="none"/>
      </w:tabs>
    </w:pPr>
    <w:rPr>
      <w:rFonts w:eastAsia="宋体"/>
      <w:spacing w:val="0"/>
      <w:sz w:val="21"/>
    </w:rPr>
  </w:style>
  <w:style w:type="paragraph" w:styleId="style21">
    <w:name w:val="style2"/>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2018-08-25T00:40:00Z</dcterms:created>
  <dc:creator>lenovo</dc:creator>
  <dc:description/>
  <dc:language>en-US</dc:language>
  <cp:lastModifiedBy>爱一个人</cp:lastModifiedBy>
  <cp:lastPrinted>2019-03-15T02:05:00Z</cp:lastPrinted>
  <dcterms:modified xsi:type="dcterms:W3CDTF">2020-12-11T10:30:49Z</dcterms:modified>
  <cp:revision>5</cp:revision>
  <dc:subject/>
  <dc:title>　阳泉市爱国卫生条例（草案）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