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8"/>
        <w:jc w:val="center"/>
        <w:rPr>
          <w:rFonts w:ascii="仿宋_GB2312" w:hAnsi="仿宋_GB2312" w:eastAsia="仿宋_GB2312" w:cs="新宋体" w:hint="eastAsia"/>
          <w:b/>
          <w:bCs/>
          <w:sz w:val="32"/>
          <w:szCs w:val="32"/>
        </w:rPr>
      </w:pPr>
      <w:r>
        <w:rPr>
          <w:rFonts w:eastAsia="仿宋_GB2312" w:cs="新宋体" w:hint="eastAsia" w:ascii="仿宋_GB2312" w:hAnsi="仿宋_GB2312"/>
          <w:b/>
          <w:bCs/>
          <w:sz w:val="32"/>
          <w:szCs w:val="32"/>
        </w:rPr>
      </w:r>
    </w:p>
    <w:p>
      <w:pPr>
        <w:pStyle w:val="Normal"/>
        <w:spacing w:lineRule="exact" w:line="578"/>
        <w:jc w:val="center"/>
        <w:rPr>
          <w:rFonts w:ascii="仿宋_GB2312" w:hAnsi="仿宋_GB2312" w:eastAsia="仿宋_GB2312" w:cs="新宋体" w:hint="eastAsia"/>
          <w:b/>
          <w:bCs/>
          <w:sz w:val="32"/>
          <w:szCs w:val="32"/>
        </w:rPr>
      </w:pPr>
      <w:r>
        <w:rPr>
          <w:rFonts w:eastAsia="仿宋_GB2312" w:cs="新宋体" w:hint="eastAsia" w:ascii="仿宋_GB2312" w:hAnsi="仿宋_GB2312"/>
          <w:b/>
          <w:bCs/>
          <w:sz w:val="32"/>
          <w:szCs w:val="32"/>
        </w:rPr>
      </w:r>
    </w:p>
    <w:p>
      <w:pPr>
        <w:pStyle w:val="Normal"/>
        <w:spacing w:lineRule="exact" w:line="578"/>
        <w:jc w:val="center"/>
        <w:rPr>
          <w:rFonts w:ascii="宋体;SimSun" w:hAnsi="宋体;SimSun" w:cs="新宋体" w:hint="eastAsia"/>
          <w:bCs/>
          <w:sz w:val="44"/>
          <w:szCs w:val="44"/>
        </w:rPr>
      </w:pPr>
      <w:r>
        <w:rPr>
          <w:rFonts w:ascii="宋体;SimSun" w:hAnsi="宋体;SimSun" w:cs="新宋体" w:hint="eastAsia"/>
          <w:bCs/>
          <w:sz w:val="44"/>
          <w:szCs w:val="44"/>
        </w:rPr>
        <w:t>山西省人民代表大会代表视察办法</w:t>
      </w:r>
    </w:p>
    <w:p>
      <w:pPr>
        <w:pStyle w:val="Normal"/>
        <w:spacing w:lineRule="exact" w:line="578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eastAsia="仿宋_GB2312" w:cs="仿宋;Arial Unicode MS" w:hint="eastAsia" w:ascii="仿宋_GB2312" w:hAnsi="仿宋_GB2312"/>
          <w:sz w:val="32"/>
          <w:szCs w:val="32"/>
        </w:rPr>
        <w:t xml:space="preserve">       </w:t>
      </w:r>
    </w:p>
    <w:p>
      <w:pPr>
        <w:pStyle w:val="Normal"/>
        <w:spacing w:lineRule="exact" w:line="578"/>
        <w:ind w:firstLineChars="0" w:firstLine="0" w:startChars="320" w:endChars="280"/>
        <w:rPr>
          <w:rFonts w:ascii="楷体_GB2312" w:hAnsi="楷体_GB2312" w:eastAsia="楷体_GB2312" w:cs="仿宋;Arial Unicode MS" w:hint="eastAsia"/>
          <w:sz w:val="32"/>
          <w:szCs w:val="32"/>
        </w:rPr>
      </w:pPr>
      <w:r>
        <w:rPr>
          <w:rFonts w:ascii="楷体_GB2312" w:hAnsi="楷体_GB2312" w:cs="仿宋;Arial Unicode MS" w:hint="eastAsia" w:eastAsia="楷体_GB2312"/>
          <w:sz w:val="32"/>
          <w:szCs w:val="32"/>
        </w:rPr>
        <w:t>（</w:t>
      </w:r>
      <w:r>
        <w:rPr>
          <w:rFonts w:eastAsia="楷体_GB2312" w:cs="仿宋;Arial Unicode MS" w:hint="eastAsia" w:ascii="楷体_GB2312" w:hAnsi="楷体_GB2312"/>
          <w:sz w:val="32"/>
          <w:szCs w:val="32"/>
        </w:rPr>
        <w:t>1994</w:t>
      </w:r>
      <w:r>
        <w:rPr>
          <w:rFonts w:ascii="楷体_GB2312" w:hAnsi="楷体_GB2312" w:cs="仿宋;Arial Unicode MS" w:hint="eastAsia" w:eastAsia="楷体_GB2312"/>
          <w:sz w:val="32"/>
          <w:szCs w:val="32"/>
        </w:rPr>
        <w:t>年</w:t>
      </w:r>
      <w:r>
        <w:rPr>
          <w:rFonts w:eastAsia="楷体_GB2312" w:cs="仿宋;Arial Unicode MS" w:hint="eastAsia" w:ascii="楷体_GB2312" w:hAnsi="楷体_GB2312"/>
          <w:sz w:val="32"/>
          <w:szCs w:val="32"/>
        </w:rPr>
        <w:t>9</w:t>
      </w:r>
      <w:r>
        <w:rPr>
          <w:rFonts w:ascii="楷体_GB2312" w:hAnsi="楷体_GB2312" w:cs="仿宋;Arial Unicode MS" w:hint="eastAsia" w:eastAsia="楷体_GB2312"/>
          <w:sz w:val="32"/>
          <w:szCs w:val="32"/>
        </w:rPr>
        <w:t>月</w:t>
      </w:r>
      <w:r>
        <w:rPr>
          <w:rFonts w:eastAsia="楷体_GB2312" w:cs="仿宋;Arial Unicode MS" w:hint="eastAsia" w:ascii="楷体_GB2312" w:hAnsi="楷体_GB2312"/>
          <w:sz w:val="32"/>
          <w:szCs w:val="32"/>
        </w:rPr>
        <w:t>29</w:t>
      </w:r>
      <w:r>
        <w:rPr>
          <w:rFonts w:ascii="楷体_GB2312" w:hAnsi="楷体_GB2312" w:cs="仿宋;Arial Unicode MS" w:hint="eastAsia" w:eastAsia="楷体_GB2312"/>
          <w:sz w:val="32"/>
          <w:szCs w:val="32"/>
        </w:rPr>
        <w:t>日山西省第八届人民代表大会常务委员会第十一次会议通过）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eastAsia="仿宋_GB2312" w:cs="仿宋;Arial Unicode MS" w:hint="eastAsia" w:ascii="仿宋_GB2312" w:hAnsi="仿宋_GB2312"/>
          <w:sz w:val="32"/>
          <w:szCs w:val="32"/>
        </w:rPr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第一条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为了便于省人民代表大会代表（以下简称代表）更好地依法行使代表的职权，对本省各级国家机关的工作进行监督，加强同原选举单位和人民群众之间的联系，及时反映人民群众的意见和要求，协助宪法、法律的实施，推进本级人民政府的工作，根据《中华人民共和国全国人民代表大会和地方各级人民代表大会代表法》的规定，结合我省实际情况，制定本办法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第二条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代表视察是代表在代表大会闭会期间执行代表职务的重要活动。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代表视察可采用集中统一组织视察、专题视察和分散视察的方式。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集中统一组织视察一般在代表大会召开之前进行，由省人大常委会的办事机构、派出机构组织，或者委托市、县、区人大常委会组织。集中统一组织的视察可以采用集体视察、自由组合视察、单独视察等形式。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省人大常委会的办事机构、派出机构根据需要可以组织有关代表进行专题视察。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代表持代表证或者视察证可以就近就地视察，或者结合本单位的工作进行视察。代表进行分散视察，可直接到现场视察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也可同省人大常委会的办事机构、派出机构，原选举单位和所在市、县、区的人大常委会联系安排视察。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在省级机关、地区机关工作的代表，可以回原选举单位视察。解放军代表如愿到地方视察，可在驻地进行，也可以参加地方集中统一组织的视察。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第三条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代表视察应在宪法和法律赋予人民代表大会的职权范围内进行，视察的主要内容是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: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（一）宪法、法律、法规和上级、本级人民代表大会及其常务委员会决定、决议的执行情况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（二）本省的国民经济和社会发展计划，财政预算执行情况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（三）省人民代表大会或者常务委员会审议讨论的有关问题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（四）议案及代表建议、批评和意见的办理情况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（五）代表认为需要视察的问题及人民群众反映和关心的重大问题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（六）省人大常委会认为需要视察的问题。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集中统一组织的视察、专题视察结束后，应向省人大常委会写出视察报告。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第四条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代表根据省人大常委会的安排，对本级或者下级国家机关和有关单位的工作进行集体视察时，可以提出约见本级或者下级国家机关的负责人。被约见的国家机关负责人应听取代表的建议、批评和意见。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第五条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代表视察证由省人大常委会制发，使用期限与代表的任期相同。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第六条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在视察中提出的建议、批评和意见，凡属当地职权范围内的问题，由当地人大常委会转有关单位研究处理。需要省里处理的问题，可以交省人大常委会转有关单位处理。各承办单位要认真办理，及时答复代表，同时将答复意见抄送省人大常委会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第七条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省人大常委会的办事机构，派出机构和各市、县、区人大常委会应负责做好代表视察的服务工作。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各级人民政府及所属各个部门和单位、各级人民法院、人民检察院，应如实向代表介绍情况，听取代表的意见，接受代表的监督。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代表视察，代表所在单位必须给予时间保证，代表视察占用的时间，按正常出勤对待，享受所在单位的工资和其他待遇。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第八条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代表应认真学习宪法、法律、法规，认真履行自己的职责，积极参加视察。视察时要坚持依法办事，廉洁奉公，积极主动地向人民群众宣传宪法、法律、法规，认真反映被视察单位的意见和要求。  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第九条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一切组织和个人都必须尊重代表的权利，支持代表执行代表职务。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阻碍代表依法执行代表职务的，根据情节，由所在单位或者上级机关给予行政处分，或者依照治安管理处罚条例第十九条的规定处罚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以暴力、威胁方法阻碍代表依法执行代表职务的，依照刑法第一百五十七条的规定追究刑事责任。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" w:hAnsi="仿宋_GB2312" w:eastAsia="仿宋_GB2312" w:cs="仿宋;Arial Unicode MS" w:hint="eastAsia"/>
          <w:sz w:val="32"/>
          <w:szCs w:val="32"/>
        </w:rPr>
      </w:pPr>
      <w:r>
        <w:rPr>
          <w:rFonts w:ascii="仿宋_GB2312" w:hAnsi="仿宋_GB2312" w:cs="仿宋;Arial Unicode MS" w:hint="eastAsia" w:eastAsia="仿宋_GB2312"/>
          <w:sz w:val="32"/>
          <w:szCs w:val="32"/>
        </w:rPr>
        <w:t>对代表依法执行代表职务进行打击报复的，由所在单位或者上级机关责令改正或者给予行政处分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;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国家工作人员进行打击报复构成犯罪的，依照刑法第一百四十六条的规定追究刑事责任。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第十条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集中统一组织视察的费用，从代表活动经费中支出。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第十一条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市、县、区人民代表大会代表的视察可参照本办法执行。</w:t>
      </w:r>
    </w:p>
    <w:p>
      <w:pPr>
        <w:pStyle w:val="Normal"/>
        <w:spacing w:lineRule="exact" w:line="578"/>
        <w:ind w:firstLineChars="200" w:startChars="0" w:start="0" w:endChars="0" w:end="0"/>
        <w:rPr/>
      </w:pPr>
      <w:r>
        <w:rPr>
          <w:rFonts w:ascii="黑体;SimHei" w:hAnsi="黑体;SimHei" w:cs="仿宋;Arial Unicode MS" w:hint="eastAsia" w:eastAsia="黑体;SimHei"/>
          <w:bCs/>
          <w:sz w:val="32"/>
          <w:szCs w:val="32"/>
        </w:rPr>
        <w:t>第十二条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 xml:space="preserve">  本办法自公布之日起施行。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1986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年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11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月</w:t>
      </w:r>
      <w:r>
        <w:rPr>
          <w:rFonts w:eastAsia="仿宋_GB2312" w:cs="仿宋;Arial Unicode MS" w:hint="eastAsia" w:ascii="仿宋_GB2312" w:hAnsi="仿宋_GB2312"/>
          <w:sz w:val="32"/>
          <w:szCs w:val="32"/>
        </w:rPr>
        <w:t>13</w:t>
      </w:r>
      <w:r>
        <w:rPr>
          <w:rFonts w:ascii="仿宋_GB2312" w:hAnsi="仿宋_GB2312" w:cs="仿宋;Arial Unicode MS" w:hint="eastAsia" w:eastAsia="仿宋_GB2312"/>
          <w:sz w:val="32"/>
          <w:szCs w:val="32"/>
        </w:rPr>
        <w:t>日山西省第六届人民代表大会常务委员会第二十一次会议通过的《山西省人民代表大会代表视察办法》同时废止。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1304" w:bottom="204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 </w:t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2016-12-27T14:07:00Z</dcterms:created>
  <dc:creator>lenovo</dc:creator>
  <dc:description/>
  <cp:keywords/>
  <dc:language>en-US</dc:language>
  <cp:lastModifiedBy>番茄花园</cp:lastModifiedBy>
  <dcterms:modified xsi:type="dcterms:W3CDTF">2017-02-24T10:50:00Z</dcterms:modified>
  <cp:revision>8</cp:revision>
  <dc:subject/>
  <dc:title>山西省人民代表大会代表视察办法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