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napToGrid w:val="false"/>
        <w:spacing w:lineRule="auto" w:line="288" w:before="156" w:after="156"/>
        <w:jc w:val="both"/>
        <w:rPr>
          <w:rFonts w:ascii="宋体" w:hAnsi="宋体" w:cs="宋体" w:hint="eastAsia"/>
          <w:b/>
          <w:color w:val="000000"/>
          <w:sz w:val="32"/>
          <w:szCs w:val="32"/>
        </w:rPr>
      </w:pPr>
      <w:r>
        <w:rPr>
          <w:rFonts w:cs="宋体" w:hint="eastAsia" w:ascii="宋体" w:hAnsi="宋体"/>
          <w:b/>
          <w:color w:val="000000"/>
          <w:sz w:val="32"/>
          <w:szCs w:val="32"/>
        </w:rPr>
      </w:r>
    </w:p>
    <w:p>
      <w:pPr>
        <w:pStyle w:val="Normal"/>
        <w:snapToGrid w:val="false"/>
        <w:spacing w:lineRule="auto" w:line="288" w:before="156" w:after="156"/>
        <w:jc w:val="center"/>
        <w:rPr>
          <w:rFonts w:ascii="宋体" w:hAnsi="宋体" w:cs="宋体" w:hint="eastAsia"/>
          <w:b w:val="false"/>
          <w:bCs/>
          <w:color w:val="000000"/>
          <w:sz w:val="44"/>
          <w:szCs w:val="44"/>
        </w:rPr>
      </w:pPr>
      <w:r>
        <w:rPr>
          <w:rFonts w:ascii="宋体" w:hAnsi="宋体" w:cs="宋体" w:hint="eastAsia"/>
          <w:b w:val="false"/>
          <w:bCs/>
          <w:color w:val="000000"/>
          <w:sz w:val="44"/>
          <w:szCs w:val="44"/>
        </w:rPr>
        <w:t>忻州市滹沱河流域生态修复与保护条例</w:t>
      </w:r>
    </w:p>
    <w:p>
      <w:pPr>
        <w:pStyle w:val="Normal"/>
        <w:jc w:val="center"/>
        <w:rPr>
          <w:rFonts w:ascii="楷体" w:hAnsi="楷体" w:eastAsia="楷体" w:cs="楷体" w:hint="eastAsia"/>
          <w:b w:val="false"/>
          <w:bCs/>
          <w:color w:val="000000"/>
          <w:sz w:val="32"/>
          <w:szCs w:val="32"/>
        </w:rPr>
      </w:pPr>
      <w:r>
        <w:rPr>
          <w:rFonts w:eastAsia="楷体" w:cs="楷体" w:hint="eastAsia" w:ascii="楷体" w:hAnsi="楷体"/>
          <w:b w:val="false"/>
          <w:bCs/>
          <w:color w:val="000000"/>
          <w:sz w:val="32"/>
          <w:szCs w:val="32"/>
        </w:rPr>
      </w:r>
    </w:p>
    <w:p>
      <w:pPr>
        <w:pStyle w:val="Normal"/>
        <w:ind w:firstLineChars="200" w:startChars="0" w:start="0" w:endChars="0" w:end="0"/>
        <w:jc w:val="both"/>
        <w:rPr>
          <w:rFonts w:ascii="楷体" w:hAnsi="楷体" w:eastAsia="楷体" w:cs="楷体" w:hint="eastAsia"/>
          <w:color w:val="000000"/>
          <w:sz w:val="32"/>
          <w:szCs w:val="32"/>
        </w:rPr>
      </w:pPr>
      <w:r>
        <w:rPr>
          <w:rFonts w:ascii="楷体" w:hAnsi="楷体" w:cs="楷体" w:hint="eastAsia" w:eastAsia="楷体"/>
          <w:bCs/>
          <w:color w:val="000000"/>
          <w:sz w:val="32"/>
          <w:szCs w:val="32"/>
        </w:rPr>
        <w:t>（</w:t>
      </w:r>
      <w:r>
        <w:rPr>
          <w:rFonts w:eastAsia="楷体" w:cs="楷体" w:hint="eastAsia" w:ascii="楷体" w:hAnsi="楷体"/>
          <w:color w:val="000000"/>
          <w:sz w:val="32"/>
          <w:szCs w:val="32"/>
        </w:rPr>
        <w:t>2018</w:t>
      </w:r>
      <w:r>
        <w:rPr>
          <w:rFonts w:ascii="楷体" w:hAnsi="楷体" w:cs="楷体" w:hint="eastAsia" w:eastAsia="楷体"/>
          <w:color w:val="000000"/>
          <w:sz w:val="32"/>
          <w:szCs w:val="32"/>
        </w:rPr>
        <w:t>年</w:t>
      </w:r>
      <w:r>
        <w:rPr>
          <w:rFonts w:eastAsia="楷体" w:cs="楷体" w:hint="eastAsia" w:ascii="楷体" w:hAnsi="楷体"/>
          <w:color w:val="000000"/>
          <w:sz w:val="32"/>
          <w:szCs w:val="32"/>
        </w:rPr>
        <w:t>12</w:t>
      </w:r>
      <w:r>
        <w:rPr>
          <w:rFonts w:ascii="楷体" w:hAnsi="楷体" w:cs="楷体" w:hint="eastAsia" w:eastAsia="楷体"/>
          <w:color w:val="000000"/>
          <w:sz w:val="32"/>
          <w:szCs w:val="32"/>
        </w:rPr>
        <w:t>月</w:t>
      </w:r>
      <w:r>
        <w:rPr>
          <w:rFonts w:eastAsia="楷体" w:cs="楷体" w:hint="eastAsia" w:ascii="楷体" w:hAnsi="楷体"/>
          <w:color w:val="000000"/>
          <w:sz w:val="32"/>
          <w:szCs w:val="32"/>
        </w:rPr>
        <w:t>27</w:t>
      </w:r>
      <w:r>
        <w:rPr>
          <w:rFonts w:ascii="楷体" w:hAnsi="楷体" w:cs="楷体" w:hint="eastAsia" w:eastAsia="楷体"/>
          <w:color w:val="000000"/>
          <w:sz w:val="32"/>
          <w:szCs w:val="32"/>
        </w:rPr>
        <w:t>日忻州市第四届人民代表大会常务</w:t>
      </w:r>
    </w:p>
    <w:p>
      <w:pPr>
        <w:pStyle w:val="Normal"/>
        <w:ind w:firstLineChars="200" w:startChars="0" w:start="0" w:endChars="0" w:end="0"/>
        <w:jc w:val="both"/>
        <w:rPr>
          <w:rFonts w:ascii="楷体" w:hAnsi="楷体" w:eastAsia="楷体" w:cs="楷体" w:hint="eastAsia"/>
          <w:color w:val="000000"/>
          <w:sz w:val="32"/>
          <w:szCs w:val="32"/>
        </w:rPr>
      </w:pPr>
      <w:r>
        <w:rPr>
          <w:rFonts w:ascii="楷体" w:hAnsi="楷体" w:cs="楷体" w:hint="eastAsia" w:eastAsia="楷体"/>
          <w:color w:val="000000"/>
          <w:sz w:val="32"/>
          <w:szCs w:val="32"/>
        </w:rPr>
        <w:t>委员会第十六次会议通过 山西省第十三届人民代表</w:t>
      </w:r>
    </w:p>
    <w:p>
      <w:pPr>
        <w:pStyle w:val="Normal"/>
        <w:ind w:firstLineChars="200" w:startChars="0" w:start="0" w:endChars="0" w:end="0"/>
        <w:jc w:val="both"/>
        <w:rPr>
          <w:rFonts w:ascii="楷体" w:hAnsi="楷体" w:eastAsia="楷体" w:cs="楷体" w:hint="eastAsia"/>
          <w:color w:val="000000"/>
          <w:sz w:val="32"/>
          <w:szCs w:val="32"/>
        </w:rPr>
      </w:pPr>
      <w:r>
        <w:rPr>
          <w:rFonts w:ascii="楷体" w:hAnsi="楷体" w:cs="楷体" w:hint="eastAsia" w:eastAsia="楷体"/>
          <w:color w:val="000000"/>
          <w:sz w:val="32"/>
          <w:szCs w:val="32"/>
        </w:rPr>
        <w:t>大会常务委员会第九次会议于</w:t>
      </w:r>
      <w:r>
        <w:rPr>
          <w:rFonts w:eastAsia="楷体" w:cs="楷体" w:hint="eastAsia" w:ascii="楷体" w:hAnsi="楷体"/>
          <w:color w:val="000000"/>
          <w:sz w:val="32"/>
          <w:szCs w:val="32"/>
        </w:rPr>
        <w:t>2019</w:t>
      </w:r>
      <w:r>
        <w:rPr>
          <w:rFonts w:ascii="楷体" w:hAnsi="楷体" w:cs="楷体" w:hint="eastAsia" w:eastAsia="楷体"/>
          <w:color w:val="000000"/>
          <w:sz w:val="32"/>
          <w:szCs w:val="32"/>
        </w:rPr>
        <w:t>年</w:t>
      </w:r>
      <w:r>
        <w:rPr>
          <w:rFonts w:eastAsia="楷体" w:cs="楷体" w:hint="eastAsia" w:ascii="楷体" w:hAnsi="楷体"/>
          <w:color w:val="000000"/>
          <w:sz w:val="32"/>
          <w:szCs w:val="32"/>
        </w:rPr>
        <w:t>3</w:t>
      </w:r>
      <w:r>
        <w:rPr>
          <w:rFonts w:ascii="楷体" w:hAnsi="楷体" w:cs="楷体" w:hint="eastAsia" w:eastAsia="楷体"/>
          <w:color w:val="000000"/>
          <w:sz w:val="32"/>
          <w:szCs w:val="32"/>
        </w:rPr>
        <w:t>月</w:t>
      </w:r>
      <w:r>
        <w:rPr>
          <w:rFonts w:eastAsia="楷体" w:cs="楷体" w:hint="eastAsia" w:ascii="楷体" w:hAnsi="楷体"/>
          <w:color w:val="000000"/>
          <w:sz w:val="32"/>
          <w:szCs w:val="32"/>
        </w:rPr>
        <w:t>22</w:t>
      </w:r>
      <w:r>
        <w:rPr>
          <w:rFonts w:ascii="楷体" w:hAnsi="楷体" w:cs="楷体" w:hint="eastAsia" w:eastAsia="楷体"/>
          <w:color w:val="000000"/>
          <w:sz w:val="32"/>
          <w:szCs w:val="32"/>
        </w:rPr>
        <w:t>日批准</w:t>
      </w:r>
      <w:r>
        <w:rPr>
          <w:rFonts w:ascii="楷体" w:hAnsi="楷体" w:cs="楷体" w:hint="eastAsia" w:eastAsia="楷体"/>
          <w:bCs/>
          <w:color w:val="000000"/>
          <w:sz w:val="32"/>
          <w:szCs w:val="32"/>
        </w:rPr>
        <w:t>）</w:t>
      </w:r>
    </w:p>
    <w:p>
      <w:pPr>
        <w:pStyle w:val="Heading2"/>
        <w:numPr>
          <w:ilvl w:val="1"/>
          <w:numId w:val="3"/>
        </w:numPr>
        <w:tabs>
          <w:tab w:val="clear" w:pos="420"/>
          <w:tab w:val="left" w:pos="2312" w:leader="none"/>
        </w:tabs>
        <w:spacing w:before="579" w:after="579"/>
        <w:rPr>
          <w:rFonts w:cs="Calibri" w:hint="eastAsia"/>
          <w:sz w:val="32"/>
          <w:szCs w:val="21"/>
        </w:rPr>
      </w:pPr>
      <w:r>
        <w:rPr>
          <w:rFonts w:cs="Calibri" w:hint="eastAsia"/>
          <w:sz w:val="32"/>
          <w:szCs w:val="21"/>
        </w:rPr>
        <w:t>总 则</w:t>
      </w:r>
    </w:p>
    <w:p>
      <w:pPr>
        <w:pStyle w:val="Style16"/>
        <w:numPr>
          <w:ilvl w:val="0"/>
          <w:numId w:val="2"/>
        </w:numPr>
        <w:tabs>
          <w:tab w:val="clear" w:pos="420"/>
          <w:tab w:val="left" w:pos="0" w:leader="none"/>
          <w:tab w:val="left" w:pos="1620" w:leader="none"/>
        </w:tabs>
        <w:ind w:firstLineChars="0" w:firstLine="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 xml:space="preserve">为了加强滹沱河流域生态修复与保护，改善流域生态环境，规范滹沱河流域开发、利用、治理等活动，促进经济社会可持续发展，根据有关法律、法规，结合本市滹沱河流域实际，制定本条例。 </w:t>
      </w:r>
    </w:p>
    <w:p>
      <w:pPr>
        <w:pStyle w:val="Style16"/>
        <w:numPr>
          <w:ilvl w:val="0"/>
          <w:numId w:val="2"/>
        </w:numPr>
        <w:tabs>
          <w:tab w:val="clear" w:pos="420"/>
          <w:tab w:val="left" w:pos="0" w:leader="none"/>
          <w:tab w:val="left" w:pos="1620" w:leader="none"/>
        </w:tabs>
        <w:ind w:firstLineChars="0" w:firstLine="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lang w:val="en-US" w:eastAsia="en-US"/>
        </w:rPr>
        <w:t>本条例所称滹沱河流域（以下简称流域），是指位于忻州市境内的滹沱河</w:t>
      </w:r>
      <w:r>
        <w:rPr>
          <w:rFonts w:ascii="仿宋" w:hAnsi="仿宋" w:cs="仿宋_GB2312;仿宋" w:hint="eastAsia"/>
          <w:color w:val="000000"/>
          <w:sz w:val="32"/>
          <w:szCs w:val="32"/>
          <w:lang w:val="en-US" w:eastAsia="en-US"/>
        </w:rPr>
        <w:t>河流源头、</w:t>
      </w:r>
      <w:r>
        <w:rPr>
          <w:rFonts w:ascii="仿宋" w:hAnsi="仿宋" w:cs="仿宋_GB2312;仿宋" w:hint="eastAsia"/>
          <w:bCs/>
          <w:color w:val="000000"/>
          <w:sz w:val="32"/>
          <w:szCs w:val="32"/>
          <w:lang w:val="en-US" w:eastAsia="en-US"/>
        </w:rPr>
        <w:t>干流及其支流汇水面积内的水域和陆域，以及出露带在流域范围内的岩溶泉域。</w:t>
      </w:r>
    </w:p>
    <w:p>
      <w:pPr>
        <w:pStyle w:val="Normal"/>
        <w:ind w:firstLineChars="200" w:startChars="0" w:start="0" w:endChars="0" w:end="0"/>
        <w:rPr>
          <w:rFonts w:ascii="仿宋" w:hAnsi="仿宋" w:eastAsia="仿宋" w:cs="仿宋_GB2312;仿宋" w:hint="eastAsia"/>
          <w:bCs/>
          <w:color w:val="000000"/>
          <w:sz w:val="32"/>
          <w:szCs w:val="32"/>
          <w:lang w:val="en-US" w:eastAsia="en-US"/>
        </w:rPr>
      </w:pPr>
      <w:r>
        <w:rPr>
          <w:rFonts w:ascii="仿宋" w:hAnsi="仿宋" w:cs="仿宋_GB2312;仿宋" w:hint="eastAsia"/>
          <w:bCs/>
          <w:color w:val="000000"/>
          <w:sz w:val="32"/>
          <w:szCs w:val="32"/>
          <w:lang w:val="en-US" w:eastAsia="en-US"/>
        </w:rPr>
        <w:t>本条例适用于流域内生产生活、开发建设、生态修复与保护、投融资保障、监督管理等活动。</w:t>
      </w:r>
    </w:p>
    <w:p>
      <w:pPr>
        <w:pStyle w:val="Style16"/>
        <w:numPr>
          <w:ilvl w:val="0"/>
          <w:numId w:val="2"/>
        </w:numPr>
        <w:tabs>
          <w:tab w:val="clear" w:pos="420"/>
          <w:tab w:val="left" w:pos="0" w:leader="none"/>
          <w:tab w:val="left" w:pos="1620" w:leader="none"/>
        </w:tabs>
        <w:ind w:firstLineChars="0" w:firstLine="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流域内的生态修复与保护坚持政府主导、社会参与、统一规划、保护优先、科学修复、综合治理的原则。</w:t>
      </w:r>
    </w:p>
    <w:p>
      <w:pPr>
        <w:pStyle w:val="Style16"/>
        <w:numPr>
          <w:ilvl w:val="0"/>
          <w:numId w:val="2"/>
        </w:numPr>
        <w:tabs>
          <w:tab w:val="clear" w:pos="420"/>
          <w:tab w:val="left" w:pos="0" w:leader="none"/>
          <w:tab w:val="left" w:pos="1620" w:leader="none"/>
        </w:tabs>
        <w:ind w:firstLineChars="0" w:firstLine="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市、县（市、区）人民政府应当将流域生态修复与保护工作纳入国民经济和社会发展规划；加强流域生态修复与保护，实施山水林田湖草</w:t>
      </w:r>
      <w:r>
        <w:rPr>
          <w:rFonts w:ascii="仿宋" w:hAnsi="仿宋" w:cs="仿宋_GB2312;仿宋" w:hint="eastAsia"/>
          <w:color w:val="000000"/>
          <w:sz w:val="32"/>
          <w:szCs w:val="32"/>
        </w:rPr>
        <w:t>和河流源头</w:t>
      </w:r>
      <w:r>
        <w:rPr>
          <w:rFonts w:ascii="仿宋" w:hAnsi="仿宋" w:cs="仿宋_GB2312;仿宋" w:hint="eastAsia"/>
          <w:bCs/>
          <w:color w:val="000000"/>
          <w:sz w:val="32"/>
          <w:szCs w:val="32"/>
        </w:rPr>
        <w:t>综合治理，保障流域经济社会发展与生态环境相适应。</w:t>
      </w:r>
    </w:p>
    <w:p>
      <w:pPr>
        <w:pStyle w:val="Style16"/>
        <w:numPr>
          <w:ilvl w:val="0"/>
          <w:numId w:val="2"/>
        </w:numPr>
        <w:tabs>
          <w:tab w:val="clear" w:pos="420"/>
          <w:tab w:val="left" w:pos="0" w:leader="none"/>
          <w:tab w:val="left" w:pos="1620" w:leader="none"/>
        </w:tabs>
        <w:ind w:firstLineChars="0" w:firstLine="0" w:startChars="0" w:start="0" w:endChars="0" w:end="0"/>
        <w:rPr>
          <w:rFonts w:ascii="仿宋" w:hAnsi="仿宋" w:eastAsia="仿宋" w:cs="仿宋_GB2312;仿宋" w:hint="eastAsia"/>
          <w:bCs/>
          <w:color w:val="000000"/>
          <w:sz w:val="32"/>
          <w:szCs w:val="32"/>
          <w:lang w:val="en-US" w:eastAsia="en-US"/>
        </w:rPr>
      </w:pPr>
      <w:r>
        <w:rPr>
          <w:rFonts w:ascii="仿宋" w:hAnsi="仿宋" w:cs="仿宋_GB2312;仿宋" w:hint="eastAsia"/>
          <w:bCs/>
          <w:color w:val="000000"/>
          <w:sz w:val="32"/>
          <w:szCs w:val="32"/>
          <w:lang w:val="en-US" w:eastAsia="en-US"/>
        </w:rPr>
        <w:t>市人民政府全面负责流域生态修复与保护工作，统筹协调和研究解决流域生态修复与保护的重大事项。</w:t>
      </w:r>
    </w:p>
    <w:p>
      <w:pPr>
        <w:pStyle w:val="Normal"/>
        <w:ind w:firstLineChars="200" w:startChars="0" w:start="0" w:endChars="0" w:end="0"/>
        <w:rPr>
          <w:rFonts w:ascii="仿宋" w:hAnsi="仿宋" w:eastAsia="仿宋" w:cs="仿宋_GB2312;仿宋" w:hint="eastAsia"/>
          <w:bCs/>
          <w:color w:val="000000"/>
          <w:sz w:val="32"/>
          <w:szCs w:val="32"/>
          <w:lang w:val="en-US" w:eastAsia="en-US"/>
        </w:rPr>
      </w:pPr>
      <w:r>
        <w:rPr>
          <w:rFonts w:ascii="仿宋" w:hAnsi="仿宋" w:cs="仿宋_GB2312;仿宋" w:hint="eastAsia"/>
          <w:bCs/>
          <w:color w:val="000000"/>
          <w:sz w:val="32"/>
          <w:szCs w:val="32"/>
        </w:rPr>
        <w:t>市人民政府</w:t>
      </w:r>
      <w:r>
        <w:rPr>
          <w:rFonts w:ascii="仿宋" w:hAnsi="仿宋" w:cs="仿宋_GB2312;仿宋" w:hint="eastAsia"/>
          <w:bCs/>
          <w:color w:val="000000"/>
          <w:sz w:val="32"/>
          <w:szCs w:val="32"/>
          <w:lang w:val="en-US" w:eastAsia="en-US"/>
        </w:rPr>
        <w:t>在流域生态修复与保护工作中主要履行下列职责</w:t>
      </w:r>
      <w:r>
        <w:rPr>
          <w:rFonts w:eastAsia="仿宋" w:cs="仿宋_GB2312;仿宋" w:hint="eastAsia" w:ascii="仿宋" w:hAnsi="仿宋"/>
          <w:bCs/>
          <w:color w:val="000000"/>
          <w:sz w:val="32"/>
          <w:szCs w:val="32"/>
          <w:lang w:val="en-US" w:eastAsia="en-US"/>
        </w:rPr>
        <w:t>:</w:t>
      </w:r>
    </w:p>
    <w:p>
      <w:pPr>
        <w:pStyle w:val="Normal"/>
        <w:ind w:firstLineChars="200" w:startChars="0" w:start="0" w:endChars="0" w:end="0"/>
        <w:jc w:val="start"/>
        <w:rPr>
          <w:rFonts w:ascii="仿宋" w:hAnsi="仿宋" w:eastAsia="仿宋" w:cs="仿宋_GB2312;仿宋" w:hint="eastAsia"/>
          <w:bCs/>
          <w:color w:val="000000"/>
          <w:sz w:val="32"/>
          <w:szCs w:val="32"/>
          <w:lang w:val="en-US" w:eastAsia="en-US"/>
        </w:rPr>
      </w:pPr>
      <w:r>
        <w:rPr>
          <w:rFonts w:ascii="仿宋" w:hAnsi="仿宋" w:cs="仿宋_GB2312;仿宋" w:hint="eastAsia"/>
          <w:bCs/>
          <w:color w:val="000000"/>
          <w:sz w:val="32"/>
          <w:szCs w:val="32"/>
          <w:lang w:val="en-US" w:eastAsia="en-US"/>
        </w:rPr>
        <w:t>（一）组织流域生态修复与保护综合规划的编制；</w:t>
      </w:r>
    </w:p>
    <w:p>
      <w:pPr>
        <w:pStyle w:val="Normal"/>
        <w:ind w:firstLineChars="200" w:startChars="0" w:start="0" w:endChars="0" w:end="0"/>
        <w:jc w:val="start"/>
        <w:rPr>
          <w:rFonts w:ascii="仿宋" w:hAnsi="仿宋" w:eastAsia="仿宋" w:cs="仿宋_GB2312;仿宋" w:hint="eastAsia"/>
          <w:bCs/>
          <w:color w:val="000000"/>
          <w:sz w:val="32"/>
          <w:szCs w:val="32"/>
          <w:lang w:val="en-US" w:eastAsia="en-US"/>
        </w:rPr>
      </w:pPr>
      <w:r>
        <w:rPr>
          <w:rFonts w:ascii="仿宋" w:hAnsi="仿宋" w:cs="仿宋_GB2312;仿宋" w:hint="eastAsia"/>
          <w:bCs/>
          <w:color w:val="000000"/>
          <w:sz w:val="32"/>
          <w:szCs w:val="32"/>
        </w:rPr>
        <w:t>（二）审查流域生态修复与保护专项规划和实施方案；</w:t>
      </w:r>
    </w:p>
    <w:p>
      <w:pPr>
        <w:pStyle w:val="Normal"/>
        <w:jc w:val="start"/>
        <w:rPr>
          <w:rFonts w:ascii="仿宋" w:hAnsi="仿宋" w:eastAsia="仿宋" w:cs="仿宋_GB2312;仿宋" w:hint="eastAsia"/>
          <w:bCs/>
          <w:color w:val="000000"/>
          <w:sz w:val="32"/>
          <w:szCs w:val="32"/>
          <w:lang w:val="en-US" w:eastAsia="en-US"/>
        </w:rPr>
      </w:pPr>
      <w:r>
        <w:rPr>
          <w:rFonts w:eastAsia="仿宋" w:cs="仿宋_GB2312;仿宋" w:hint="eastAsia" w:ascii="仿宋" w:hAnsi="仿宋"/>
          <w:bCs/>
          <w:color w:val="000000"/>
          <w:sz w:val="32"/>
          <w:szCs w:val="32"/>
          <w:lang w:val="en-US" w:eastAsia="en-US"/>
        </w:rPr>
        <w:t xml:space="preserve"> </w:t>
      </w:r>
      <w:r>
        <w:rPr>
          <w:rFonts w:eastAsia="仿宋" w:cs="仿宋_GB2312;仿宋" w:hint="eastAsia" w:ascii="仿宋" w:hAnsi="仿宋"/>
          <w:bCs/>
          <w:color w:val="000000"/>
          <w:sz w:val="32"/>
          <w:szCs w:val="32"/>
        </w:rPr>
        <w:t xml:space="preserve">  </w:t>
      </w:r>
      <w:r>
        <w:rPr>
          <w:rFonts w:eastAsia="仿宋" w:cs="仿宋_GB2312;仿宋" w:hint="eastAsia" w:ascii="仿宋" w:hAnsi="仿宋"/>
          <w:bCs/>
          <w:color w:val="000000"/>
          <w:sz w:val="32"/>
          <w:szCs w:val="32"/>
          <w:lang w:val="en-US" w:eastAsia="en-US"/>
        </w:rPr>
        <w:t xml:space="preserve"> </w:t>
      </w:r>
      <w:r>
        <w:rPr>
          <w:rFonts w:ascii="仿宋" w:hAnsi="仿宋" w:cs="仿宋_GB2312;仿宋" w:hint="eastAsia"/>
          <w:bCs/>
          <w:color w:val="000000"/>
          <w:sz w:val="32"/>
          <w:szCs w:val="32"/>
          <w:lang w:val="en-US" w:eastAsia="en-US"/>
        </w:rPr>
        <w:t>（三）制定流域生态修复与保护各项经济和行政措施；</w:t>
      </w:r>
    </w:p>
    <w:p>
      <w:pPr>
        <w:pStyle w:val="Normal"/>
        <w:ind w:firstLine="640" w:end="0"/>
        <w:jc w:val="start"/>
        <w:rPr>
          <w:rFonts w:ascii="仿宋" w:hAnsi="仿宋" w:eastAsia="仿宋" w:cs="仿宋_GB2312;仿宋" w:hint="eastAsia"/>
          <w:bCs/>
          <w:color w:val="000000"/>
          <w:sz w:val="32"/>
          <w:szCs w:val="32"/>
          <w:lang w:val="en-US" w:eastAsia="en-US"/>
        </w:rPr>
      </w:pPr>
      <w:r>
        <w:rPr>
          <w:rFonts w:ascii="仿宋" w:hAnsi="仿宋" w:cs="仿宋_GB2312;仿宋" w:hint="eastAsia"/>
          <w:bCs/>
          <w:color w:val="000000"/>
          <w:sz w:val="32"/>
          <w:szCs w:val="32"/>
          <w:lang w:val="en-US" w:eastAsia="en-US"/>
        </w:rPr>
        <w:t>（四）</w:t>
      </w:r>
      <w:r>
        <w:rPr>
          <w:rFonts w:ascii="仿宋" w:hAnsi="仿宋" w:cs="仿宋_GB2312;仿宋" w:hint="eastAsia"/>
          <w:bCs/>
          <w:color w:val="000000"/>
          <w:sz w:val="32"/>
          <w:szCs w:val="32"/>
        </w:rPr>
        <w:t>制定流域山水林田湖草生态保护修复实施方案</w:t>
      </w:r>
      <w:r>
        <w:rPr>
          <w:rFonts w:ascii="仿宋" w:hAnsi="仿宋" w:cs="仿宋_GB2312;仿宋" w:hint="eastAsia"/>
          <w:bCs/>
          <w:color w:val="000000"/>
          <w:sz w:val="32"/>
          <w:szCs w:val="32"/>
          <w:lang w:val="en-US" w:eastAsia="en-US"/>
        </w:rPr>
        <w:t>；</w:t>
      </w:r>
    </w:p>
    <w:p>
      <w:pPr>
        <w:pStyle w:val="Normal"/>
        <w:ind w:firstLine="640" w:end="0"/>
        <w:jc w:val="start"/>
        <w:rPr>
          <w:rFonts w:ascii="仿宋" w:hAnsi="仿宋" w:eastAsia="仿宋" w:cs="仿宋_GB2312;仿宋" w:hint="eastAsia"/>
          <w:color w:val="000000"/>
          <w:sz w:val="32"/>
          <w:szCs w:val="32"/>
          <w:lang w:val="en-US" w:eastAsia="en-US"/>
        </w:rPr>
      </w:pPr>
      <w:r>
        <w:rPr>
          <w:rFonts w:ascii="仿宋" w:hAnsi="仿宋" w:cs="仿宋_GB2312;仿宋" w:hint="eastAsia"/>
          <w:color w:val="000000"/>
          <w:sz w:val="32"/>
          <w:szCs w:val="32"/>
        </w:rPr>
        <w:t>（五）制定滹沱河干流及其支流源头治理方案；</w:t>
      </w:r>
    </w:p>
    <w:p>
      <w:pPr>
        <w:pStyle w:val="Normal"/>
        <w:jc w:val="start"/>
        <w:rPr>
          <w:rFonts w:ascii="仿宋" w:hAnsi="仿宋" w:eastAsia="仿宋" w:cs="仿宋_GB2312;仿宋" w:hint="eastAsia"/>
          <w:bCs/>
          <w:color w:val="000000"/>
          <w:sz w:val="32"/>
          <w:szCs w:val="32"/>
        </w:rPr>
      </w:pPr>
      <w:r>
        <w:rPr>
          <w:rFonts w:eastAsia="仿宋" w:cs="仿宋_GB2312;仿宋" w:hint="eastAsia" w:ascii="仿宋" w:hAnsi="仿宋"/>
          <w:bCs/>
          <w:color w:val="000000"/>
          <w:sz w:val="32"/>
          <w:szCs w:val="32"/>
          <w:lang w:val="en-US" w:eastAsia="en-US"/>
        </w:rPr>
        <w:t xml:space="preserve">   </w:t>
      </w:r>
      <w:r>
        <w:rPr>
          <w:rFonts w:eastAsia="仿宋" w:cs="仿宋_GB2312;仿宋" w:hint="eastAsia" w:ascii="仿宋" w:hAnsi="仿宋"/>
          <w:bCs/>
          <w:color w:val="000000"/>
          <w:sz w:val="32"/>
          <w:szCs w:val="32"/>
        </w:rPr>
        <w:t xml:space="preserve"> </w:t>
      </w:r>
      <w:r>
        <w:rPr>
          <w:rFonts w:ascii="仿宋" w:hAnsi="仿宋" w:cs="仿宋_GB2312;仿宋" w:hint="eastAsia"/>
          <w:bCs/>
          <w:color w:val="000000"/>
          <w:sz w:val="32"/>
          <w:szCs w:val="32"/>
        </w:rPr>
        <w:t>（六）协调流域干流、支流生态修复与保护工作；</w:t>
      </w:r>
    </w:p>
    <w:p>
      <w:pPr>
        <w:pStyle w:val="Normal"/>
        <w:jc w:val="start"/>
        <w:rPr>
          <w:rFonts w:ascii="仿宋" w:hAnsi="仿宋" w:eastAsia="仿宋" w:cs="仿宋_GB2312;仿宋" w:hint="eastAsia"/>
          <w:bCs/>
          <w:color w:val="000000"/>
          <w:sz w:val="32"/>
          <w:szCs w:val="32"/>
        </w:rPr>
      </w:pPr>
      <w:r>
        <w:rPr>
          <w:rFonts w:eastAsia="仿宋" w:cs="仿宋_GB2312;仿宋" w:hint="eastAsia" w:ascii="仿宋" w:hAnsi="仿宋"/>
          <w:bCs/>
          <w:color w:val="000000"/>
          <w:sz w:val="32"/>
          <w:szCs w:val="32"/>
        </w:rPr>
        <w:t xml:space="preserve">    </w:t>
      </w:r>
      <w:r>
        <w:rPr>
          <w:rFonts w:ascii="仿宋" w:hAnsi="仿宋" w:cs="仿宋_GB2312;仿宋" w:hint="eastAsia"/>
          <w:bCs/>
          <w:color w:val="000000"/>
          <w:sz w:val="32"/>
          <w:szCs w:val="32"/>
        </w:rPr>
        <w:t>（七）根据流域生态修复与保护实际情况，需要依法履行的其他职责。</w:t>
      </w:r>
    </w:p>
    <w:p>
      <w:pPr>
        <w:pStyle w:val="Style16"/>
        <w:numPr>
          <w:ilvl w:val="0"/>
          <w:numId w:val="2"/>
        </w:numPr>
        <w:tabs>
          <w:tab w:val="clear" w:pos="420"/>
          <w:tab w:val="left" w:pos="0" w:leader="none"/>
          <w:tab w:val="left" w:pos="1620" w:leader="none"/>
        </w:tabs>
        <w:ind w:firstLineChars="0" w:firstLine="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县（市、区）人民政府及其有关部门、乡（镇）人民政府，按照各自职责做好流域生态修复与保护工作。</w:t>
      </w:r>
    </w:p>
    <w:p>
      <w:pPr>
        <w:pStyle w:val="Style16"/>
        <w:tabs>
          <w:tab w:val="clear" w:pos="420"/>
          <w:tab w:val="left" w:pos="0" w:leader="none"/>
        </w:tabs>
        <w:rPr>
          <w:rFonts w:ascii="仿宋" w:hAnsi="仿宋" w:eastAsia="仿宋" w:cs="仿宋_GB2312;仿宋" w:hint="eastAsia"/>
          <w:bCs/>
          <w:color w:val="000000"/>
          <w:sz w:val="32"/>
          <w:szCs w:val="32"/>
        </w:rPr>
      </w:pPr>
      <w:r>
        <w:rPr>
          <w:rFonts w:eastAsia="仿宋" w:cs="仿宋_GB2312;仿宋" w:hint="eastAsia" w:ascii="仿宋" w:hAnsi="仿宋"/>
          <w:bCs/>
          <w:color w:val="000000"/>
          <w:sz w:val="32"/>
          <w:szCs w:val="32"/>
        </w:rPr>
        <w:t xml:space="preserve">    </w:t>
      </w:r>
      <w:r>
        <w:rPr>
          <w:rFonts w:ascii="仿宋" w:hAnsi="仿宋" w:cs="仿宋_GB2312;仿宋" w:hint="eastAsia"/>
          <w:bCs/>
          <w:color w:val="000000"/>
          <w:sz w:val="32"/>
          <w:szCs w:val="32"/>
        </w:rPr>
        <w:t>流域村（居）民委员会协助乡（镇）人民政府做好流域生态修复与保护工作。</w:t>
      </w:r>
    </w:p>
    <w:p>
      <w:pPr>
        <w:pStyle w:val="Style16"/>
        <w:numPr>
          <w:ilvl w:val="0"/>
          <w:numId w:val="2"/>
        </w:numPr>
        <w:tabs>
          <w:tab w:val="clear" w:pos="420"/>
          <w:tab w:val="left" w:pos="0" w:leader="none"/>
          <w:tab w:val="left" w:pos="1620" w:leader="none"/>
        </w:tabs>
        <w:ind w:firstLineChars="0" w:firstLine="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市、县（市、区）、乡（镇）人民政府应当按照国家规定实行河长负责制，落实本行政区域内水资源保护、河湖水域岸线管理保护、水污染防治、水环境治理、水生态修复、执法监管等责任</w:t>
      </w:r>
      <w:r>
        <w:rPr>
          <w:rFonts w:ascii="仿宋" w:hAnsi="仿宋" w:cs="仿宋_GB2312;仿宋" w:hint="eastAsia"/>
          <w:bCs/>
          <w:color w:val="000000"/>
          <w:sz w:val="32"/>
          <w:szCs w:val="32"/>
          <w:lang w:val="en-US" w:eastAsia="en-US"/>
        </w:rPr>
        <w:t>。</w:t>
      </w:r>
    </w:p>
    <w:p>
      <w:pPr>
        <w:pStyle w:val="Style16"/>
        <w:numPr>
          <w:ilvl w:val="0"/>
          <w:numId w:val="2"/>
        </w:numPr>
        <w:tabs>
          <w:tab w:val="clear" w:pos="420"/>
          <w:tab w:val="left" w:pos="0" w:leader="none"/>
          <w:tab w:val="left" w:pos="1620" w:leader="none"/>
        </w:tabs>
        <w:ind w:firstLineChars="0" w:firstLine="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lang w:val="en-US" w:eastAsia="en-US"/>
        </w:rPr>
        <w:t>市、县（市、区）、</w:t>
      </w:r>
      <w:r>
        <w:rPr>
          <w:rFonts w:ascii="仿宋" w:hAnsi="仿宋" w:cs="仿宋_GB2312;仿宋" w:hint="eastAsia"/>
          <w:bCs/>
          <w:color w:val="000000"/>
          <w:sz w:val="32"/>
          <w:szCs w:val="32"/>
        </w:rPr>
        <w:t>乡（镇）</w:t>
      </w:r>
      <w:r>
        <w:rPr>
          <w:rFonts w:ascii="仿宋" w:hAnsi="仿宋" w:cs="仿宋_GB2312;仿宋" w:hint="eastAsia"/>
          <w:bCs/>
          <w:color w:val="000000"/>
          <w:sz w:val="32"/>
          <w:szCs w:val="32"/>
          <w:lang w:val="en-US" w:eastAsia="en-US"/>
        </w:rPr>
        <w:t>人民政府应当将流域生态修复与保护目标任务的完成情况，纳入</w:t>
      </w:r>
      <w:r>
        <w:rPr>
          <w:rFonts w:ascii="仿宋" w:hAnsi="仿宋" w:cs="仿宋_GB2312;仿宋" w:hint="eastAsia"/>
          <w:bCs/>
          <w:color w:val="000000"/>
          <w:sz w:val="32"/>
          <w:szCs w:val="32"/>
        </w:rPr>
        <w:t>政府</w:t>
      </w:r>
      <w:r>
        <w:rPr>
          <w:rFonts w:ascii="仿宋" w:hAnsi="仿宋" w:cs="仿宋_GB2312;仿宋" w:hint="eastAsia"/>
          <w:bCs/>
          <w:color w:val="000000"/>
          <w:sz w:val="32"/>
          <w:szCs w:val="32"/>
          <w:lang w:val="en-US" w:eastAsia="en-US"/>
        </w:rPr>
        <w:t>年度目标责任考核内容。</w:t>
      </w:r>
    </w:p>
    <w:p>
      <w:pPr>
        <w:pStyle w:val="Style16"/>
        <w:numPr>
          <w:ilvl w:val="0"/>
          <w:numId w:val="2"/>
        </w:numPr>
        <w:tabs>
          <w:tab w:val="clear" w:pos="420"/>
          <w:tab w:val="left" w:pos="0" w:leader="none"/>
          <w:tab w:val="left" w:pos="1620" w:leader="none"/>
        </w:tabs>
        <w:ind w:firstLineChars="0" w:firstLine="0" w:startChars="0" w:start="0" w:endChars="0" w:end="0"/>
        <w:rPr>
          <w:rFonts w:ascii="仿宋" w:hAnsi="仿宋" w:eastAsia="仿宋" w:cs="仿宋_GB2312;仿宋" w:hint="eastAsia"/>
          <w:bCs/>
          <w:color w:val="000000"/>
          <w:sz w:val="32"/>
          <w:szCs w:val="32"/>
          <w:lang w:val="en-US" w:eastAsia="en-US"/>
        </w:rPr>
      </w:pPr>
      <w:r>
        <w:rPr>
          <w:rFonts w:ascii="仿宋" w:hAnsi="仿宋" w:cs="仿宋_GB2312;仿宋" w:hint="eastAsia"/>
          <w:bCs/>
          <w:color w:val="000000"/>
          <w:sz w:val="32"/>
          <w:szCs w:val="32"/>
        </w:rPr>
        <w:t>市、县（市、区）</w:t>
      </w:r>
      <w:r>
        <w:rPr>
          <w:rFonts w:ascii="仿宋" w:hAnsi="仿宋" w:cs="仿宋_GB2312;仿宋" w:hint="eastAsia"/>
          <w:bCs/>
          <w:color w:val="000000"/>
          <w:sz w:val="32"/>
          <w:szCs w:val="32"/>
          <w:lang w:val="en-US" w:eastAsia="en-US"/>
        </w:rPr>
        <w:t>人民政府及其有关部门应当加强流域生态修复与保护的宣传教育，</w:t>
      </w:r>
      <w:r>
        <w:rPr>
          <w:rFonts w:ascii="仿宋" w:hAnsi="仿宋" w:cs="仿宋_GB2312;仿宋" w:hint="eastAsia"/>
          <w:bCs/>
          <w:color w:val="000000"/>
          <w:sz w:val="32"/>
          <w:szCs w:val="32"/>
        </w:rPr>
        <w:t>增强</w:t>
      </w:r>
      <w:r>
        <w:rPr>
          <w:rFonts w:ascii="仿宋" w:hAnsi="仿宋" w:cs="仿宋_GB2312;仿宋" w:hint="eastAsia"/>
          <w:bCs/>
          <w:color w:val="000000"/>
          <w:sz w:val="32"/>
          <w:szCs w:val="32"/>
          <w:lang w:val="en-US" w:eastAsia="en-US"/>
        </w:rPr>
        <w:t>公众生态保护意识。</w:t>
      </w:r>
    </w:p>
    <w:p>
      <w:pPr>
        <w:pStyle w:val="Normal"/>
        <w:ind w:firstLineChars="20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任何单位和个人都有保护流域生态环境的义务，有权依法检举和制止破坏流域生态环境的行为。</w:t>
      </w:r>
    </w:p>
    <w:p>
      <w:pPr>
        <w:pStyle w:val="Heading2"/>
        <w:numPr>
          <w:ilvl w:val="1"/>
          <w:numId w:val="3"/>
        </w:numPr>
        <w:tabs>
          <w:tab w:val="clear" w:pos="420"/>
          <w:tab w:val="left" w:pos="2312" w:leader="none"/>
        </w:tabs>
        <w:spacing w:before="579" w:after="579"/>
        <w:rPr>
          <w:rFonts w:cs="Calibri" w:hint="eastAsia"/>
          <w:sz w:val="32"/>
          <w:szCs w:val="21"/>
          <w:lang w:val="en-US" w:eastAsia="en-US"/>
        </w:rPr>
      </w:pPr>
      <w:r>
        <w:rPr>
          <w:rFonts w:cs="Calibri" w:hint="eastAsia"/>
          <w:sz w:val="32"/>
          <w:szCs w:val="21"/>
        </w:rPr>
        <w:t>流域规划与产业发展</w:t>
      </w:r>
    </w:p>
    <w:p>
      <w:pPr>
        <w:pStyle w:val="Style16"/>
        <w:numPr>
          <w:ilvl w:val="0"/>
          <w:numId w:val="2"/>
        </w:numPr>
        <w:tabs>
          <w:tab w:val="clear" w:pos="420"/>
          <w:tab w:val="left" w:pos="0" w:leader="none"/>
          <w:tab w:val="left" w:pos="1620" w:leader="none"/>
        </w:tabs>
        <w:ind w:firstLineChars="0" w:firstLine="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滹沱河流域生态修复与保护应当统一规划。规划分为综合规划和专项规划。</w:t>
      </w:r>
    </w:p>
    <w:p>
      <w:pPr>
        <w:pStyle w:val="Normal"/>
        <w:ind w:firstLineChars="20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省人民政府批准的《滹沱河流域山西段生态修复与保护规划》是滹沱河流域生态修复与保护的综合规划。</w:t>
      </w:r>
    </w:p>
    <w:p>
      <w:pPr>
        <w:pStyle w:val="Normal"/>
        <w:ind w:firstLineChars="20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县（市、区）人民政府有关部门根据综合规划，编制滹沱河流域生态修复与保护专项规划，报本级人民政府批准后实施。</w:t>
      </w:r>
    </w:p>
    <w:p>
      <w:pPr>
        <w:pStyle w:val="Style16"/>
        <w:numPr>
          <w:ilvl w:val="0"/>
          <w:numId w:val="2"/>
        </w:numPr>
        <w:tabs>
          <w:tab w:val="clear" w:pos="420"/>
          <w:tab w:val="left" w:pos="0" w:leader="none"/>
          <w:tab w:val="left" w:pos="1620" w:leader="none"/>
        </w:tabs>
        <w:ind w:firstLineChars="0" w:firstLine="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流域生态修复与保护规划应当与国民经济和社会发展规划、主体功能区规划、土地利用总体规划、城乡规划、环境保护规划以及矿产资源规划等相协调。</w:t>
      </w:r>
    </w:p>
    <w:p>
      <w:pPr>
        <w:pStyle w:val="Style16"/>
        <w:numPr>
          <w:ilvl w:val="0"/>
          <w:numId w:val="2"/>
        </w:numPr>
        <w:tabs>
          <w:tab w:val="clear" w:pos="420"/>
          <w:tab w:val="left" w:pos="0" w:leader="none"/>
          <w:tab w:val="left" w:pos="1620" w:leader="none"/>
        </w:tabs>
        <w:ind w:firstLineChars="0" w:firstLine="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县（市、区）人民政府有关部门应当制定规划实施方案，分解规划的目标和任务，明确责任分工与项目工程责任主体，保证规划的有效实施。</w:t>
      </w:r>
    </w:p>
    <w:p>
      <w:pPr>
        <w:pStyle w:val="Style16"/>
        <w:numPr>
          <w:ilvl w:val="0"/>
          <w:numId w:val="2"/>
        </w:numPr>
        <w:tabs>
          <w:tab w:val="clear" w:pos="420"/>
          <w:tab w:val="left" w:pos="0" w:leader="none"/>
          <w:tab w:val="left" w:pos="1620" w:leader="none"/>
        </w:tabs>
        <w:ind w:firstLineChars="0" w:firstLine="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市人民政府应当组织发展改革行政主管等有关部门，根据滹沱河流域产业发展规划和国家、省产业结构调整指导目录，制定鼓励、限制、禁止发展的产业、产能和产品目录，及时向社会公布并组织实施。</w:t>
      </w:r>
    </w:p>
    <w:p>
      <w:pPr>
        <w:pStyle w:val="Style16"/>
        <w:tabs>
          <w:tab w:val="clear" w:pos="420"/>
          <w:tab w:val="left" w:pos="0" w:leader="none"/>
        </w:tabs>
        <w:ind w:firstLineChars="20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县（市、区）人民政府应当根据生态资源和环境承载能力，合理安排城乡建设和产业布局，优化产业结构。</w:t>
      </w:r>
    </w:p>
    <w:p>
      <w:pPr>
        <w:pStyle w:val="Style16"/>
        <w:numPr>
          <w:ilvl w:val="0"/>
          <w:numId w:val="2"/>
        </w:numPr>
        <w:tabs>
          <w:tab w:val="clear" w:pos="420"/>
          <w:tab w:val="left" w:pos="0" w:leader="none"/>
          <w:tab w:val="left" w:pos="1620" w:leader="none"/>
        </w:tabs>
        <w:ind w:firstLineChars="0" w:firstLine="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县（市、区）人民政府应当根据流域规划，将节水、节能、资源综合利用、清洁和可再生能源等项目列为重点发展领域。</w:t>
      </w:r>
    </w:p>
    <w:p>
      <w:pPr>
        <w:pStyle w:val="Normal"/>
        <w:ind w:firstLineChars="20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鼓励企业使用新技术、新工艺、新设备、新产品、新材料，改造和提升传统产业，开展废弃物处理及再生资源综合利用，发展循环经济。</w:t>
      </w:r>
    </w:p>
    <w:p>
      <w:pPr>
        <w:pStyle w:val="Heading2"/>
        <w:numPr>
          <w:ilvl w:val="1"/>
          <w:numId w:val="3"/>
        </w:numPr>
        <w:tabs>
          <w:tab w:val="clear" w:pos="420"/>
          <w:tab w:val="left" w:pos="2312" w:leader="none"/>
        </w:tabs>
        <w:spacing w:before="579" w:after="579"/>
        <w:rPr>
          <w:rFonts w:cs="Calibri" w:hint="eastAsia"/>
          <w:sz w:val="32"/>
          <w:szCs w:val="21"/>
        </w:rPr>
      </w:pPr>
      <w:r>
        <w:rPr>
          <w:rFonts w:cs="Calibri" w:hint="eastAsia"/>
          <w:sz w:val="32"/>
          <w:szCs w:val="21"/>
        </w:rPr>
        <w:t>生态修复</w:t>
      </w:r>
    </w:p>
    <w:p>
      <w:pPr>
        <w:pStyle w:val="Style16"/>
        <w:numPr>
          <w:ilvl w:val="0"/>
          <w:numId w:val="2"/>
        </w:numPr>
        <w:tabs>
          <w:tab w:val="clear" w:pos="420"/>
          <w:tab w:val="left" w:pos="0" w:leader="none"/>
          <w:tab w:val="left" w:pos="1620" w:leader="none"/>
        </w:tabs>
        <w:ind w:firstLineChars="0" w:firstLine="0" w:startChars="0" w:start="0" w:endChars="0" w:end="0"/>
        <w:rPr>
          <w:rFonts w:ascii="仿宋" w:hAnsi="仿宋" w:eastAsia="仿宋" w:cs="仿宋_GB2312;仿宋" w:hint="eastAsia"/>
          <w:bCs/>
          <w:color w:val="000000"/>
          <w:sz w:val="32"/>
          <w:szCs w:val="32"/>
          <w:lang w:val="en-US" w:eastAsia="en-US"/>
        </w:rPr>
      </w:pPr>
      <w:r>
        <w:rPr>
          <w:rFonts w:ascii="仿宋" w:hAnsi="仿宋" w:cs="仿宋_GB2312;仿宋" w:hint="eastAsia"/>
          <w:bCs/>
          <w:color w:val="000000"/>
          <w:sz w:val="32"/>
          <w:szCs w:val="32"/>
          <w:lang w:val="en-US" w:eastAsia="en-US"/>
        </w:rPr>
        <w:t>流域生态修复应当坚持节水优先、自然修复与人工修复相结合，提高流域生态环境承载能力。</w:t>
      </w:r>
    </w:p>
    <w:p>
      <w:pPr>
        <w:pStyle w:val="Style16"/>
        <w:numPr>
          <w:ilvl w:val="0"/>
          <w:numId w:val="2"/>
        </w:numPr>
        <w:tabs>
          <w:tab w:val="clear" w:pos="420"/>
          <w:tab w:val="left" w:pos="0" w:leader="none"/>
          <w:tab w:val="left" w:pos="1620" w:leader="none"/>
        </w:tabs>
        <w:ind w:firstLineChars="0" w:firstLine="0" w:startChars="0" w:start="0" w:endChars="0" w:end="0"/>
        <w:rPr>
          <w:rFonts w:ascii="仿宋" w:hAnsi="仿宋" w:eastAsia="仿宋" w:cs="仿宋_GB2312;仿宋" w:hint="eastAsia"/>
          <w:bCs/>
          <w:color w:val="000000"/>
          <w:sz w:val="32"/>
          <w:szCs w:val="32"/>
          <w:lang w:val="en-US" w:eastAsia="en-US"/>
        </w:rPr>
      </w:pPr>
      <w:r>
        <w:rPr>
          <w:rFonts w:ascii="仿宋" w:hAnsi="仿宋" w:cs="仿宋_GB2312;仿宋" w:hint="eastAsia"/>
          <w:bCs/>
          <w:color w:val="000000"/>
          <w:sz w:val="32"/>
          <w:szCs w:val="32"/>
          <w:lang w:val="en-US" w:eastAsia="en-US"/>
        </w:rPr>
        <w:t>水资源配置应当统筹兼顾上下游、左右岸和有关地区之间的利益，推进流域内河湖连通，实现多源互补，恢复流域生态功能。</w:t>
      </w:r>
    </w:p>
    <w:p>
      <w:pPr>
        <w:pStyle w:val="Normal"/>
        <w:ind w:firstLineChars="20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水资源利用应当优先使用地表水，合理调配外调水，充分利用矿坑水和再生水，有效涵养和保护地下水。</w:t>
      </w:r>
    </w:p>
    <w:p>
      <w:pPr>
        <w:pStyle w:val="Style16"/>
        <w:numPr>
          <w:ilvl w:val="0"/>
          <w:numId w:val="2"/>
        </w:numPr>
        <w:tabs>
          <w:tab w:val="clear" w:pos="420"/>
          <w:tab w:val="left" w:pos="0" w:leader="none"/>
          <w:tab w:val="left" w:pos="1620" w:leader="none"/>
        </w:tabs>
        <w:ind w:firstLineChars="0" w:firstLine="0" w:startChars="0" w:start="0" w:endChars="0" w:end="0"/>
        <w:rPr>
          <w:rFonts w:ascii="仿宋" w:hAnsi="仿宋" w:eastAsia="仿宋" w:cs="仿宋_GB2312;仿宋" w:hint="eastAsia"/>
          <w:bCs/>
          <w:color w:val="000000"/>
          <w:sz w:val="32"/>
          <w:szCs w:val="32"/>
          <w:lang w:val="en-US" w:eastAsia="en-US"/>
        </w:rPr>
      </w:pPr>
      <w:r>
        <w:rPr>
          <w:rFonts w:ascii="仿宋" w:hAnsi="仿宋" w:cs="仿宋_GB2312;仿宋" w:hint="eastAsia"/>
          <w:bCs/>
          <w:color w:val="000000"/>
          <w:sz w:val="32"/>
          <w:szCs w:val="32"/>
        </w:rPr>
        <w:t>市、县（市、区）人民政府按照河道、湖泊（库）和其他水利工程管理权限，制定岸线利用管理规划。岸线利用管理规划应当明确</w:t>
      </w:r>
      <w:r>
        <w:rPr>
          <w:rFonts w:ascii="仿宋" w:hAnsi="仿宋" w:cs="仿宋_GB2312;仿宋" w:hint="eastAsia"/>
          <w:bCs/>
          <w:color w:val="000000"/>
          <w:sz w:val="32"/>
          <w:szCs w:val="32"/>
          <w:lang w:val="en-US" w:eastAsia="en-US"/>
        </w:rPr>
        <w:t>岸线划定、利用和管理等要求。</w:t>
      </w:r>
    </w:p>
    <w:p>
      <w:pPr>
        <w:pStyle w:val="Style16"/>
        <w:numPr>
          <w:ilvl w:val="0"/>
          <w:numId w:val="2"/>
        </w:numPr>
        <w:tabs>
          <w:tab w:val="clear" w:pos="420"/>
          <w:tab w:val="left" w:pos="0" w:leader="none"/>
          <w:tab w:val="left" w:pos="1620" w:leader="none"/>
        </w:tabs>
        <w:ind w:firstLineChars="0" w:firstLine="0" w:startChars="0" w:start="0" w:endChars="0" w:end="0"/>
        <w:rPr>
          <w:rFonts w:ascii="仿宋" w:hAnsi="仿宋" w:eastAsia="仿宋" w:cs="仿宋_GB2312;仿宋" w:hint="eastAsia"/>
          <w:bCs/>
          <w:color w:val="000000"/>
          <w:sz w:val="32"/>
          <w:szCs w:val="32"/>
          <w:lang w:val="en-US" w:eastAsia="en-US"/>
        </w:rPr>
      </w:pPr>
      <w:r>
        <w:rPr>
          <w:rFonts w:ascii="仿宋" w:hAnsi="仿宋" w:cs="仿宋_GB2312;仿宋" w:hint="eastAsia"/>
          <w:bCs/>
          <w:color w:val="000000"/>
          <w:sz w:val="32"/>
          <w:szCs w:val="32"/>
        </w:rPr>
        <w:t>县（市、区）人民政府应当加强滹沱河干流和支流源头、河道、岩溶泉域重点保护区的自然修复和保护。</w:t>
      </w:r>
      <w:r>
        <w:rPr>
          <w:rFonts w:ascii="仿宋" w:hAnsi="仿宋" w:cs="仿宋_GB2312;仿宋" w:hint="eastAsia"/>
          <w:bCs/>
          <w:color w:val="000000"/>
          <w:sz w:val="32"/>
          <w:szCs w:val="32"/>
          <w:lang w:val="en-US" w:eastAsia="en-US"/>
        </w:rPr>
        <w:t>禁止在流域内建设妨碍生态修复与保护的建筑物、构筑物以及从事其他妨碍流域生态修复与保护的活动。</w:t>
      </w:r>
    </w:p>
    <w:p>
      <w:pPr>
        <w:pStyle w:val="Style16"/>
        <w:numPr>
          <w:ilvl w:val="0"/>
          <w:numId w:val="2"/>
        </w:numPr>
        <w:tabs>
          <w:tab w:val="clear" w:pos="420"/>
          <w:tab w:val="left" w:pos="0" w:leader="none"/>
          <w:tab w:val="left" w:pos="1620" w:leader="none"/>
        </w:tabs>
        <w:ind w:firstLineChars="0" w:firstLine="0" w:startChars="0" w:start="0" w:endChars="0" w:end="0"/>
        <w:rPr>
          <w:rFonts w:ascii="仿宋" w:hAnsi="仿宋" w:eastAsia="仿宋" w:cs="仿宋_GB2312;仿宋" w:hint="eastAsia"/>
          <w:bCs/>
          <w:color w:val="000000"/>
          <w:sz w:val="32"/>
          <w:szCs w:val="32"/>
          <w:lang w:val="en-US" w:eastAsia="en-US"/>
        </w:rPr>
      </w:pPr>
      <w:r>
        <w:rPr>
          <w:rFonts w:ascii="仿宋" w:hAnsi="仿宋" w:cs="仿宋_GB2312;仿宋" w:hint="eastAsia"/>
          <w:bCs/>
          <w:color w:val="000000"/>
          <w:sz w:val="32"/>
          <w:szCs w:val="32"/>
        </w:rPr>
        <w:t>县（市、区）人民政府应当</w:t>
      </w:r>
      <w:r>
        <w:rPr>
          <w:rFonts w:ascii="仿宋" w:hAnsi="仿宋" w:cs="仿宋_GB2312;仿宋" w:hint="eastAsia"/>
          <w:bCs/>
          <w:color w:val="000000"/>
          <w:sz w:val="32"/>
          <w:szCs w:val="32"/>
          <w:lang w:val="en-US" w:eastAsia="en-US"/>
        </w:rPr>
        <w:t>在城乡人口密集段实施生态型河道改造，现有干流、支流大堤外侧和滩涂低洼地带建设堤外湿地，低洼段设堤防。</w:t>
      </w:r>
    </w:p>
    <w:p>
      <w:pPr>
        <w:pStyle w:val="Normal"/>
        <w:ind w:firstLineChars="20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本条例实施前，经有关部门批准占用河滩地的，应当按照水行政主管部门制定的河道整治规划，逐步将占用的河滩地恢复为蓄水湿地。</w:t>
      </w:r>
    </w:p>
    <w:p>
      <w:pPr>
        <w:pStyle w:val="Style16"/>
        <w:numPr>
          <w:ilvl w:val="0"/>
          <w:numId w:val="2"/>
        </w:numPr>
        <w:tabs>
          <w:tab w:val="clear" w:pos="420"/>
          <w:tab w:val="left" w:pos="0" w:leader="none"/>
          <w:tab w:val="left" w:pos="1620" w:leader="none"/>
        </w:tabs>
        <w:ind w:firstLineChars="0" w:firstLine="0" w:startChars="0" w:start="0" w:endChars="0" w:end="0"/>
        <w:rPr>
          <w:rFonts w:ascii="仿宋" w:hAnsi="仿宋" w:eastAsia="仿宋" w:cs="仿宋_GB2312;仿宋" w:hint="eastAsia"/>
          <w:bCs/>
          <w:color w:val="000000"/>
          <w:sz w:val="32"/>
          <w:szCs w:val="32"/>
          <w:lang w:val="en-US" w:eastAsia="en-US"/>
        </w:rPr>
      </w:pPr>
      <w:r>
        <w:rPr>
          <w:rFonts w:ascii="仿宋" w:hAnsi="仿宋" w:cs="仿宋_GB2312;仿宋" w:hint="eastAsia"/>
          <w:bCs/>
          <w:color w:val="000000"/>
          <w:sz w:val="32"/>
          <w:szCs w:val="32"/>
          <w:lang w:val="en-US" w:eastAsia="en-US"/>
        </w:rPr>
        <w:t>流域保护区范围内应当加大植树造林种草力度，提高植被覆盖率，增加高郁闭度森林水源涵养区，减少水土流失。</w:t>
      </w:r>
    </w:p>
    <w:p>
      <w:pPr>
        <w:pStyle w:val="Normal"/>
        <w:ind w:firstLineChars="20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任何单位和个人不得擅自变更水源涵养林地和天然草甸用途。不得违法占用、征用、征收流域内的公益林地和天然草甸。</w:t>
      </w:r>
    </w:p>
    <w:p>
      <w:pPr>
        <w:pStyle w:val="Style16"/>
        <w:numPr>
          <w:ilvl w:val="0"/>
          <w:numId w:val="2"/>
        </w:numPr>
        <w:tabs>
          <w:tab w:val="clear" w:pos="420"/>
          <w:tab w:val="left" w:pos="0" w:leader="none"/>
          <w:tab w:val="left" w:pos="1620" w:leader="none"/>
        </w:tabs>
        <w:ind w:firstLineChars="0" w:firstLine="0" w:startChars="0" w:start="0" w:endChars="0" w:end="0"/>
        <w:rPr>
          <w:rFonts w:ascii="仿宋" w:hAnsi="仿宋" w:eastAsia="仿宋" w:cs="仿宋_GB2312;仿宋" w:hint="eastAsia"/>
          <w:bCs/>
          <w:color w:val="000000"/>
          <w:sz w:val="32"/>
          <w:szCs w:val="32"/>
          <w:lang w:val="en-US" w:eastAsia="en-US"/>
        </w:rPr>
      </w:pPr>
      <w:r>
        <w:rPr>
          <w:rFonts w:ascii="仿宋" w:hAnsi="仿宋" w:cs="仿宋_GB2312;仿宋" w:hint="eastAsia"/>
          <w:bCs/>
          <w:color w:val="000000"/>
          <w:sz w:val="32"/>
          <w:szCs w:val="32"/>
        </w:rPr>
        <w:t>县（市、区）</w:t>
      </w:r>
      <w:r>
        <w:rPr>
          <w:rFonts w:ascii="仿宋" w:hAnsi="仿宋" w:cs="仿宋_GB2312;仿宋" w:hint="eastAsia"/>
          <w:bCs/>
          <w:color w:val="000000"/>
          <w:sz w:val="32"/>
          <w:szCs w:val="32"/>
          <w:lang w:val="en-US" w:eastAsia="en-US"/>
        </w:rPr>
        <w:t>人民政府及其有关部门应当采取措施，改善流域内野生动植物生存环境，逐步恢复</w:t>
      </w:r>
      <w:r>
        <w:rPr>
          <w:rFonts w:ascii="仿宋" w:hAnsi="仿宋" w:cs="仿宋_GB2312;仿宋" w:hint="eastAsia"/>
          <w:bCs/>
          <w:color w:val="000000"/>
          <w:sz w:val="32"/>
          <w:szCs w:val="32"/>
        </w:rPr>
        <w:t>野生</w:t>
      </w:r>
      <w:r>
        <w:rPr>
          <w:rFonts w:ascii="仿宋" w:hAnsi="仿宋" w:cs="仿宋_GB2312;仿宋" w:hint="eastAsia"/>
          <w:bCs/>
          <w:color w:val="000000"/>
          <w:sz w:val="32"/>
          <w:szCs w:val="32"/>
          <w:lang w:val="en-US" w:eastAsia="en-US"/>
        </w:rPr>
        <w:t>动植物资源种</w:t>
      </w:r>
      <w:r>
        <w:rPr>
          <w:rFonts w:ascii="仿宋" w:hAnsi="仿宋" w:cs="仿宋_GB2312;仿宋" w:hint="eastAsia"/>
          <w:bCs/>
          <w:color w:val="000000"/>
          <w:sz w:val="32"/>
          <w:szCs w:val="32"/>
        </w:rPr>
        <w:t>群</w:t>
      </w:r>
      <w:r>
        <w:rPr>
          <w:rFonts w:ascii="仿宋" w:hAnsi="仿宋" w:cs="仿宋_GB2312;仿宋" w:hint="eastAsia"/>
          <w:bCs/>
          <w:color w:val="000000"/>
          <w:sz w:val="32"/>
          <w:szCs w:val="32"/>
          <w:lang w:val="en-US" w:eastAsia="en-US"/>
        </w:rPr>
        <w:t>主要栖息繁衍场所，对野生动植物种群及栖息地进行监测，对种群濒危的野生动植物及其生存环境，采取人工措施予以恢复。</w:t>
      </w:r>
    </w:p>
    <w:p>
      <w:pPr>
        <w:pStyle w:val="Style16"/>
        <w:numPr>
          <w:ilvl w:val="0"/>
          <w:numId w:val="2"/>
        </w:numPr>
        <w:tabs>
          <w:tab w:val="clear" w:pos="420"/>
          <w:tab w:val="left" w:pos="0" w:leader="none"/>
          <w:tab w:val="left" w:pos="1620" w:leader="none"/>
        </w:tabs>
        <w:ind w:firstLineChars="0" w:firstLine="0" w:startChars="0" w:start="0" w:endChars="0" w:end="0"/>
        <w:rPr>
          <w:rFonts w:ascii="仿宋" w:hAnsi="仿宋" w:eastAsia="仿宋" w:cs="仿宋_GB2312;仿宋" w:hint="eastAsia"/>
          <w:bCs/>
          <w:color w:val="000000"/>
          <w:sz w:val="32"/>
          <w:szCs w:val="32"/>
          <w:lang w:val="en-US" w:eastAsia="en-US"/>
        </w:rPr>
      </w:pPr>
      <w:r>
        <w:rPr>
          <w:rFonts w:ascii="仿宋" w:hAnsi="仿宋" w:cs="仿宋_GB2312;仿宋" w:hint="eastAsia"/>
          <w:bCs/>
          <w:color w:val="000000"/>
          <w:sz w:val="32"/>
          <w:szCs w:val="32"/>
        </w:rPr>
        <w:t>市、县（市、区）</w:t>
      </w:r>
      <w:r>
        <w:rPr>
          <w:rFonts w:ascii="仿宋" w:hAnsi="仿宋" w:cs="仿宋_GB2312;仿宋" w:hint="eastAsia"/>
          <w:bCs/>
          <w:color w:val="000000"/>
          <w:sz w:val="32"/>
          <w:szCs w:val="32"/>
          <w:lang w:val="en-US" w:eastAsia="en-US"/>
        </w:rPr>
        <w:t>人民政府应当建立和实施林地、草地、湿地、耕地生态补偿制度。</w:t>
      </w:r>
    </w:p>
    <w:p>
      <w:pPr>
        <w:pStyle w:val="Normal"/>
        <w:ind w:firstLineChars="20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河源泉源区、集中式饮用水水源地生态补偿和以政府购买服务为主的公益林管护，按照省人民政府有关规定执行。</w:t>
      </w:r>
    </w:p>
    <w:p>
      <w:pPr>
        <w:pStyle w:val="Heading2"/>
        <w:numPr>
          <w:ilvl w:val="1"/>
          <w:numId w:val="3"/>
        </w:numPr>
        <w:tabs>
          <w:tab w:val="clear" w:pos="420"/>
          <w:tab w:val="left" w:pos="2312" w:leader="none"/>
        </w:tabs>
        <w:spacing w:before="579" w:after="579"/>
        <w:rPr>
          <w:rFonts w:cs="Calibri" w:hint="eastAsia"/>
          <w:sz w:val="32"/>
          <w:szCs w:val="21"/>
        </w:rPr>
      </w:pPr>
      <w:r>
        <w:rPr>
          <w:rFonts w:cs="Calibri" w:hint="eastAsia"/>
          <w:sz w:val="32"/>
          <w:szCs w:val="21"/>
        </w:rPr>
        <w:t>生态保护</w:t>
      </w:r>
    </w:p>
    <w:p>
      <w:pPr>
        <w:pStyle w:val="Style16"/>
        <w:numPr>
          <w:ilvl w:val="0"/>
          <w:numId w:val="2"/>
        </w:numPr>
        <w:tabs>
          <w:tab w:val="clear" w:pos="420"/>
          <w:tab w:val="left" w:pos="0" w:leader="none"/>
          <w:tab w:val="left" w:pos="1620" w:leader="none"/>
        </w:tabs>
        <w:ind w:firstLineChars="0" w:firstLine="0" w:startChars="0" w:start="0" w:endChars="0" w:end="0"/>
        <w:rPr>
          <w:rFonts w:ascii="仿宋" w:hAnsi="仿宋" w:eastAsia="仿宋" w:cs="仿宋_GB2312;仿宋" w:hint="eastAsia"/>
          <w:bCs/>
          <w:color w:val="000000"/>
          <w:sz w:val="32"/>
          <w:szCs w:val="32"/>
          <w:lang w:val="en-US" w:eastAsia="en-US"/>
        </w:rPr>
      </w:pPr>
      <w:r>
        <w:rPr>
          <w:rFonts w:ascii="仿宋" w:hAnsi="仿宋" w:cs="仿宋_GB2312;仿宋" w:hint="eastAsia"/>
          <w:bCs/>
          <w:color w:val="000000"/>
          <w:sz w:val="32"/>
          <w:szCs w:val="32"/>
          <w:lang w:val="en-US" w:eastAsia="en-US"/>
        </w:rPr>
        <w:t>流域内的</w:t>
      </w:r>
      <w:r>
        <w:rPr>
          <w:rFonts w:ascii="仿宋" w:hAnsi="仿宋" w:cs="仿宋_GB2312;仿宋" w:hint="eastAsia"/>
          <w:bCs/>
          <w:color w:val="000000"/>
          <w:sz w:val="32"/>
          <w:szCs w:val="32"/>
        </w:rPr>
        <w:t>建设</w:t>
      </w:r>
      <w:r>
        <w:rPr>
          <w:rFonts w:ascii="仿宋" w:hAnsi="仿宋" w:cs="仿宋_GB2312;仿宋" w:hint="eastAsia"/>
          <w:bCs/>
          <w:color w:val="000000"/>
          <w:sz w:val="32"/>
          <w:szCs w:val="32"/>
          <w:lang w:val="en-US" w:eastAsia="en-US"/>
        </w:rPr>
        <w:t>项目选址应当避让生态保护区、河流源头和岩溶泉域重点保护区，无法避让的，应当采取保护措施，提高防治标准，防止造成生态破坏。</w:t>
      </w:r>
    </w:p>
    <w:p>
      <w:pPr>
        <w:pStyle w:val="Style16"/>
        <w:numPr>
          <w:ilvl w:val="0"/>
          <w:numId w:val="2"/>
        </w:numPr>
        <w:tabs>
          <w:tab w:val="clear" w:pos="420"/>
          <w:tab w:val="left" w:pos="0" w:leader="none"/>
          <w:tab w:val="left" w:pos="1620" w:leader="none"/>
        </w:tabs>
        <w:ind w:firstLineChars="0" w:firstLine="0" w:startChars="0" w:start="0" w:endChars="0" w:end="0"/>
        <w:rPr>
          <w:rFonts w:ascii="仿宋" w:hAnsi="仿宋" w:eastAsia="仿宋" w:cs="仿宋_GB2312;仿宋" w:hint="eastAsia"/>
          <w:bCs/>
          <w:color w:val="000000"/>
          <w:sz w:val="32"/>
          <w:szCs w:val="32"/>
          <w:lang w:val="en-US" w:eastAsia="en-US"/>
        </w:rPr>
      </w:pPr>
      <w:r>
        <w:rPr>
          <w:rFonts w:ascii="仿宋" w:hAnsi="仿宋" w:cs="仿宋_GB2312;仿宋" w:hint="eastAsia"/>
          <w:bCs/>
          <w:color w:val="000000"/>
          <w:sz w:val="32"/>
          <w:szCs w:val="32"/>
          <w:lang w:val="en-US" w:eastAsia="en-US"/>
        </w:rPr>
        <w:t>流域水量调度应当遵循总量控制、断面流量控制、分级管理的原则，实行年度水量调度计划、月旬水量调度方案和实时调度指令相结合的调度方式。</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_GB2312;仿宋" w:hint="eastAsia"/>
          <w:bCs/>
          <w:color w:val="000000"/>
          <w:sz w:val="32"/>
          <w:szCs w:val="32"/>
        </w:rPr>
        <w:t>县（市、区）</w:t>
      </w:r>
      <w:r>
        <w:rPr>
          <w:rFonts w:ascii="仿宋" w:hAnsi="仿宋" w:cs="仿宋" w:hint="eastAsia"/>
          <w:color w:val="000000"/>
          <w:sz w:val="32"/>
          <w:szCs w:val="32"/>
        </w:rPr>
        <w:t>人民政府应当执行市人民政府批准的水量配置方案，确保断面流量符合控制指标。</w:t>
      </w:r>
    </w:p>
    <w:p>
      <w:pPr>
        <w:pStyle w:val="Style16"/>
        <w:numPr>
          <w:ilvl w:val="0"/>
          <w:numId w:val="2"/>
        </w:numPr>
        <w:tabs>
          <w:tab w:val="clear" w:pos="420"/>
          <w:tab w:val="left" w:pos="0" w:leader="none"/>
          <w:tab w:val="left" w:pos="1620" w:leader="none"/>
        </w:tabs>
        <w:ind w:firstLineChars="0" w:firstLine="0" w:startChars="0" w:start="0" w:endChars="0" w:end="0"/>
        <w:rPr>
          <w:rFonts w:ascii="仿宋" w:hAnsi="仿宋" w:eastAsia="仿宋" w:cs="仿宋_GB2312;仿宋" w:hint="eastAsia"/>
          <w:bCs/>
          <w:color w:val="000000"/>
          <w:sz w:val="32"/>
          <w:szCs w:val="32"/>
          <w:lang w:val="en-US" w:eastAsia="en-US"/>
        </w:rPr>
      </w:pPr>
      <w:r>
        <w:rPr>
          <w:rFonts w:ascii="仿宋" w:hAnsi="仿宋" w:cs="仿宋_GB2312;仿宋" w:hint="eastAsia"/>
          <w:bCs/>
          <w:color w:val="000000"/>
          <w:sz w:val="32"/>
          <w:szCs w:val="32"/>
        </w:rPr>
        <w:t>严格限制地下水开采，未经有关部门批准，任何单位和个人不得凿井取水。</w:t>
      </w:r>
    </w:p>
    <w:p>
      <w:pPr>
        <w:pStyle w:val="Style16"/>
        <w:tabs>
          <w:tab w:val="clear" w:pos="420"/>
          <w:tab w:val="left" w:pos="0" w:leader="none"/>
        </w:tabs>
        <w:ind w:firstLineChars="20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地下水开采按照省人民政府划定的禁采区和限采区实行水量、水位双控制管理。在禁止开采区内，不得新开凿深井；在限制开采区内，不得增加地下水取水总量，并逐年削减地下水取水量；地下水开采区内地下水实际开采量不得超过地下水可开采量，开采强度不得超过地下水补给量。</w:t>
      </w:r>
    </w:p>
    <w:p>
      <w:pPr>
        <w:pStyle w:val="Style16"/>
        <w:numPr>
          <w:ilvl w:val="0"/>
          <w:numId w:val="2"/>
        </w:numPr>
        <w:tabs>
          <w:tab w:val="clear" w:pos="420"/>
          <w:tab w:val="left" w:pos="0" w:leader="none"/>
          <w:tab w:val="left" w:pos="1620" w:leader="none"/>
        </w:tabs>
        <w:ind w:firstLineChars="0" w:firstLine="0" w:startChars="0" w:start="0" w:endChars="0" w:end="0"/>
        <w:rPr>
          <w:rFonts w:ascii="仿宋" w:hAnsi="仿宋" w:eastAsia="仿宋" w:cs="仿宋_GB2312;仿宋" w:hint="eastAsia"/>
          <w:bCs/>
          <w:color w:val="000000"/>
          <w:sz w:val="32"/>
          <w:szCs w:val="32"/>
          <w:lang w:val="en-US" w:eastAsia="en-US"/>
        </w:rPr>
      </w:pPr>
      <w:r>
        <w:rPr>
          <w:rFonts w:ascii="仿宋" w:hAnsi="仿宋" w:cs="仿宋_GB2312;仿宋" w:hint="eastAsia"/>
          <w:bCs/>
          <w:color w:val="000000"/>
          <w:sz w:val="32"/>
          <w:szCs w:val="32"/>
          <w:lang w:val="en-US" w:eastAsia="en-US"/>
        </w:rPr>
        <w:t>禁止围垦河道。本条例实施前已经围垦的，</w:t>
      </w:r>
      <w:r>
        <w:rPr>
          <w:rFonts w:ascii="仿宋" w:hAnsi="仿宋" w:cs="仿宋_GB2312;仿宋" w:hint="eastAsia"/>
          <w:bCs/>
          <w:color w:val="000000"/>
          <w:sz w:val="32"/>
          <w:szCs w:val="32"/>
        </w:rPr>
        <w:t>县（市、区）</w:t>
      </w:r>
      <w:r>
        <w:rPr>
          <w:rFonts w:ascii="仿宋" w:hAnsi="仿宋" w:cs="仿宋_GB2312;仿宋" w:hint="eastAsia"/>
          <w:bCs/>
          <w:color w:val="000000"/>
          <w:sz w:val="32"/>
          <w:szCs w:val="32"/>
          <w:lang w:val="en-US" w:eastAsia="en-US"/>
        </w:rPr>
        <w:t>人民政府应当采取措施，退地还河。</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color w:val="000000"/>
          <w:sz w:val="32"/>
          <w:szCs w:val="32"/>
        </w:rPr>
        <w:t>禁止在河源、河道保护范围内堆放、倾倒砂、石、土、矸石、尾矿、废渣等废弃物。</w:t>
      </w:r>
    </w:p>
    <w:p>
      <w:pPr>
        <w:pStyle w:val="Style16"/>
        <w:numPr>
          <w:ilvl w:val="0"/>
          <w:numId w:val="2"/>
        </w:numPr>
        <w:tabs>
          <w:tab w:val="clear" w:pos="420"/>
          <w:tab w:val="left" w:pos="0" w:leader="none"/>
          <w:tab w:val="left" w:pos="1620" w:leader="none"/>
        </w:tabs>
        <w:ind w:firstLineChars="0" w:firstLine="0" w:startChars="0" w:start="0" w:endChars="0" w:end="0"/>
        <w:rPr>
          <w:rFonts w:ascii="仿宋" w:hAnsi="仿宋" w:eastAsia="仿宋_GB2312;仿宋" w:cs="仿宋_GB2312;仿宋" w:hint="eastAsia"/>
          <w:b/>
          <w:bCs/>
          <w:color w:val="000000"/>
          <w:sz w:val="32"/>
          <w:szCs w:val="32"/>
        </w:rPr>
      </w:pPr>
      <w:r>
        <w:rPr>
          <w:rFonts w:ascii="仿宋" w:hAnsi="仿宋" w:cs="仿宋" w:hint="eastAsia"/>
          <w:color w:val="000000"/>
          <w:sz w:val="32"/>
          <w:szCs w:val="32"/>
        </w:rPr>
        <w:t>县（市、区）人民政府应当按照</w:t>
      </w:r>
      <w:r>
        <w:rPr>
          <w:rFonts w:ascii="仿宋" w:hAnsi="仿宋" w:cs="仿宋_GB2312;仿宋" w:hint="eastAsia"/>
          <w:bCs/>
          <w:color w:val="000000"/>
          <w:sz w:val="32"/>
          <w:szCs w:val="32"/>
        </w:rPr>
        <w:t>流域山水林田湖草生态保护修复实施方案，加强矿山生态环境及地质灾害综合治理。</w:t>
      </w:r>
    </w:p>
    <w:p>
      <w:pPr>
        <w:pStyle w:val="Style16"/>
        <w:tabs>
          <w:tab w:val="clear" w:pos="420"/>
          <w:tab w:val="left" w:pos="0" w:leader="none"/>
          <w:tab w:val="left" w:pos="1620" w:leader="none"/>
        </w:tabs>
        <w:ind w:firstLineChars="200" w:startChars="0" w:start="0" w:endChars="0" w:end="0"/>
        <w:rPr>
          <w:rFonts w:ascii="仿宋" w:hAnsi="仿宋" w:eastAsia="仿宋_GB2312;仿宋" w:cs="仿宋_GB2312;仿宋" w:hint="eastAsia"/>
          <w:b/>
          <w:bCs/>
          <w:color w:val="000000"/>
          <w:sz w:val="32"/>
          <w:szCs w:val="32"/>
        </w:rPr>
      </w:pPr>
      <w:r>
        <w:rPr>
          <w:rFonts w:ascii="仿宋" w:hAnsi="仿宋" w:cs="仿宋_GB2312;仿宋" w:hint="eastAsia"/>
          <w:bCs/>
          <w:color w:val="000000"/>
          <w:sz w:val="32"/>
          <w:szCs w:val="32"/>
        </w:rPr>
        <w:t>在流域规划保护区的生产建设项目，生产建设单位应当依法编制水土保持方案，并按照批准的水土保持方案，采取水土流失预防和治理措施。</w:t>
      </w:r>
    </w:p>
    <w:p>
      <w:pPr>
        <w:pStyle w:val="Style16"/>
        <w:numPr>
          <w:ilvl w:val="0"/>
          <w:numId w:val="2"/>
        </w:numPr>
        <w:tabs>
          <w:tab w:val="clear" w:pos="420"/>
          <w:tab w:val="left" w:pos="0" w:leader="none"/>
          <w:tab w:val="left" w:pos="1620" w:leader="none"/>
        </w:tabs>
        <w:ind w:firstLineChars="0" w:firstLine="0" w:startChars="0" w:start="0" w:endChars="0" w:end="0"/>
        <w:rPr>
          <w:rFonts w:ascii="仿宋" w:hAnsi="仿宋" w:eastAsia="仿宋" w:cs="仿宋_GB2312;仿宋" w:hint="eastAsia"/>
          <w:bCs/>
          <w:color w:val="000000"/>
          <w:sz w:val="32"/>
          <w:szCs w:val="32"/>
          <w:lang w:val="en-US" w:eastAsia="en-US"/>
        </w:rPr>
      </w:pPr>
      <w:r>
        <w:rPr>
          <w:rFonts w:ascii="仿宋" w:hAnsi="仿宋" w:cs="仿宋" w:hint="eastAsia"/>
          <w:color w:val="000000"/>
          <w:sz w:val="32"/>
          <w:szCs w:val="32"/>
        </w:rPr>
        <w:t>县（市、区）人民政府水行政主管部门应当按照水功能区划对水源的要求和水体的自净能力，核定水域的纳污能力，向环境保护主管部门提出水域限制排污总量意见，实施排污总量控制。</w:t>
      </w:r>
    </w:p>
    <w:p>
      <w:pPr>
        <w:pStyle w:val="Normal"/>
        <w:ind w:firstLineChars="20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排污单位排放污染物不得超过国家和省的污染物排放标准，不得超过排放总量控制指标。</w:t>
      </w:r>
    </w:p>
    <w:p>
      <w:pPr>
        <w:pStyle w:val="Style16"/>
        <w:numPr>
          <w:ilvl w:val="0"/>
          <w:numId w:val="2"/>
        </w:numPr>
        <w:tabs>
          <w:tab w:val="clear" w:pos="420"/>
          <w:tab w:val="left" w:pos="0" w:leader="none"/>
          <w:tab w:val="left" w:pos="1620" w:leader="none"/>
        </w:tabs>
        <w:ind w:firstLineChars="0" w:firstLine="0" w:startChars="0" w:start="0" w:endChars="0" w:end="0"/>
        <w:rPr>
          <w:rFonts w:ascii="仿宋" w:hAnsi="仿宋" w:eastAsia="仿宋" w:cs="仿宋_GB2312;仿宋" w:hint="eastAsia"/>
          <w:bCs/>
          <w:color w:val="000000"/>
          <w:sz w:val="32"/>
          <w:szCs w:val="32"/>
          <w:lang w:val="en-US" w:eastAsia="en-US"/>
        </w:rPr>
      </w:pPr>
      <w:r>
        <w:rPr>
          <w:rFonts w:ascii="仿宋" w:hAnsi="仿宋" w:cs="仿宋_GB2312;仿宋" w:hint="eastAsia"/>
          <w:bCs/>
          <w:color w:val="000000"/>
          <w:sz w:val="32"/>
          <w:szCs w:val="32"/>
          <w:lang w:val="en-US" w:eastAsia="en-US"/>
        </w:rPr>
        <w:t>任何单位和个人不得在滹沱河流域饮用水水源保护区建设与水环境保护无关的项目，不得从事影响饮用水水源水质的活动。</w:t>
      </w:r>
    </w:p>
    <w:p>
      <w:pPr>
        <w:pStyle w:val="Style16"/>
        <w:numPr>
          <w:ilvl w:val="0"/>
          <w:numId w:val="2"/>
        </w:numPr>
        <w:tabs>
          <w:tab w:val="clear" w:pos="420"/>
          <w:tab w:val="left" w:pos="0" w:leader="none"/>
          <w:tab w:val="left" w:pos="1620" w:leader="none"/>
        </w:tabs>
        <w:ind w:firstLineChars="0" w:firstLine="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lang w:val="en-US" w:eastAsia="en-US"/>
        </w:rPr>
        <w:t>自本条例实施之日起</w:t>
      </w:r>
      <w:r>
        <w:rPr>
          <w:rFonts w:ascii="仿宋" w:hAnsi="仿宋" w:cs="仿宋_GB2312;仿宋" w:hint="eastAsia"/>
          <w:bCs/>
          <w:color w:val="000000"/>
          <w:sz w:val="32"/>
          <w:szCs w:val="32"/>
        </w:rPr>
        <w:t>五年内，县（市、区）</w:t>
      </w:r>
      <w:r>
        <w:rPr>
          <w:rFonts w:ascii="仿宋" w:hAnsi="仿宋" w:cs="仿宋_GB2312;仿宋" w:hint="eastAsia"/>
          <w:bCs/>
          <w:color w:val="000000"/>
          <w:sz w:val="32"/>
          <w:szCs w:val="32"/>
          <w:lang w:val="en-US" w:eastAsia="en-US"/>
        </w:rPr>
        <w:t>人民政府</w:t>
      </w:r>
      <w:r>
        <w:rPr>
          <w:rFonts w:ascii="仿宋" w:hAnsi="仿宋" w:cs="仿宋_GB2312;仿宋" w:hint="eastAsia"/>
          <w:bCs/>
          <w:color w:val="000000"/>
          <w:sz w:val="32"/>
          <w:szCs w:val="32"/>
        </w:rPr>
        <w:t>所在城镇和重点建制镇的生活污水应当纳入公共污水管网并经污水集中处理设施处理。</w:t>
      </w:r>
      <w:r>
        <w:rPr>
          <w:rFonts w:ascii="仿宋" w:hAnsi="仿宋" w:cs="仿宋_GB2312;仿宋" w:hint="eastAsia"/>
          <w:bCs/>
          <w:color w:val="000000"/>
          <w:sz w:val="32"/>
          <w:szCs w:val="32"/>
          <w:lang w:val="en-US" w:eastAsia="en-US"/>
        </w:rPr>
        <w:t>禁止城乡生活污水、垃圾直接进入河道。</w:t>
      </w:r>
    </w:p>
    <w:p>
      <w:pPr>
        <w:pStyle w:val="Style16"/>
        <w:tabs>
          <w:tab w:val="clear" w:pos="420"/>
          <w:tab w:val="left" w:pos="0" w:leader="none"/>
        </w:tabs>
        <w:ind w:firstLineChars="20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新建集中处理污水设施，应当符合脱氮除磷达标排放要求；现有的集中处理设施不符合脱氮除磷要求的，县（市、区）人民政府应当自本条例实施之日起一年内完成技术改造。</w:t>
      </w:r>
    </w:p>
    <w:p>
      <w:pPr>
        <w:pStyle w:val="Style16"/>
        <w:numPr>
          <w:ilvl w:val="0"/>
          <w:numId w:val="2"/>
        </w:numPr>
        <w:tabs>
          <w:tab w:val="clear" w:pos="420"/>
          <w:tab w:val="left" w:pos="0" w:leader="none"/>
          <w:tab w:val="left" w:pos="1620" w:leader="none"/>
        </w:tabs>
        <w:ind w:firstLineChars="0" w:firstLine="0" w:startChars="0" w:start="0" w:endChars="0" w:end="0"/>
        <w:rPr>
          <w:rFonts w:ascii="仿宋" w:hAnsi="仿宋" w:eastAsia="仿宋" w:cs="仿宋_GB2312;仿宋" w:hint="eastAsia"/>
          <w:bCs/>
          <w:color w:val="000000"/>
          <w:sz w:val="32"/>
          <w:szCs w:val="32"/>
          <w:lang w:val="en-US" w:eastAsia="en-US"/>
        </w:rPr>
      </w:pPr>
      <w:r>
        <w:rPr>
          <w:rFonts w:ascii="仿宋" w:hAnsi="仿宋" w:cs="仿宋_GB2312;仿宋" w:hint="eastAsia"/>
          <w:bCs/>
          <w:color w:val="000000"/>
          <w:sz w:val="32"/>
          <w:szCs w:val="32"/>
        </w:rPr>
        <w:t>县（市、区）</w:t>
      </w:r>
      <w:r>
        <w:rPr>
          <w:rFonts w:ascii="仿宋" w:hAnsi="仿宋" w:cs="仿宋_GB2312;仿宋" w:hint="eastAsia"/>
          <w:bCs/>
          <w:color w:val="000000"/>
          <w:sz w:val="32"/>
          <w:szCs w:val="32"/>
          <w:lang w:val="en-US" w:eastAsia="en-US"/>
        </w:rPr>
        <w:t>人民政府农业主管部门</w:t>
      </w:r>
      <w:r>
        <w:rPr>
          <w:rFonts w:ascii="仿宋" w:hAnsi="仿宋" w:cs="仿宋_GB2312;仿宋" w:hint="eastAsia"/>
          <w:bCs/>
          <w:color w:val="000000"/>
          <w:sz w:val="32"/>
          <w:szCs w:val="32"/>
        </w:rPr>
        <w:t>和其他有关部门</w:t>
      </w:r>
      <w:r>
        <w:rPr>
          <w:rFonts w:ascii="仿宋" w:hAnsi="仿宋" w:cs="仿宋_GB2312;仿宋" w:hint="eastAsia"/>
          <w:bCs/>
          <w:color w:val="000000"/>
          <w:sz w:val="32"/>
          <w:szCs w:val="32"/>
          <w:lang w:val="en-US" w:eastAsia="en-US"/>
        </w:rPr>
        <w:t>应当推广测土配方施肥、精准施肥、生物防治病虫害等先进农业生产技术，使用安全、高效、低毒和低残留农药以及可降解地膜，实施农药化肥减施工程，</w:t>
      </w:r>
      <w:r>
        <w:rPr>
          <w:rFonts w:ascii="仿宋" w:hAnsi="仿宋" w:cs="仿宋_GB2312;仿宋" w:hint="eastAsia"/>
          <w:bCs/>
          <w:color w:val="000000"/>
          <w:sz w:val="32"/>
          <w:szCs w:val="32"/>
        </w:rPr>
        <w:t>倡导粪污资源化利用，开展清洁小流域建设，</w:t>
      </w:r>
      <w:r>
        <w:rPr>
          <w:rFonts w:ascii="仿宋" w:hAnsi="仿宋" w:cs="仿宋_GB2312;仿宋" w:hint="eastAsia"/>
          <w:bCs/>
          <w:color w:val="000000"/>
          <w:sz w:val="32"/>
          <w:szCs w:val="32"/>
          <w:lang w:val="en-US" w:eastAsia="en-US"/>
        </w:rPr>
        <w:t>防止农业面源污染。</w:t>
      </w:r>
    </w:p>
    <w:p>
      <w:pPr>
        <w:pStyle w:val="Heading2"/>
        <w:numPr>
          <w:ilvl w:val="1"/>
          <w:numId w:val="3"/>
        </w:numPr>
        <w:tabs>
          <w:tab w:val="clear" w:pos="420"/>
          <w:tab w:val="left" w:pos="2312" w:leader="none"/>
        </w:tabs>
        <w:spacing w:before="579" w:after="579"/>
        <w:rPr>
          <w:rFonts w:cs="Calibri" w:hint="eastAsia"/>
          <w:sz w:val="32"/>
          <w:szCs w:val="21"/>
        </w:rPr>
      </w:pPr>
      <w:r>
        <w:rPr>
          <w:rFonts w:cs="Calibri" w:hint="eastAsia"/>
          <w:sz w:val="32"/>
          <w:szCs w:val="21"/>
        </w:rPr>
        <w:t>投融资保障</w:t>
      </w:r>
    </w:p>
    <w:p>
      <w:pPr>
        <w:pStyle w:val="Style16"/>
        <w:numPr>
          <w:ilvl w:val="0"/>
          <w:numId w:val="2"/>
        </w:numPr>
        <w:tabs>
          <w:tab w:val="clear" w:pos="420"/>
          <w:tab w:val="left" w:pos="0" w:leader="none"/>
          <w:tab w:val="left" w:pos="1620" w:leader="none"/>
        </w:tabs>
        <w:ind w:firstLineChars="0" w:firstLine="0" w:startChars="0" w:start="0" w:endChars="0" w:end="0"/>
        <w:rPr>
          <w:rFonts w:ascii="仿宋" w:hAnsi="仿宋" w:eastAsia="仿宋" w:cs="仿宋_GB2312;仿宋" w:hint="eastAsia"/>
          <w:bCs/>
          <w:color w:val="000000"/>
          <w:sz w:val="32"/>
          <w:szCs w:val="32"/>
          <w:lang w:val="en-US" w:eastAsia="en-US"/>
        </w:rPr>
      </w:pPr>
      <w:r>
        <w:rPr>
          <w:rFonts w:ascii="仿宋" w:hAnsi="仿宋" w:cs="仿宋_GB2312;仿宋" w:hint="eastAsia"/>
          <w:bCs/>
          <w:color w:val="000000"/>
          <w:sz w:val="32"/>
          <w:szCs w:val="32"/>
          <w:lang w:val="en-US" w:eastAsia="en-US"/>
        </w:rPr>
        <w:t>流域生态修复与保护的资金来源包括：</w:t>
      </w:r>
    </w:p>
    <w:p>
      <w:pPr>
        <w:pStyle w:val="Normal"/>
        <w:ind w:firstLineChars="20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（一）依法征收的各类生态保护税收、规费；</w:t>
      </w:r>
    </w:p>
    <w:p>
      <w:pPr>
        <w:pStyle w:val="Normal"/>
        <w:ind w:firstLineChars="20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（二）国家、省、市、县（市、区）生态保护专项资金；</w:t>
      </w:r>
    </w:p>
    <w:p>
      <w:pPr>
        <w:pStyle w:val="Normal"/>
        <w:ind w:firstLineChars="20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（三）土地出让收益中计提的农田水利建设资金收入；</w:t>
      </w:r>
    </w:p>
    <w:p>
      <w:pPr>
        <w:pStyle w:val="Normal"/>
        <w:ind w:firstLineChars="20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（四）其他资金。</w:t>
      </w:r>
    </w:p>
    <w:p>
      <w:pPr>
        <w:pStyle w:val="Normal"/>
        <w:ind w:firstLineChars="20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流域生态修复与保护资金，应当</w:t>
      </w:r>
      <w:r>
        <w:rPr>
          <w:rFonts w:ascii="仿宋" w:hAnsi="仿宋" w:cs="仿宋" w:hint="eastAsia"/>
          <w:color w:val="000000"/>
          <w:sz w:val="32"/>
        </w:rPr>
        <w:t>列入本级财政预算，并逐步增加投入</w:t>
      </w:r>
      <w:r>
        <w:rPr>
          <w:rFonts w:ascii="仿宋" w:hAnsi="仿宋" w:cs="仿宋_GB2312;仿宋" w:hint="eastAsia"/>
          <w:bCs/>
          <w:color w:val="000000"/>
          <w:sz w:val="32"/>
          <w:szCs w:val="32"/>
        </w:rPr>
        <w:t>。</w:t>
      </w:r>
    </w:p>
    <w:p>
      <w:pPr>
        <w:pStyle w:val="Normal"/>
        <w:ind w:firstLineChars="20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鼓励金融机构投资流域生态修复与保护项目。</w:t>
      </w:r>
    </w:p>
    <w:p>
      <w:pPr>
        <w:pStyle w:val="Style16"/>
        <w:numPr>
          <w:ilvl w:val="0"/>
          <w:numId w:val="2"/>
        </w:numPr>
        <w:tabs>
          <w:tab w:val="clear" w:pos="420"/>
          <w:tab w:val="left" w:pos="0" w:leader="none"/>
          <w:tab w:val="left" w:pos="1620" w:leader="none"/>
        </w:tabs>
        <w:ind w:firstLineChars="0" w:firstLine="0" w:startChars="0" w:start="0" w:endChars="0" w:end="0"/>
        <w:rPr>
          <w:rFonts w:ascii="仿宋" w:hAnsi="仿宋" w:eastAsia="仿宋" w:cs="仿宋_GB2312;仿宋" w:hint="eastAsia"/>
          <w:bCs/>
          <w:color w:val="000000"/>
          <w:sz w:val="32"/>
          <w:szCs w:val="32"/>
          <w:lang w:val="en-US" w:eastAsia="en-US"/>
        </w:rPr>
      </w:pPr>
      <w:r>
        <w:rPr>
          <w:rFonts w:ascii="仿宋" w:hAnsi="仿宋" w:cs="仿宋_GB2312;仿宋" w:hint="eastAsia"/>
          <w:bCs/>
          <w:color w:val="000000"/>
          <w:sz w:val="32"/>
          <w:szCs w:val="32"/>
          <w:lang w:val="en-US" w:eastAsia="en-US"/>
        </w:rPr>
        <w:t>对没有直接收益的河湖堤防整治、水域恢复、移民搬迁、河源泉源保护、水土保持等公益性项目，以财政</w:t>
      </w:r>
      <w:r>
        <w:rPr>
          <w:rFonts w:ascii="仿宋" w:hAnsi="仿宋" w:cs="仿宋_GB2312;仿宋" w:hint="eastAsia"/>
          <w:bCs/>
          <w:color w:val="000000"/>
          <w:sz w:val="32"/>
          <w:szCs w:val="32"/>
        </w:rPr>
        <w:t>引导</w:t>
      </w:r>
      <w:r>
        <w:rPr>
          <w:rFonts w:ascii="仿宋" w:hAnsi="仿宋" w:cs="仿宋_GB2312;仿宋" w:hint="eastAsia"/>
          <w:bCs/>
          <w:color w:val="000000"/>
          <w:sz w:val="32"/>
          <w:szCs w:val="32"/>
          <w:lang w:val="en-US" w:eastAsia="en-US"/>
        </w:rPr>
        <w:t>为主，鼓励和吸引社会资本参与。</w:t>
      </w:r>
    </w:p>
    <w:p>
      <w:pPr>
        <w:pStyle w:val="Normal"/>
        <w:ind w:firstLineChars="20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投资供水工程、污水处理、农业灌溉等公益项目的，可以按照特许经营、政府购买服务、政府与社会资本合作模式，以市场化运作方式建设，由政府安排财政专项资金给予补贴。</w:t>
      </w:r>
    </w:p>
    <w:p>
      <w:pPr>
        <w:pStyle w:val="Heading2"/>
        <w:numPr>
          <w:ilvl w:val="1"/>
          <w:numId w:val="3"/>
        </w:numPr>
        <w:tabs>
          <w:tab w:val="clear" w:pos="420"/>
          <w:tab w:val="left" w:pos="2312" w:leader="none"/>
        </w:tabs>
        <w:spacing w:before="579" w:after="579"/>
        <w:rPr>
          <w:rFonts w:cs="Calibri" w:hint="eastAsia"/>
          <w:sz w:val="32"/>
          <w:szCs w:val="21"/>
        </w:rPr>
      </w:pPr>
      <w:r>
        <w:rPr>
          <w:rFonts w:cs="Calibri" w:hint="eastAsia"/>
          <w:sz w:val="32"/>
          <w:szCs w:val="21"/>
        </w:rPr>
        <w:t>监督检查</w:t>
      </w:r>
    </w:p>
    <w:p>
      <w:pPr>
        <w:pStyle w:val="Style16"/>
        <w:numPr>
          <w:ilvl w:val="0"/>
          <w:numId w:val="2"/>
        </w:numPr>
        <w:tabs>
          <w:tab w:val="clear" w:pos="420"/>
          <w:tab w:val="left" w:pos="0" w:leader="none"/>
          <w:tab w:val="left" w:pos="1620" w:leader="none"/>
        </w:tabs>
        <w:ind w:firstLineChars="0" w:firstLine="0" w:startChars="0" w:start="0" w:endChars="0" w:end="0"/>
        <w:rPr>
          <w:rFonts w:ascii="仿宋" w:hAnsi="仿宋" w:eastAsia="仿宋" w:cs="仿宋_GB2312;仿宋" w:hint="eastAsia"/>
          <w:bCs/>
          <w:color w:val="000000"/>
          <w:sz w:val="32"/>
          <w:szCs w:val="32"/>
          <w:lang w:val="en-US" w:eastAsia="en-US"/>
        </w:rPr>
      </w:pPr>
      <w:r>
        <w:rPr>
          <w:rFonts w:ascii="仿宋" w:hAnsi="仿宋" w:cs="仿宋_GB2312;仿宋" w:hint="eastAsia"/>
          <w:bCs/>
          <w:color w:val="000000"/>
          <w:sz w:val="32"/>
          <w:szCs w:val="32"/>
          <w:lang w:val="en-US" w:eastAsia="en-US"/>
        </w:rPr>
        <w:t>市人民政府应当组织有关部门，按照国家统一规划布局，建立流域生态修复与保护监测体系和信息共享平台，实施数据信息共享，依法统一发布信息，接受社会监督。</w:t>
      </w:r>
    </w:p>
    <w:p>
      <w:pPr>
        <w:pStyle w:val="Style16"/>
        <w:numPr>
          <w:ilvl w:val="0"/>
          <w:numId w:val="2"/>
        </w:numPr>
        <w:tabs>
          <w:tab w:val="clear" w:pos="420"/>
          <w:tab w:val="left" w:pos="0" w:leader="none"/>
          <w:tab w:val="left" w:pos="1620" w:leader="none"/>
        </w:tabs>
        <w:ind w:firstLineChars="0" w:firstLine="0" w:startChars="0" w:start="0" w:endChars="0" w:end="0"/>
        <w:rPr>
          <w:rFonts w:ascii="仿宋" w:hAnsi="仿宋" w:eastAsia="仿宋" w:cs="仿宋_GB2312;仿宋" w:hint="eastAsia"/>
          <w:bCs/>
          <w:color w:val="000000"/>
          <w:sz w:val="32"/>
          <w:szCs w:val="32"/>
          <w:lang w:val="en-US" w:eastAsia="en-US"/>
        </w:rPr>
      </w:pPr>
      <w:r>
        <w:rPr>
          <w:rFonts w:ascii="仿宋" w:hAnsi="仿宋" w:cs="仿宋_GB2312;仿宋" w:hint="eastAsia"/>
          <w:bCs/>
          <w:color w:val="000000"/>
          <w:sz w:val="32"/>
          <w:szCs w:val="32"/>
        </w:rPr>
        <w:t>市、县（市、区）人民政府的财政、审计部门负责对</w:t>
      </w:r>
      <w:r>
        <w:rPr>
          <w:rFonts w:ascii="仿宋" w:hAnsi="仿宋" w:cs="仿宋_GB2312;仿宋" w:hint="eastAsia"/>
          <w:bCs/>
          <w:color w:val="000000"/>
          <w:sz w:val="32"/>
          <w:szCs w:val="32"/>
          <w:lang w:val="en-US" w:eastAsia="en-US"/>
        </w:rPr>
        <w:t>流域生态修复与保护的各类财政专项资金的使用情况依法进行财政、审计监督。财政与审计监督的结果应当向社会公布，接受社会监督。</w:t>
      </w:r>
    </w:p>
    <w:p>
      <w:pPr>
        <w:pStyle w:val="Style16"/>
        <w:numPr>
          <w:ilvl w:val="0"/>
          <w:numId w:val="2"/>
        </w:numPr>
        <w:tabs>
          <w:tab w:val="clear" w:pos="420"/>
          <w:tab w:val="left" w:pos="0" w:leader="none"/>
          <w:tab w:val="left" w:pos="1620" w:leader="none"/>
        </w:tabs>
        <w:ind w:firstLineChars="0" w:firstLine="0" w:startChars="0" w:start="0" w:endChars="0" w:end="0"/>
        <w:rPr>
          <w:rFonts w:ascii="仿宋" w:hAnsi="仿宋" w:eastAsia="仿宋" w:cs="仿宋_GB2312;仿宋" w:hint="eastAsia"/>
          <w:bCs/>
          <w:color w:val="000000"/>
          <w:sz w:val="32"/>
          <w:szCs w:val="32"/>
          <w:lang w:val="en-US" w:eastAsia="en-US"/>
        </w:rPr>
      </w:pPr>
      <w:r>
        <w:rPr>
          <w:rFonts w:ascii="仿宋" w:hAnsi="仿宋" w:cs="仿宋_GB2312;仿宋" w:hint="eastAsia"/>
          <w:bCs/>
          <w:color w:val="000000"/>
          <w:sz w:val="32"/>
          <w:szCs w:val="32"/>
        </w:rPr>
        <w:t>市、县（市、区）人民政府有关部门应当建立健全联合执法机制，加强对流域生态修复与保护工作的执法检查。</w:t>
      </w:r>
    </w:p>
    <w:p>
      <w:pPr>
        <w:pStyle w:val="Heading2"/>
        <w:numPr>
          <w:ilvl w:val="1"/>
          <w:numId w:val="3"/>
        </w:numPr>
        <w:tabs>
          <w:tab w:val="clear" w:pos="420"/>
          <w:tab w:val="left" w:pos="2312" w:leader="none"/>
        </w:tabs>
        <w:spacing w:before="579" w:after="579"/>
        <w:rPr>
          <w:rFonts w:cs="Calibri" w:hint="eastAsia"/>
          <w:sz w:val="32"/>
          <w:szCs w:val="21"/>
        </w:rPr>
      </w:pPr>
      <w:r>
        <w:rPr>
          <w:rFonts w:cs="Calibri" w:hint="eastAsia"/>
          <w:sz w:val="32"/>
          <w:szCs w:val="21"/>
        </w:rPr>
        <w:t>法律责任</w:t>
      </w:r>
    </w:p>
    <w:p>
      <w:pPr>
        <w:pStyle w:val="Style16"/>
        <w:numPr>
          <w:ilvl w:val="0"/>
          <w:numId w:val="2"/>
        </w:numPr>
        <w:tabs>
          <w:tab w:val="clear" w:pos="420"/>
          <w:tab w:val="left" w:pos="0" w:leader="none"/>
          <w:tab w:val="left" w:pos="1620" w:leader="none"/>
        </w:tabs>
        <w:ind w:firstLineChars="0" w:firstLine="0" w:startChars="0" w:start="0" w:endChars="0" w:end="0"/>
        <w:jc w:val="start"/>
        <w:rPr>
          <w:rFonts w:ascii="仿宋" w:hAnsi="仿宋" w:eastAsia="仿宋" w:cs="仿宋_GB2312;仿宋" w:hint="eastAsia"/>
          <w:bCs/>
          <w:color w:val="000000"/>
          <w:sz w:val="32"/>
          <w:szCs w:val="32"/>
          <w:lang w:val="en-US" w:eastAsia="en-US"/>
        </w:rPr>
      </w:pPr>
      <w:r>
        <w:rPr>
          <w:rFonts w:ascii="仿宋" w:hAnsi="仿宋" w:cs="仿宋_GB2312;仿宋" w:hint="eastAsia"/>
          <w:bCs/>
          <w:color w:val="000000"/>
          <w:sz w:val="32"/>
          <w:szCs w:val="32"/>
        </w:rPr>
        <w:t>违反本条例规定，法律、法规已有法律责任规定的，从其规定。</w:t>
      </w:r>
    </w:p>
    <w:p>
      <w:pPr>
        <w:pStyle w:val="Style16"/>
        <w:numPr>
          <w:ilvl w:val="0"/>
          <w:numId w:val="2"/>
        </w:numPr>
        <w:tabs>
          <w:tab w:val="clear" w:pos="420"/>
          <w:tab w:val="left" w:pos="0" w:leader="none"/>
          <w:tab w:val="left" w:pos="1620" w:leader="none"/>
        </w:tabs>
        <w:ind w:firstLineChars="0" w:firstLine="0" w:startChars="0" w:start="0" w:endChars="0" w:end="0"/>
        <w:jc w:val="start"/>
        <w:rPr>
          <w:rFonts w:ascii="仿宋" w:hAnsi="仿宋" w:eastAsia="仿宋" w:cs="仿宋_GB2312;仿宋" w:hint="eastAsia"/>
          <w:bCs/>
          <w:color w:val="000000"/>
          <w:sz w:val="32"/>
          <w:szCs w:val="32"/>
          <w:lang w:val="en-US" w:eastAsia="en-US"/>
        </w:rPr>
      </w:pPr>
      <w:r>
        <w:rPr>
          <w:rFonts w:ascii="仿宋" w:hAnsi="仿宋" w:cs="仿宋_GB2312;仿宋" w:hint="eastAsia"/>
          <w:color w:val="000000"/>
          <w:sz w:val="32"/>
          <w:szCs w:val="32"/>
        </w:rPr>
        <w:t>违反本条例</w:t>
      </w:r>
      <w:r>
        <w:rPr>
          <w:rFonts w:ascii="仿宋" w:hAnsi="仿宋" w:cs="仿宋_GB2312;仿宋" w:hint="eastAsia"/>
          <w:bCs/>
          <w:color w:val="000000"/>
          <w:sz w:val="32"/>
          <w:szCs w:val="32"/>
          <w:lang w:val="en-US" w:eastAsia="en-US"/>
        </w:rPr>
        <w:t>在流域内建设妨碍生态修复与保护的建筑物、构筑物，或者从事其他妨碍流域生态修复与保护活动</w:t>
      </w:r>
      <w:r>
        <w:rPr>
          <w:rFonts w:ascii="仿宋" w:hAnsi="仿宋" w:cs="仿宋_GB2312;仿宋" w:hint="eastAsia"/>
          <w:color w:val="000000"/>
          <w:sz w:val="32"/>
          <w:szCs w:val="32"/>
        </w:rPr>
        <w:t>的，</w:t>
      </w:r>
      <w:r>
        <w:rPr>
          <w:rFonts w:ascii="仿宋" w:hAnsi="仿宋" w:cs="仿宋_GB2312;仿宋" w:hint="eastAsia"/>
          <w:bCs/>
          <w:color w:val="000000"/>
          <w:sz w:val="32"/>
          <w:szCs w:val="32"/>
        </w:rPr>
        <w:t>由市、县（市、区）人民政府水行政主管部门责令停止违法行为，限期拆除违法建筑物、构筑物，恢复原状；逾期不拆除、不恢复原状的，强行拆除，所需费用由违法单位或者个人负担，并处以一万元以上十万元以下罚款。</w:t>
      </w:r>
    </w:p>
    <w:p>
      <w:pPr>
        <w:pStyle w:val="Style16"/>
        <w:numPr>
          <w:ilvl w:val="0"/>
          <w:numId w:val="2"/>
        </w:numPr>
        <w:tabs>
          <w:tab w:val="clear" w:pos="420"/>
          <w:tab w:val="left" w:pos="0" w:leader="none"/>
          <w:tab w:val="left" w:pos="1620" w:leader="none"/>
        </w:tabs>
        <w:ind w:firstLineChars="0" w:firstLine="0" w:startChars="0" w:start="0" w:endChars="0" w:end="0"/>
        <w:jc w:val="start"/>
        <w:rPr>
          <w:rFonts w:ascii="仿宋" w:hAnsi="仿宋" w:eastAsia="仿宋" w:cs="仿宋_GB2312;仿宋" w:hint="eastAsia"/>
          <w:bCs/>
          <w:color w:val="000000"/>
          <w:sz w:val="32"/>
          <w:szCs w:val="32"/>
          <w:lang w:val="en-US" w:eastAsia="en-US"/>
        </w:rPr>
      </w:pPr>
      <w:r>
        <w:rPr>
          <w:rFonts w:ascii="仿宋" w:hAnsi="仿宋" w:cs="仿宋_GB2312;仿宋" w:hint="eastAsia"/>
          <w:bCs/>
          <w:color w:val="000000"/>
          <w:sz w:val="32"/>
          <w:szCs w:val="32"/>
        </w:rPr>
        <w:t>违反本条例规定，擅自变更水源涵养林地和天然草甸用途的，由市、县（市、区）人民政府林业主管部门责令停止违法行为，没收违法所得，限期恢复原状，并处非法变更水源涵养林地每平米三十元罚款、非法变更天然草甸每平米五十元罚款。</w:t>
      </w:r>
    </w:p>
    <w:p>
      <w:pPr>
        <w:pStyle w:val="Style16"/>
        <w:numPr>
          <w:ilvl w:val="0"/>
          <w:numId w:val="2"/>
        </w:numPr>
        <w:tabs>
          <w:tab w:val="clear" w:pos="420"/>
          <w:tab w:val="left" w:pos="0" w:leader="none"/>
          <w:tab w:val="left" w:pos="1620" w:leader="none"/>
        </w:tabs>
        <w:ind w:firstLineChars="0" w:firstLine="0" w:startChars="0" w:start="0" w:endChars="0" w:end="0"/>
        <w:jc w:val="start"/>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国家工作人员在流域生态修复与保护工作中，有下列情形之一的，对直接负责的主管人员和其他直接责任人员依法给予处分：</w:t>
      </w:r>
    </w:p>
    <w:p>
      <w:pPr>
        <w:pStyle w:val="Normal"/>
        <w:ind w:firstLineChars="200" w:startChars="0" w:start="0" w:endChars="0" w:end="0"/>
        <w:jc w:val="start"/>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（一）在编制流域规划或者实施方案中弄虚作假的；</w:t>
      </w:r>
    </w:p>
    <w:p>
      <w:pPr>
        <w:pStyle w:val="Normal"/>
        <w:ind w:firstLineChars="200" w:startChars="0" w:start="0" w:endChars="0" w:end="0"/>
        <w:jc w:val="start"/>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（二）不执行水量分配和调度计划、指令的；</w:t>
      </w:r>
    </w:p>
    <w:p>
      <w:pPr>
        <w:pStyle w:val="Normal"/>
        <w:ind w:firstLineChars="200" w:startChars="0" w:start="0" w:endChars="0" w:end="0"/>
        <w:jc w:val="start"/>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（三）违反规定审批开发建设项目的；</w:t>
      </w:r>
    </w:p>
    <w:p>
      <w:pPr>
        <w:pStyle w:val="Normal"/>
        <w:ind w:firstLineChars="200" w:startChars="0" w:start="0" w:endChars="0" w:end="0"/>
        <w:jc w:val="start"/>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（四）违反规定使用生态修复与保护资金的；</w:t>
      </w:r>
    </w:p>
    <w:p>
      <w:pPr>
        <w:pStyle w:val="Normal"/>
        <w:ind w:firstLineChars="200" w:startChars="0" w:start="0" w:endChars="0" w:end="0"/>
        <w:jc w:val="start"/>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（五）不履行法定职责的；</w:t>
      </w:r>
    </w:p>
    <w:p>
      <w:pPr>
        <w:pStyle w:val="Style16"/>
        <w:tabs>
          <w:tab w:val="clear" w:pos="420"/>
          <w:tab w:val="left" w:pos="0" w:leader="none"/>
        </w:tabs>
        <w:ind w:firstLineChars="200" w:startChars="0" w:start="0" w:endChars="0" w:end="0"/>
        <w:jc w:val="start"/>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（六）其他滥用职权、玩忽职守、徇私舞弊的。</w:t>
      </w:r>
    </w:p>
    <w:p>
      <w:pPr>
        <w:pStyle w:val="Heading2"/>
        <w:numPr>
          <w:ilvl w:val="1"/>
          <w:numId w:val="3"/>
        </w:numPr>
        <w:tabs>
          <w:tab w:val="clear" w:pos="420"/>
          <w:tab w:val="left" w:pos="2312" w:leader="none"/>
        </w:tabs>
        <w:spacing w:before="579" w:after="579"/>
        <w:rPr>
          <w:rFonts w:cs="Calibri" w:hint="eastAsia"/>
          <w:sz w:val="32"/>
          <w:szCs w:val="21"/>
        </w:rPr>
      </w:pPr>
      <w:r>
        <w:rPr>
          <w:rFonts w:cs="Calibri" w:hint="eastAsia"/>
          <w:sz w:val="32"/>
          <w:szCs w:val="21"/>
        </w:rPr>
        <w:t>附则</w:t>
      </w:r>
    </w:p>
    <w:p>
      <w:pPr>
        <w:pStyle w:val="Style16"/>
        <w:numPr>
          <w:ilvl w:val="0"/>
          <w:numId w:val="2"/>
        </w:numPr>
        <w:tabs>
          <w:tab w:val="clear" w:pos="420"/>
          <w:tab w:val="left" w:pos="0" w:leader="none"/>
          <w:tab w:val="left" w:pos="1620" w:leader="none"/>
        </w:tabs>
        <w:ind w:firstLineChars="0" w:firstLine="0" w:startChars="0" w:start="0" w:endChars="0" w:end="0"/>
        <w:rPr>
          <w:rFonts w:ascii="仿宋" w:hAnsi="仿宋" w:eastAsia="仿宋" w:cs="仿宋_GB2312;仿宋" w:hint="eastAsia"/>
          <w:bCs/>
          <w:color w:val="000000"/>
          <w:sz w:val="32"/>
          <w:szCs w:val="32"/>
          <w:lang w:val="en-US" w:eastAsia="en-US"/>
        </w:rPr>
      </w:pPr>
      <w:r>
        <w:rPr>
          <w:rFonts w:ascii="仿宋" w:hAnsi="仿宋" w:cs="仿宋_GB2312;仿宋" w:hint="eastAsia"/>
          <w:bCs/>
          <w:color w:val="000000"/>
          <w:sz w:val="32"/>
          <w:szCs w:val="32"/>
        </w:rPr>
        <w:t>五台山风景名胜区管理委员会对流域内的生态修复与保护工作，适用本条例。</w:t>
      </w:r>
    </w:p>
    <w:p>
      <w:pPr>
        <w:pStyle w:val="Style16"/>
        <w:numPr>
          <w:ilvl w:val="0"/>
          <w:numId w:val="2"/>
        </w:numPr>
        <w:tabs>
          <w:tab w:val="clear" w:pos="420"/>
          <w:tab w:val="left" w:pos="0" w:leader="none"/>
          <w:tab w:val="left" w:pos="1620" w:leader="none"/>
        </w:tabs>
        <w:ind w:firstLineChars="0" w:firstLine="0" w:startChars="0" w:start="0" w:endChars="0" w:end="0"/>
        <w:rPr>
          <w:rFonts w:ascii="仿宋" w:hAnsi="仿宋" w:eastAsia="仿宋" w:cs="仿宋_GB2312;仿宋" w:hint="eastAsia"/>
          <w:bCs/>
          <w:color w:val="000000"/>
          <w:sz w:val="32"/>
          <w:szCs w:val="32"/>
          <w:lang w:val="en-US" w:eastAsia="en-US"/>
        </w:rPr>
      </w:pPr>
      <w:r>
        <w:rPr>
          <w:rFonts w:ascii="仿宋" w:hAnsi="仿宋" w:cs="仿宋_GB2312;仿宋" w:hint="eastAsia"/>
          <w:bCs/>
          <w:color w:val="000000"/>
          <w:sz w:val="32"/>
          <w:szCs w:val="32"/>
        </w:rPr>
        <w:t>本条例自</w:t>
      </w:r>
      <w:r>
        <w:rPr>
          <w:rFonts w:eastAsia="仿宋" w:cs="仿宋_GB2312;仿宋" w:hint="eastAsia" w:ascii="仿宋" w:hAnsi="仿宋"/>
          <w:bCs/>
          <w:color w:val="000000"/>
          <w:sz w:val="32"/>
          <w:szCs w:val="32"/>
        </w:rPr>
        <w:t>2019</w:t>
      </w:r>
      <w:r>
        <w:rPr>
          <w:rFonts w:ascii="仿宋" w:hAnsi="仿宋" w:cs="仿宋_GB2312;仿宋" w:hint="eastAsia"/>
          <w:bCs/>
          <w:color w:val="000000"/>
          <w:sz w:val="32"/>
          <w:szCs w:val="32"/>
        </w:rPr>
        <w:t>年</w:t>
      </w:r>
      <w:r>
        <w:rPr>
          <w:rFonts w:eastAsia="仿宋" w:cs="仿宋_GB2312;仿宋" w:hint="eastAsia" w:ascii="仿宋" w:hAnsi="仿宋"/>
          <w:bCs/>
          <w:color w:val="000000"/>
          <w:sz w:val="32"/>
          <w:szCs w:val="32"/>
        </w:rPr>
        <w:t>5</w:t>
      </w:r>
      <w:r>
        <w:rPr>
          <w:rFonts w:ascii="仿宋" w:hAnsi="仿宋" w:cs="仿宋_GB2312;仿宋" w:hint="eastAsia"/>
          <w:bCs/>
          <w:color w:val="000000"/>
          <w:sz w:val="32"/>
          <w:szCs w:val="32"/>
        </w:rPr>
        <w:t>月</w:t>
      </w:r>
      <w:r>
        <w:rPr>
          <w:rFonts w:eastAsia="仿宋" w:cs="仿宋_GB2312;仿宋" w:hint="eastAsia" w:ascii="仿宋" w:hAnsi="仿宋"/>
          <w:bCs/>
          <w:color w:val="000000"/>
          <w:sz w:val="32"/>
          <w:szCs w:val="32"/>
        </w:rPr>
        <w:t>1</w:t>
      </w:r>
      <w:r>
        <w:rPr>
          <w:rFonts w:ascii="仿宋" w:hAnsi="仿宋" w:cs="仿宋_GB2312;仿宋" w:hint="eastAsia"/>
          <w:bCs/>
          <w:color w:val="000000"/>
          <w:sz w:val="32"/>
          <w:szCs w:val="32"/>
        </w:rPr>
        <w:t>日起施行。</w:t>
      </w:r>
    </w:p>
    <w:sectPr>
      <w:footerReference w:type="default" r:id="rId2"/>
      <w:type w:val="nextPage"/>
      <w:pgSz w:w="11906" w:h="16838"/>
      <w:pgMar w:left="1587" w:right="1474" w:gutter="0" w:header="0" w:top="2098" w:footer="1587" w:bottom="198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family w:val="swiss"/>
    <w:pitch w:val="default"/>
  </w:font>
  <w:font w:name="宋体">
    <w:charset w:val="86"/>
    <w:family w:val="auto"/>
    <w:pitch w:val="default"/>
  </w:font>
  <w:font w:name="Liberation Sans">
    <w:altName w:val="Arial"/>
    <w:charset w:val="01" w:characterSet="utf-8"/>
    <w:family w:val="swiss"/>
    <w:pitch w:val="variable"/>
  </w:font>
  <w:font w:name="楷体">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26.5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space"/>
      <w:lvlText w:val="    第%1条"/>
      <w:lvlJc w:val="start"/>
      <w:pPr>
        <w:tabs>
          <w:tab w:val="num" w:pos="0"/>
        </w:tabs>
        <w:ind w:start="0" w:hanging="0"/>
      </w:pPr>
      <w:rPr>
        <w:rFonts w:ascii="宋体" w:hAnsi="宋体" w:eastAsia="黑体" w:cs="宋体" w:hint="eastAsia"/>
        <w:b w:val="false"/>
      </w:rPr>
    </w:lvl>
  </w:abstractNum>
  <w:abstractNum w:abstractNumId="3">
    <w:lvl w:ilvl="0">
      <w:start w:val="1"/>
      <w:numFmt w:val="chineseCountingThousand"/>
      <w:lvlText w:val="（%1）"/>
      <w:lvlJc w:val="start"/>
      <w:pPr>
        <w:tabs>
          <w:tab w:val="num" w:pos="0"/>
        </w:tabs>
        <w:ind w:start="1712" w:hanging="1080"/>
      </w:pPr>
      <w:rPr/>
    </w:lvl>
    <w:lvl w:ilvl="1">
      <w:start w:val="1"/>
      <w:numFmt w:val="chineseCountingThousand"/>
      <w:lvlText w:val="第%2章"/>
      <w:lvlJc w:val="start"/>
      <w:pPr>
        <w:tabs>
          <w:tab w:val="num" w:pos="0"/>
        </w:tabs>
        <w:ind w:start="2312" w:hanging="1260"/>
      </w:pPr>
      <w:rPr/>
    </w:lvl>
    <w:lvl w:ilvl="2">
      <w:start w:val="1"/>
      <w:numFmt w:val="lowerRoman"/>
      <w:lvlText w:val="%3."/>
      <w:lvlJc w:val="end"/>
      <w:pPr>
        <w:tabs>
          <w:tab w:val="num" w:pos="0"/>
        </w:tabs>
        <w:ind w:start="1892" w:hanging="420"/>
      </w:pPr>
    </w:lvl>
    <w:lvl w:ilvl="3">
      <w:start w:val="1"/>
      <w:numFmt w:val="decimal"/>
      <w:lvlText w:val="%4."/>
      <w:lvlJc w:val="start"/>
      <w:pPr>
        <w:tabs>
          <w:tab w:val="num" w:pos="0"/>
        </w:tabs>
        <w:ind w:start="2312" w:hanging="420"/>
      </w:pPr>
    </w:lvl>
    <w:lvl w:ilvl="4">
      <w:start w:val="1"/>
      <w:numFmt w:val="lowerLetter"/>
      <w:lvlText w:val="%5)"/>
      <w:lvlJc w:val="start"/>
      <w:pPr>
        <w:tabs>
          <w:tab w:val="num" w:pos="0"/>
        </w:tabs>
        <w:ind w:start="2732" w:hanging="420"/>
      </w:pPr>
    </w:lvl>
    <w:lvl w:ilvl="5">
      <w:start w:val="1"/>
      <w:numFmt w:val="lowerRoman"/>
      <w:lvlText w:val="%6."/>
      <w:lvlJc w:val="end"/>
      <w:pPr>
        <w:tabs>
          <w:tab w:val="num" w:pos="0"/>
        </w:tabs>
        <w:ind w:start="3152" w:hanging="420"/>
      </w:pPr>
    </w:lvl>
    <w:lvl w:ilvl="6">
      <w:start w:val="1"/>
      <w:numFmt w:val="decimal"/>
      <w:lvlText w:val="%7."/>
      <w:lvlJc w:val="start"/>
      <w:pPr>
        <w:tabs>
          <w:tab w:val="num" w:pos="0"/>
        </w:tabs>
        <w:ind w:start="3572" w:hanging="420"/>
      </w:pPr>
    </w:lvl>
    <w:lvl w:ilvl="7">
      <w:start w:val="1"/>
      <w:numFmt w:val="lowerLetter"/>
      <w:lvlText w:val="%8)"/>
      <w:lvlJc w:val="start"/>
      <w:pPr>
        <w:tabs>
          <w:tab w:val="num" w:pos="0"/>
        </w:tabs>
        <w:ind w:start="3992" w:hanging="420"/>
      </w:pPr>
    </w:lvl>
    <w:lvl w:ilvl="8">
      <w:start w:val="1"/>
      <w:numFmt w:val="lowerRoman"/>
      <w:lvlText w:val="%9."/>
      <w:lvlJc w:val="end"/>
      <w:pPr>
        <w:tabs>
          <w:tab w:val="num" w:pos="0"/>
        </w:tabs>
        <w:ind w:start="4412" w:hanging="42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isplayBackgroundShape/>
  <w:mirrorMargins/>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 w:cs="Times New Roman"/>
      <w:color w:val="auto"/>
      <w:kern w:val="2"/>
      <w:sz w:val="32"/>
      <w:szCs w:val="22"/>
      <w:lang w:bidi="ar-SA" w:val="en-US" w:eastAsia="zh-CN"/>
    </w:rPr>
  </w:style>
  <w:style w:type="paragraph" w:styleId="Heading2">
    <w:name w:val="heading 2"/>
    <w:basedOn w:val="Normal"/>
    <w:next w:val="Normal"/>
    <w:qFormat/>
    <w:pPr>
      <w:keepNext w:val="true"/>
      <w:keepLines/>
      <w:numPr>
        <w:ilvl w:val="1"/>
        <w:numId w:val="1"/>
      </w:numPr>
      <w:spacing w:lineRule="auto" w:line="240" w:before="100" w:after="100"/>
      <w:ind w:firstLineChars="0" w:firstLine="0" w:startChars="0" w:start="0" w:endChars="0" w:end="0"/>
      <w:jc w:val="center"/>
      <w:outlineLvl w:val="1"/>
    </w:pPr>
    <w:rPr>
      <w:rFonts w:ascii="Arial" w:hAnsi="Arial" w:eastAsia="黑体" w:cs="Arial"/>
    </w:rPr>
  </w:style>
  <w:style w:type="character" w:styleId="WW8Num1z0">
    <w:name w:val="WW8Num1z0"/>
    <w:qFormat/>
    <w:rPr>
      <w:rFonts w:ascii="宋体" w:hAnsi="宋体" w:eastAsia="黑体" w:cs="宋体" w:hint="eastAsia"/>
      <w:b w:val="false"/>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Style14">
    <w:name w:val="页眉字符"/>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纯文本"/>
    <w:basedOn w:val="Normal"/>
    <w:qFormat/>
    <w:pPr/>
    <w:rPr>
      <w:rFonts w:ascii="宋体" w:hAnsi="宋体" w:cs="Courier New"/>
      <w:szCs w:val="21"/>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8640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2016-11-17T11:13:00Z</dcterms:created>
  <dc:creator>dym</dc:creator>
  <dc:description/>
  <dc:language>en-US</dc:language>
  <cp:lastModifiedBy>lj</cp:lastModifiedBy>
  <cp:lastPrinted>2019-03-24T10:05:00Z</cp:lastPrinted>
  <dcterms:modified xsi:type="dcterms:W3CDTF">2019-04-15T11:51:54Z</dcterms:modified>
  <cp:revision>4</cp:revision>
  <dc:subject/>
  <dc:title>忻州市滹沱河流域生态修复与保护条例（草案）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2052-10.1.0.7698</vt:lpwstr>
  </property>
</Properties>
</file>