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方正小标宋简体" w:hAnsi="方正小标宋简体" w:eastAsia="方正小标宋简体" w:cs="方正小标宋简体" w:hint="eastAsia"/>
          <w:color w:val="000000"/>
          <w:sz w:val="44"/>
          <w:szCs w:val="44"/>
          <w:u w:val="none"/>
        </w:rPr>
      </w:pPr>
      <w:r>
        <w:rPr>
          <w:rFonts w:ascii="方正小标宋简体" w:hAnsi="方正小标宋简体" w:cs="方正小标宋简体" w:hint="eastAsia" w:eastAsia="方正小标宋简体"/>
          <w:color w:val="000000"/>
          <w:sz w:val="44"/>
          <w:szCs w:val="44"/>
          <w:u w:val="none"/>
        </w:rPr>
        <w:t>吕梁市停车条例</w:t>
      </w:r>
    </w:p>
    <w:p>
      <w:pPr>
        <w:pStyle w:val="Style12"/>
        <w:rPr>
          <w:rFonts w:ascii="方正小标宋简体" w:hAnsi="方正小标宋简体" w:eastAsia="方正小标宋简体" w:cs="方正小标宋简体" w:hint="eastAsia"/>
          <w:color w:val="000000"/>
          <w:sz w:val="44"/>
          <w:szCs w:val="44"/>
          <w:u w:val="none"/>
        </w:rPr>
      </w:pPr>
      <w:r>
        <w:rPr>
          <w:rFonts w:eastAsia="方正小标宋简体" w:cs="方正小标宋简体" w:hint="eastAsia" w:ascii="方正小标宋简体" w:hAnsi="方正小标宋简体"/>
          <w:color w:val="000000"/>
          <w:sz w:val="44"/>
          <w:szCs w:val="44"/>
          <w:u w:val="none"/>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start"/>
        <w:textAlignment w:val="auto"/>
        <w:rPr>
          <w:rFonts w:ascii="楷体" w:hAnsi="楷体" w:eastAsia="楷体" w:cs="楷体" w:hint="eastAsia"/>
          <w:b w:val="false"/>
          <w:bCs/>
          <w:color w:val="000000"/>
          <w:sz w:val="32"/>
          <w:szCs w:val="32"/>
          <w:highlight w:val="none"/>
        </w:rPr>
      </w:pPr>
      <w:r>
        <w:rPr>
          <w:rFonts w:ascii="楷体" w:hAnsi="楷体" w:cs="楷体" w:hint="eastAsia" w:eastAsia="楷体"/>
          <w:b w:val="false"/>
          <w:bCs/>
          <w:color w:val="000000"/>
          <w:sz w:val="32"/>
          <w:szCs w:val="32"/>
        </w:rPr>
        <w:t>（</w:t>
      </w:r>
      <w:r>
        <w:rPr>
          <w:rFonts w:eastAsia="楷体" w:cs="楷体" w:hint="eastAsia" w:ascii="楷体" w:hAnsi="楷体"/>
          <w:b w:val="false"/>
          <w:bCs/>
          <w:color w:val="000000"/>
          <w:sz w:val="32"/>
          <w:szCs w:val="32"/>
        </w:rPr>
        <w:t>2022</w:t>
      </w:r>
      <w:r>
        <w:rPr>
          <w:rFonts w:ascii="楷体" w:hAnsi="楷体" w:cs="楷体" w:hint="eastAsia" w:eastAsia="楷体"/>
          <w:b w:val="false"/>
          <w:bCs/>
          <w:color w:val="000000"/>
          <w:sz w:val="32"/>
          <w:szCs w:val="32"/>
        </w:rPr>
        <w:t>年</w:t>
      </w:r>
      <w:r>
        <w:rPr>
          <w:rFonts w:eastAsia="楷体" w:cs="楷体" w:hint="eastAsia" w:ascii="楷体" w:hAnsi="楷体"/>
          <w:b w:val="false"/>
          <w:bCs/>
          <w:color w:val="000000"/>
          <w:sz w:val="32"/>
          <w:szCs w:val="32"/>
        </w:rPr>
        <w:t>10</w:t>
      </w:r>
      <w:r>
        <w:rPr>
          <w:rFonts w:ascii="楷体" w:hAnsi="楷体" w:cs="楷体" w:hint="eastAsia" w:eastAsia="楷体"/>
          <w:b w:val="false"/>
          <w:bCs/>
          <w:color w:val="000000"/>
          <w:sz w:val="32"/>
          <w:szCs w:val="32"/>
        </w:rPr>
        <w:t>月</w:t>
      </w:r>
      <w:r>
        <w:rPr>
          <w:rFonts w:eastAsia="楷体" w:cs="楷体" w:hint="eastAsia" w:ascii="楷体" w:hAnsi="楷体"/>
          <w:b w:val="false"/>
          <w:bCs/>
          <w:color w:val="000000"/>
          <w:sz w:val="32"/>
          <w:szCs w:val="32"/>
        </w:rPr>
        <w:t>26</w:t>
      </w:r>
      <w:r>
        <w:rPr>
          <w:rFonts w:ascii="楷体" w:hAnsi="楷体" w:cs="楷体" w:hint="eastAsia" w:eastAsia="楷体"/>
          <w:b w:val="false"/>
          <w:bCs/>
          <w:color w:val="000000"/>
          <w:sz w:val="32"/>
          <w:szCs w:val="32"/>
        </w:rPr>
        <w:t>日吕梁市第四届人民代表大会常务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start"/>
        <w:textAlignment w:val="auto"/>
        <w:rPr>
          <w:rFonts w:ascii="楷体" w:hAnsi="楷体" w:eastAsia="楷体" w:cs="楷体" w:hint="eastAsia"/>
          <w:b w:val="false"/>
          <w:bCs/>
          <w:color w:val="000000"/>
          <w:sz w:val="32"/>
          <w:szCs w:val="32"/>
          <w:highlight w:val="none"/>
        </w:rPr>
      </w:pPr>
      <w:r>
        <w:rPr>
          <w:rFonts w:ascii="楷体" w:hAnsi="楷体" w:cs="楷体" w:hint="eastAsia" w:eastAsia="楷体"/>
          <w:b w:val="false"/>
          <w:bCs/>
          <w:color w:val="000000"/>
          <w:sz w:val="32"/>
          <w:szCs w:val="32"/>
        </w:rPr>
        <w:t xml:space="preserve">委员会第四次会议通过 </w:t>
      </w:r>
      <w:r>
        <w:rPr>
          <w:rFonts w:eastAsia="楷体" w:cs="楷体" w:hint="eastAsia" w:ascii="楷体" w:hAnsi="楷体"/>
          <w:b w:val="false"/>
          <w:bCs/>
          <w:color w:val="000000"/>
          <w:sz w:val="32"/>
          <w:szCs w:val="32"/>
        </w:rPr>
        <w:t>2022</w:t>
      </w:r>
      <w:r>
        <w:rPr>
          <w:rFonts w:ascii="楷体" w:hAnsi="楷体" w:cs="楷体" w:hint="eastAsia" w:eastAsia="楷体"/>
          <w:b w:val="false"/>
          <w:bCs/>
          <w:color w:val="000000"/>
          <w:sz w:val="32"/>
          <w:szCs w:val="32"/>
        </w:rPr>
        <w:t>年</w:t>
      </w:r>
      <w:r>
        <w:rPr>
          <w:rFonts w:eastAsia="楷体" w:cs="楷体" w:hint="eastAsia" w:ascii="楷体" w:hAnsi="楷体"/>
          <w:b w:val="false"/>
          <w:bCs/>
          <w:color w:val="000000"/>
          <w:sz w:val="32"/>
          <w:szCs w:val="32"/>
        </w:rPr>
        <w:t>12</w:t>
      </w:r>
      <w:r>
        <w:rPr>
          <w:rFonts w:ascii="楷体" w:hAnsi="楷体" w:cs="楷体" w:hint="eastAsia" w:eastAsia="楷体"/>
          <w:b w:val="false"/>
          <w:bCs/>
          <w:color w:val="000000"/>
          <w:sz w:val="32"/>
          <w:szCs w:val="32"/>
        </w:rPr>
        <w:t>月</w:t>
      </w:r>
      <w:r>
        <w:rPr>
          <w:rFonts w:eastAsia="楷体" w:cs="楷体" w:hint="eastAsia" w:ascii="楷体" w:hAnsi="楷体"/>
          <w:b w:val="false"/>
          <w:bCs/>
          <w:color w:val="000000"/>
          <w:sz w:val="32"/>
          <w:szCs w:val="32"/>
        </w:rPr>
        <w:t>9</w:t>
      </w:r>
      <w:r>
        <w:rPr>
          <w:rFonts w:ascii="楷体" w:hAnsi="楷体" w:cs="楷体" w:hint="eastAsia" w:eastAsia="楷体"/>
          <w:b w:val="false"/>
          <w:bCs/>
          <w:color w:val="000000"/>
          <w:sz w:val="32"/>
          <w:szCs w:val="32"/>
        </w:rPr>
        <w:t>日山西省第十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start"/>
        <w:textAlignment w:val="auto"/>
        <w:rPr/>
      </w:pPr>
      <w:r>
        <w:rPr>
          <w:rFonts w:ascii="楷体" w:hAnsi="楷体" w:cs="楷体" w:hint="eastAsia" w:eastAsia="楷体"/>
          <w:b w:val="false"/>
          <w:bCs/>
          <w:color w:val="000000"/>
          <w:sz w:val="32"/>
          <w:szCs w:val="32"/>
        </w:rPr>
        <w:t>三届人民代表大会常务委员会第三十八次会议批准）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color w:val="000000"/>
          <w:sz w:val="32"/>
          <w:szCs w:val="32"/>
          <w:u w:val="none"/>
        </w:rPr>
      </w:pPr>
      <w:r>
        <w:rPr>
          <w:rFonts w:eastAsia="仿宋" w:cs="仿宋" w:hint="eastAsia" w:ascii="仿宋" w:hAnsi="仿宋"/>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u w:val="none"/>
        </w:rPr>
      </w:pPr>
      <w:r>
        <w:rPr>
          <w:rFonts w:ascii="黑体" w:hAnsi="黑体" w:cs="黑体" w:hint="eastAsia" w:eastAsia="黑体"/>
          <w:color w:val="000000"/>
          <w:sz w:val="32"/>
          <w:szCs w:val="32"/>
          <w:u w:val="none"/>
        </w:rPr>
        <w:t>目　　录</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u w:val="none"/>
        </w:rPr>
      </w:pPr>
      <w:r>
        <w:rPr>
          <w:rFonts w:eastAsia="黑体" w:cs="黑体" w:hint="eastAsia" w:ascii="黑体" w:hAnsi="黑体"/>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start"/>
        <w:textAlignment w:val="auto"/>
        <w:rPr>
          <w:rFonts w:ascii="黑体" w:hAnsi="黑体" w:eastAsia="黑体" w:cs="黑体" w:hint="eastAsia"/>
          <w:color w:val="000000"/>
          <w:sz w:val="32"/>
          <w:szCs w:val="32"/>
          <w:u w:val="none"/>
        </w:rPr>
      </w:pPr>
      <w:r>
        <w:rPr>
          <w:rFonts w:ascii="黑体" w:hAnsi="黑体" w:cs="黑体" w:hint="eastAsia" w:eastAsia="黑体"/>
          <w:color w:val="000000"/>
          <w:sz w:val="32"/>
          <w:szCs w:val="32"/>
          <w:u w:val="none"/>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start"/>
        <w:textAlignment w:val="auto"/>
        <w:rPr>
          <w:rFonts w:ascii="黑体" w:hAnsi="黑体" w:eastAsia="黑体" w:cs="黑体" w:hint="eastAsia"/>
          <w:color w:val="000000"/>
          <w:sz w:val="32"/>
          <w:szCs w:val="32"/>
          <w:u w:val="none"/>
        </w:rPr>
      </w:pPr>
      <w:r>
        <w:rPr>
          <w:rFonts w:ascii="黑体" w:hAnsi="黑体" w:cs="黑体" w:hint="eastAsia" w:eastAsia="黑体"/>
          <w:color w:val="000000"/>
          <w:sz w:val="32"/>
          <w:szCs w:val="32"/>
          <w:u w:val="none"/>
        </w:rPr>
        <w:t>第二章　规划建设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start"/>
        <w:textAlignment w:val="auto"/>
        <w:rPr>
          <w:rFonts w:ascii="黑体" w:hAnsi="黑体" w:eastAsia="黑体" w:cs="黑体" w:hint="eastAsia"/>
          <w:color w:val="000000"/>
          <w:sz w:val="32"/>
          <w:szCs w:val="32"/>
          <w:u w:val="none"/>
        </w:rPr>
      </w:pPr>
      <w:r>
        <w:rPr>
          <w:rFonts w:ascii="黑体" w:hAnsi="黑体" w:cs="黑体" w:hint="eastAsia" w:eastAsia="黑体"/>
          <w:color w:val="000000"/>
          <w:sz w:val="32"/>
          <w:szCs w:val="32"/>
          <w:u w:val="none"/>
        </w:rPr>
        <w:t>第三章　使用停放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start"/>
        <w:textAlignment w:val="auto"/>
        <w:rPr>
          <w:rFonts w:ascii="黑体" w:hAnsi="黑体" w:eastAsia="黑体" w:cs="黑体" w:hint="eastAsia"/>
          <w:color w:val="000000"/>
          <w:sz w:val="32"/>
          <w:szCs w:val="32"/>
          <w:u w:val="none"/>
        </w:rPr>
      </w:pPr>
      <w:r>
        <w:rPr>
          <w:rFonts w:ascii="黑体" w:hAnsi="黑体" w:cs="黑体" w:hint="eastAsia" w:eastAsia="黑体"/>
          <w:color w:val="000000"/>
          <w:sz w:val="32"/>
          <w:szCs w:val="32"/>
          <w:u w:val="none"/>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start"/>
        <w:textAlignment w:val="auto"/>
        <w:rPr>
          <w:rFonts w:ascii="黑体" w:hAnsi="黑体" w:eastAsia="黑体" w:cs="黑体" w:hint="eastAsia"/>
          <w:color w:val="000000"/>
          <w:sz w:val="32"/>
          <w:szCs w:val="32"/>
          <w:u w:val="none"/>
        </w:rPr>
      </w:pPr>
      <w:r>
        <w:rPr>
          <w:rFonts w:ascii="黑体" w:hAnsi="黑体" w:cs="黑体" w:hint="eastAsia" w:eastAsia="黑体"/>
          <w:color w:val="000000"/>
          <w:sz w:val="32"/>
          <w:szCs w:val="32"/>
          <w:u w:val="none"/>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u w:val="none"/>
        </w:rPr>
      </w:pPr>
      <w:r>
        <w:rPr>
          <w:rFonts w:eastAsia="仿宋" w:cs="仿宋" w:hint="eastAsia" w:ascii="仿宋" w:hAnsi="仿宋"/>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center"/>
        <w:textAlignment w:val="auto"/>
        <w:rPr>
          <w:rFonts w:ascii="黑体" w:hAnsi="黑体" w:eastAsia="黑体" w:cs="黑体" w:hint="eastAsia"/>
          <w:color w:val="000000"/>
          <w:sz w:val="32"/>
          <w:szCs w:val="32"/>
          <w:u w:val="none"/>
        </w:rPr>
      </w:pPr>
      <w:r>
        <w:rPr>
          <w:rFonts w:ascii="黑体" w:hAnsi="黑体" w:cs="黑体" w:hint="eastAsia" w:eastAsia="黑体"/>
          <w:color w:val="000000"/>
          <w:sz w:val="32"/>
          <w:szCs w:val="32"/>
          <w:u w:val="none"/>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u w:val="none"/>
        </w:rPr>
      </w:pPr>
      <w:r>
        <w:rPr>
          <w:rFonts w:eastAsia="仿宋" w:cs="仿宋" w:hint="eastAsia" w:ascii="仿宋" w:hAnsi="仿宋"/>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第一条</w:t>
      </w:r>
      <w:r>
        <w:rPr>
          <w:rFonts w:ascii="仿宋" w:hAnsi="仿宋" w:cs="仿宋" w:hint="eastAsia" w:eastAsia="仿宋"/>
          <w:color w:val="000000"/>
          <w:sz w:val="32"/>
          <w:szCs w:val="32"/>
          <w:u w:val="none"/>
        </w:rPr>
        <w:t>　为了加强停车管理，改善停车环境，规范停车秩序，根据有关法律、法规，结合本市实际，制定本条例。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第二条</w:t>
      </w:r>
      <w:r>
        <w:rPr>
          <w:rFonts w:ascii="仿宋" w:hAnsi="仿宋" w:cs="仿宋" w:hint="eastAsia" w:eastAsia="仿宋"/>
          <w:color w:val="000000"/>
          <w:sz w:val="32"/>
          <w:szCs w:val="32"/>
          <w:u w:val="none"/>
        </w:rPr>
        <w:t>　本条例适用于本市实行城市化管理区域内机动车和非机动车停车设施的规划、建设、使用以及停放等相关管理活动。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公共交通、道路客货运输等专用车辆的停车管理活动，不适用本条例。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第三条</w:t>
      </w:r>
      <w:r>
        <w:rPr>
          <w:rFonts w:ascii="仿宋" w:hAnsi="仿宋" w:cs="仿宋" w:hint="eastAsia" w:eastAsia="仿宋"/>
          <w:color w:val="000000"/>
          <w:sz w:val="32"/>
          <w:szCs w:val="32"/>
          <w:u w:val="none"/>
        </w:rPr>
        <w:t>　本条例所称停车设施是指供车辆停放的场所以及相关配套设施，包括建筑物配建停车设施、公共停车设施、路内停车泊位。</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建筑物配建停车设施是指依据建筑物配建停车设施标准所附设的，供本建筑物使用者和公众停放车辆的场所。</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公共停车设施是指依规划独立建设的和在道路以外临时设置的，供公众停放车辆的场所。</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路内停车泊位是指在道路以内划设的，供公众停放车辆的空间。</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第四条</w:t>
      </w:r>
      <w:r>
        <w:rPr>
          <w:rFonts w:ascii="仿宋" w:hAnsi="仿宋" w:cs="仿宋" w:hint="eastAsia" w:eastAsia="仿宋"/>
          <w:color w:val="000000"/>
          <w:sz w:val="32"/>
          <w:szCs w:val="32"/>
          <w:u w:val="none"/>
        </w:rPr>
        <w:t xml:space="preserve">  市、县（市、区）人民政府应当将停车管理工作纳入国民经济和社会发展规划，研究制定发展、扶持与鼓励等相关政策，解决停车管理中的重大问题，建立行政执法联动和协作机制。</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乡（镇）人民政府、街道办事处应当配合有关部门做好本辖区内的停车管理工作，指导、支持、协调村（居）民委员会开展停车设施和停车行为的管理。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第五条</w:t>
      </w:r>
      <w:r>
        <w:rPr>
          <w:rFonts w:ascii="仿宋" w:hAnsi="仿宋" w:cs="仿宋" w:hint="eastAsia" w:eastAsia="仿宋"/>
          <w:color w:val="000000"/>
          <w:sz w:val="32"/>
          <w:szCs w:val="32"/>
          <w:u w:val="none"/>
        </w:rPr>
        <w:t>　城市管理部门负责</w:t>
      </w:r>
      <w:r>
        <w:rPr>
          <w:rFonts w:ascii="仿宋" w:hAnsi="仿宋" w:cs="仿宋" w:hint="eastAsia" w:eastAsia="仿宋"/>
          <w:strike w:val="false"/>
          <w:dstrike w:val="false"/>
          <w:color w:val="000000"/>
          <w:sz w:val="32"/>
          <w:szCs w:val="32"/>
          <w:u w:val="none"/>
        </w:rPr>
        <w:t>政府投资的公共停车设施建设，会同公安机关交通管理部门规划、设置路内停车泊位，</w:t>
      </w:r>
      <w:r>
        <w:rPr>
          <w:rFonts w:ascii="仿宋" w:hAnsi="仿宋" w:cs="仿宋" w:hint="eastAsia" w:eastAsia="仿宋"/>
          <w:color w:val="000000"/>
          <w:sz w:val="32"/>
          <w:szCs w:val="32"/>
          <w:u w:val="none"/>
        </w:rPr>
        <w:t>监督管理停车设施。</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highlight w:val="none"/>
          <w:u w:val="none"/>
        </w:rPr>
      </w:pPr>
      <w:r>
        <w:rPr>
          <w:rFonts w:ascii="仿宋" w:hAnsi="仿宋" w:cs="仿宋" w:hint="eastAsia" w:eastAsia="仿宋"/>
          <w:color w:val="000000"/>
          <w:sz w:val="32"/>
          <w:szCs w:val="32"/>
          <w:u w:val="none"/>
        </w:rPr>
        <w:t>公安机关交通管理部门负责</w:t>
      </w:r>
      <w:r>
        <w:rPr>
          <w:rFonts w:ascii="仿宋" w:hAnsi="仿宋" w:cs="仿宋" w:hint="eastAsia" w:eastAsia="仿宋"/>
          <w:color w:val="000000"/>
          <w:sz w:val="32"/>
          <w:szCs w:val="32"/>
          <w:u w:val="none"/>
        </w:rPr>
        <w:t>管理公共通行区域的停车行为。</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规划和自然资源管理部门监督管理停车设施专项规划实施。</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发展和改革、财政、住房和城乡建设、交通运输、应急管理、市场监督管理、行政审批、人民防空等部门按照各自职责，负责停车管理相关工作。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第六条</w:t>
      </w:r>
      <w:r>
        <w:rPr>
          <w:rFonts w:ascii="仿宋" w:hAnsi="仿宋" w:cs="仿宋" w:hint="eastAsia" w:eastAsia="仿宋"/>
          <w:color w:val="000000"/>
          <w:sz w:val="32"/>
          <w:szCs w:val="32"/>
          <w:u w:val="none"/>
        </w:rPr>
        <w:t xml:space="preserve">  物业服务企业应当加强对本服务区域内停车设施和车辆停放的管理，配合有关部门做好停车管理工作。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第七条</w:t>
      </w:r>
      <w:r>
        <w:rPr>
          <w:rFonts w:ascii="仿宋" w:hAnsi="仿宋" w:cs="仿宋" w:hint="eastAsia" w:eastAsia="仿宋"/>
          <w:color w:val="000000"/>
          <w:sz w:val="32"/>
          <w:szCs w:val="32"/>
          <w:u w:val="none"/>
        </w:rPr>
        <w:t xml:space="preserve">  市、县（市、区）人民政府应当优先发展公共交通，可以采取减免公共交通费用等方式，鼓励和引导市民选择公共交通工具出行，减少出行车辆停放需求。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第八条</w:t>
      </w:r>
      <w:r>
        <w:rPr>
          <w:rFonts w:ascii="仿宋" w:hAnsi="仿宋" w:cs="仿宋" w:hint="eastAsia" w:eastAsia="仿宋"/>
          <w:color w:val="000000"/>
          <w:sz w:val="32"/>
          <w:szCs w:val="32"/>
          <w:u w:val="none"/>
        </w:rPr>
        <w:t xml:space="preserve">  任何单位和个人有权对损毁停车设施和违法停车行为予以劝阻、举报，有关部门接到举报后应当依照权限及时处理。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eastAsia="仿宋" w:cs="仿宋" w:hint="eastAsia" w:ascii="仿宋" w:hAnsi="仿宋"/>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u w:val="none"/>
        </w:rPr>
      </w:pPr>
      <w:r>
        <w:rPr>
          <w:rFonts w:ascii="黑体" w:hAnsi="黑体" w:cs="黑体" w:hint="eastAsia" w:eastAsia="黑体"/>
          <w:color w:val="000000"/>
          <w:sz w:val="32"/>
          <w:szCs w:val="32"/>
          <w:u w:val="none"/>
        </w:rPr>
        <w:t>第二章　规划建设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u w:val="none"/>
        </w:rPr>
      </w:pPr>
      <w:r>
        <w:rPr>
          <w:rFonts w:eastAsia="黑体" w:cs="黑体" w:hint="eastAsia" w:ascii="黑体" w:hAnsi="黑体"/>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第九条</w:t>
      </w:r>
      <w:r>
        <w:rPr>
          <w:rFonts w:ascii="仿宋" w:hAnsi="仿宋" w:cs="仿宋" w:hint="eastAsia" w:eastAsia="仿宋"/>
          <w:color w:val="000000"/>
          <w:sz w:val="32"/>
          <w:szCs w:val="32"/>
          <w:u w:val="none"/>
        </w:rPr>
        <w:t xml:space="preserve">  城市管理部门应当会同规划和自然资源管理、公安机关交通管理、住房和城乡建设、交通运输管理等部门编制停车设施专项规划，确定城市停车总体发展战略，规定建筑物配建停车设施标准和公共停车设施规划等内容，报本级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停车设施专项规划应当包括机动车和非机动车，统筹地上地下资源，以配建停车设施为主、公共停车设施为辅、路内停车泊位为补充，合理布局新能源车辆充电设施，协调建设停车设施与城市交通枢纽换乘站。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建筑物配建停车设施标准应当分为新建建筑物配建停车设施标准、改建建筑物配建停车设施标准、扩建建筑物配建停车设施标准、临时性建筑和在建项目停车设施配建标准。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第十条</w:t>
      </w:r>
      <w:r>
        <w:rPr>
          <w:rFonts w:ascii="仿宋" w:hAnsi="仿宋" w:cs="仿宋" w:hint="eastAsia" w:eastAsia="仿宋"/>
          <w:color w:val="000000"/>
          <w:sz w:val="32"/>
          <w:szCs w:val="32"/>
          <w:u w:val="none"/>
        </w:rPr>
        <w:t>　新建、改建、扩建建筑物应当按照建筑物配建停车设施标准和设计规范配建停车设施，并与主体工程同步规划、同步建设、同步验收、同步交付使用。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新建、改建、扩建交通客运场站、学校、医院、商业设施以及其他人流密集的公共建筑，应当在用地范围内配建车辆临时停靠设施，并与主体工程同步交付使用。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新建、改建、扩建的建筑物在满足建筑物配建停车设施标准要求下，可以增加面向社会服务的停车设施。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建筑物改变功能的，停车设施应当符合改变功能后的建筑物配建停车设施标准。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trike w:val="false"/>
          <w:dstrike w:val="false"/>
          <w:color w:val="FF0000"/>
          <w:sz w:val="32"/>
          <w:szCs w:val="32"/>
          <w:u w:val="none"/>
        </w:rPr>
      </w:pPr>
      <w:r>
        <w:rPr>
          <w:rFonts w:ascii="仿宋" w:hAnsi="仿宋" w:cs="仿宋" w:hint="eastAsia" w:eastAsia="仿宋"/>
          <w:strike w:val="false"/>
          <w:dstrike w:val="false"/>
          <w:color w:val="000000"/>
          <w:sz w:val="32"/>
          <w:szCs w:val="32"/>
          <w:u w:val="none"/>
        </w:rPr>
        <w:t>建筑物配建停车设施设计方案不符合建筑物配建停车设施标准的，审批管理部门不予核发建设工程规划许可证。竣工验收时，建设单位未按照批准的建筑物配建停车设施设计方案进行建设的，审批管理部门不予核发建设工程竣工规划认可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第十一条</w:t>
      </w:r>
      <w:r>
        <w:rPr>
          <w:rFonts w:ascii="仿宋" w:hAnsi="仿宋" w:cs="仿宋" w:hint="eastAsia" w:eastAsia="仿宋"/>
          <w:color w:val="000000"/>
          <w:sz w:val="32"/>
          <w:szCs w:val="32"/>
          <w:u w:val="none"/>
        </w:rPr>
        <w:t xml:space="preserve">  临时性建筑和在建项目应当按照配建指标设置各类临时停车设施。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第十二条</w:t>
      </w:r>
      <w:r>
        <w:rPr>
          <w:rFonts w:ascii="仿宋" w:hAnsi="仿宋" w:cs="仿宋" w:hint="eastAsia" w:eastAsia="仿宋"/>
          <w:color w:val="000000"/>
          <w:sz w:val="32"/>
          <w:szCs w:val="32"/>
          <w:u w:val="none"/>
        </w:rPr>
        <w:t xml:space="preserve">  不能满足配建停车设施标准的老旧建筑可以在用地范围内进行停车设施改造，但应当符合用地、建筑、交通安全畅通等相关要求。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市、县（市、区）人民政府可以制定改造计划，安排专项资金统筹予以补助，并组织实施。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第十三条</w:t>
      </w:r>
      <w:r>
        <w:rPr>
          <w:rFonts w:ascii="仿宋" w:hAnsi="仿宋" w:cs="仿宋" w:hint="eastAsia" w:eastAsia="仿宋"/>
          <w:color w:val="000000"/>
          <w:sz w:val="32"/>
          <w:szCs w:val="32"/>
          <w:u w:val="none"/>
        </w:rPr>
        <w:t xml:space="preserve">  居住小区内按照规划要求配建的停车设施应当首先满足本居住小区的业主停车需要。建设单位不出售或者未出售的停车位、车库，应当优先出租给本居住小区的业主。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居住小区内规划的车位、车库不能满足业主停车需求的，在不影响道路通行、消防安全和不损坏绿化等前提下，依法经业主大会同意，可以利用业主共有的道路和其他场地设置临时停车泊位。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居住小区内依法配建的人民防空工程平时作为停车设施使用的，应当按照设计在实地设置标志，不得出售、赠与，不得影响其防空效能。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第十四条</w:t>
      </w:r>
      <w:r>
        <w:rPr>
          <w:rFonts w:ascii="仿宋" w:hAnsi="仿宋" w:cs="仿宋" w:hint="eastAsia" w:eastAsia="仿宋"/>
          <w:color w:val="000000"/>
          <w:sz w:val="32"/>
          <w:szCs w:val="32"/>
          <w:u w:val="none"/>
        </w:rPr>
        <w:t xml:space="preserve">  城市管理部门应当根据停车设施专项规划，制定公共停车设施年度建设计划，报本级人民政府批准后实施。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市、县（市、区）人民政府应当根据公共停车设施年度建设计划，安排专项资金、土地用于公共停车设施建设。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第十五条</w:t>
      </w:r>
      <w:r>
        <w:rPr>
          <w:rFonts w:ascii="仿宋" w:hAnsi="仿宋" w:cs="仿宋" w:hint="eastAsia" w:eastAsia="仿宋"/>
          <w:color w:val="000000"/>
          <w:sz w:val="32"/>
          <w:szCs w:val="32"/>
          <w:u w:val="none"/>
        </w:rPr>
        <w:t xml:space="preserve">  规划建设城市绿地、广场、公园等公共活动场所时，应当根据项目规模和周边停车需求同步规划建设地下公共停车设施。在停车设施不足的区域可以利用现有绿地、广场、公园等资源建设地下公共停车设施。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在城市综合客运枢纽以及其他可以实现自备车与公共交通换乘的地段，应当规划建设公共停车设施，方便停车和换乘。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第十六条</w:t>
      </w:r>
      <w:r>
        <w:rPr>
          <w:rFonts w:ascii="仿宋" w:hAnsi="仿宋" w:cs="仿宋" w:hint="eastAsia" w:eastAsia="仿宋"/>
          <w:color w:val="000000"/>
          <w:sz w:val="32"/>
          <w:szCs w:val="32"/>
          <w:u w:val="none"/>
        </w:rPr>
        <w:t xml:space="preserve">  待建土地、空闲厂区、边角空地、桥梁下空间、城市改造过程中闲置地块等场所，</w:t>
      </w:r>
      <w:r>
        <w:rPr>
          <w:rFonts w:ascii="仿宋" w:hAnsi="仿宋" w:cs="仿宋" w:hint="eastAsia" w:eastAsia="仿宋"/>
          <w:strike w:val="false"/>
          <w:dstrike w:val="false"/>
          <w:color w:val="000000"/>
          <w:sz w:val="32"/>
          <w:szCs w:val="32"/>
          <w:u w:val="none"/>
        </w:rPr>
        <w:t>在符合城市管理和道路交通安全畅通的条件下</w:t>
      </w:r>
      <w:r>
        <w:rPr>
          <w:rFonts w:ascii="宋体" w:hAnsi="宋体" w:cs="宋体" w:hint="eastAsia"/>
          <w:strike w:val="false"/>
          <w:dstrike w:val="false"/>
          <w:color w:val="000000"/>
          <w:sz w:val="32"/>
          <w:szCs w:val="32"/>
          <w:u w:val="none"/>
        </w:rPr>
        <w:t>，</w:t>
      </w:r>
      <w:r>
        <w:rPr>
          <w:rFonts w:ascii="仿宋" w:hAnsi="仿宋" w:cs="仿宋" w:hint="eastAsia" w:eastAsia="仿宋"/>
          <w:color w:val="000000"/>
          <w:sz w:val="32"/>
          <w:szCs w:val="32"/>
          <w:u w:val="none"/>
        </w:rPr>
        <w:t>可以设置临时公共停车设施。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道路以外与建筑物之间的公共区域，</w:t>
      </w:r>
      <w:r>
        <w:rPr>
          <w:rFonts w:ascii="仿宋" w:hAnsi="仿宋" w:cs="仿宋" w:hint="eastAsia" w:eastAsia="仿宋"/>
          <w:strike w:val="false"/>
          <w:dstrike w:val="false"/>
          <w:color w:val="000000"/>
          <w:sz w:val="32"/>
          <w:szCs w:val="32"/>
          <w:u w:val="none"/>
        </w:rPr>
        <w:t>在符合城市管理和道路交通安全畅通的条件下，可以设置临时公共停车设施。</w:t>
      </w:r>
      <w:r>
        <w:rPr>
          <w:rFonts w:ascii="仿宋" w:hAnsi="仿宋" w:cs="仿宋" w:hint="eastAsia" w:eastAsia="仿宋"/>
          <w:color w:val="000000"/>
          <w:sz w:val="32"/>
          <w:szCs w:val="32"/>
          <w:u w:val="none"/>
        </w:rPr>
        <w:t>建筑物业主无土地使用权的，由城市管理部门设置；建筑物业主有土地使用权的，由建筑物业主设置；建筑物业主有部分使用权的，经与城市管理部门协商同意，可以由一方设置。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公共场所依法配建的人民防空工程平时作为公共停车设施使用的，应当按照设计在实地设置标志，不得影响其防空效能。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第十七条</w:t>
      </w:r>
      <w:r>
        <w:rPr>
          <w:rFonts w:ascii="仿宋" w:hAnsi="仿宋" w:cs="仿宋" w:hint="eastAsia" w:eastAsia="仿宋"/>
          <w:color w:val="000000"/>
          <w:sz w:val="32"/>
          <w:szCs w:val="32"/>
          <w:u w:val="none"/>
        </w:rPr>
        <w:t>   停车设施确实无法满足需求的区域，在符合</w:t>
      </w:r>
      <w:r>
        <w:rPr>
          <w:rFonts w:ascii="仿宋" w:hAnsi="仿宋" w:cs="仿宋" w:hint="eastAsia" w:eastAsia="仿宋"/>
          <w:strike w:val="false"/>
          <w:dstrike w:val="false"/>
          <w:color w:val="000000"/>
          <w:sz w:val="32"/>
          <w:szCs w:val="32"/>
          <w:u w:val="none"/>
        </w:rPr>
        <w:t>城市管理和道路交通安全畅通的</w:t>
      </w:r>
      <w:r>
        <w:rPr>
          <w:rFonts w:ascii="仿宋" w:hAnsi="仿宋" w:cs="仿宋" w:hint="eastAsia" w:eastAsia="仿宋"/>
          <w:color w:val="000000"/>
          <w:sz w:val="32"/>
          <w:szCs w:val="32"/>
          <w:u w:val="none"/>
        </w:rPr>
        <w:t>条件下，城市管理部门应当会同公安机关交通管理部门按照规范要求设置路内停车泊位。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城市管理部门应当会同公安机关交通管理部门定期对路内停车泊位进行评估，影响城市管理和交通运行的，及时取消。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 xml:space="preserve">第十八条 </w:t>
      </w:r>
      <w:r>
        <w:rPr>
          <w:rFonts w:ascii="仿宋" w:hAnsi="仿宋" w:cs="仿宋" w:hint="eastAsia" w:eastAsia="仿宋"/>
          <w:color w:val="000000"/>
          <w:sz w:val="32"/>
          <w:szCs w:val="32"/>
          <w:u w:val="none"/>
        </w:rPr>
        <w:t xml:space="preserve"> 行政审批主管部门在审查建筑物配建停车设施和公共停车设施设计方案时，应当通知城市管理和公安机关交通管理部门参加，由城市管理部门和公安机关交通管理部门出具审查意见书。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建筑物配建停车设施和公共停车设施建设工程竣工验收时，行政审批主管部门应当通知城市管理部门和公安机关交通管理部门参加。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第十九条</w:t>
      </w:r>
      <w:r>
        <w:rPr>
          <w:rFonts w:ascii="仿宋" w:hAnsi="仿宋" w:cs="仿宋" w:hint="eastAsia" w:eastAsia="仿宋"/>
          <w:color w:val="000000"/>
          <w:sz w:val="32"/>
          <w:szCs w:val="32"/>
          <w:u w:val="none"/>
        </w:rPr>
        <w:t xml:space="preserve">  市、县（市、区）人民政府可以采用下列方式支持和鼓励</w:t>
      </w:r>
      <w:r>
        <w:rPr>
          <w:rFonts w:ascii="仿宋" w:hAnsi="仿宋" w:cs="仿宋" w:hint="eastAsia" w:eastAsia="仿宋"/>
          <w:strike w:val="false"/>
          <w:dstrike w:val="false"/>
          <w:color w:val="000000"/>
          <w:sz w:val="32"/>
          <w:szCs w:val="32"/>
          <w:u w:val="none"/>
        </w:rPr>
        <w:t>社会力量参与</w:t>
      </w:r>
      <w:r>
        <w:rPr>
          <w:rFonts w:ascii="仿宋" w:hAnsi="仿宋" w:cs="仿宋" w:hint="eastAsia" w:eastAsia="仿宋"/>
          <w:color w:val="000000"/>
          <w:sz w:val="32"/>
          <w:szCs w:val="32"/>
          <w:u w:val="none"/>
        </w:rPr>
        <w:t>公共停车设施建设：</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依法给予税费减免、土地供应等优惠措施</w:t>
      </w:r>
      <w:r>
        <w:rPr>
          <w:rFonts w:ascii="仿宋" w:hAnsi="仿宋" w:cs="仿宋" w:hint="eastAsia" w:eastAsia="仿宋"/>
          <w:strike w:val="false"/>
          <w:dstrike w:val="false"/>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（二）允许利用地方政府专项债券资金；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（三）对以出让方式取得土地使用权的，在不改变用地性质的前提下，允许配建一定比例的附属商业设施。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鼓励</w:t>
      </w:r>
      <w:r>
        <w:rPr>
          <w:rFonts w:ascii="仿宋" w:hAnsi="仿宋" w:cs="仿宋" w:hint="eastAsia" w:eastAsia="仿宋"/>
          <w:strike w:val="false"/>
          <w:dstrike w:val="false"/>
          <w:color w:val="000000"/>
          <w:sz w:val="32"/>
          <w:szCs w:val="32"/>
          <w:u w:val="none"/>
        </w:rPr>
        <w:t>社会力量</w:t>
      </w:r>
      <w:r>
        <w:rPr>
          <w:rFonts w:ascii="仿宋" w:hAnsi="仿宋" w:cs="仿宋" w:hint="eastAsia" w:eastAsia="仿宋"/>
          <w:color w:val="000000"/>
          <w:sz w:val="32"/>
          <w:szCs w:val="32"/>
          <w:u w:val="none"/>
        </w:rPr>
        <w:t>建设公共停车设施的具体办法，由市人民政府制定。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trike w:val="false"/>
          <w:dstrike w:val="false"/>
          <w:color w:val="000000"/>
          <w:sz w:val="32"/>
          <w:szCs w:val="32"/>
          <w:u w:val="none"/>
        </w:rPr>
      </w:pPr>
      <w:r>
        <w:rPr>
          <w:rFonts w:ascii="黑体" w:hAnsi="黑体" w:cs="黑体" w:hint="eastAsia" w:eastAsia="黑体"/>
          <w:color w:val="000000"/>
          <w:sz w:val="32"/>
          <w:szCs w:val="32"/>
          <w:u w:val="none"/>
        </w:rPr>
        <w:t>第二十条</w:t>
      </w:r>
      <w:r>
        <w:rPr>
          <w:rFonts w:ascii="仿宋" w:hAnsi="仿宋" w:cs="仿宋" w:hint="eastAsia" w:eastAsia="仿宋"/>
          <w:color w:val="000000"/>
          <w:sz w:val="32"/>
          <w:szCs w:val="32"/>
          <w:u w:val="none"/>
        </w:rPr>
        <w:t xml:space="preserve">  鼓励建设集约化、智能化的立体停车设施，建设单位可以按照国家、省和本市有关规定享受优惠政策。立体停车设施建设应当符合相关规定，按照要求采取隔声、减振等措施</w:t>
      </w:r>
      <w:r>
        <w:rPr>
          <w:rFonts w:ascii="仿宋" w:hAnsi="仿宋" w:cs="仿宋" w:hint="eastAsia" w:eastAsia="仿宋"/>
          <w:strike w:val="false"/>
          <w:dstrike w:val="false"/>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第二十一条</w:t>
      </w:r>
      <w:r>
        <w:rPr>
          <w:rFonts w:ascii="仿宋" w:hAnsi="仿宋" w:cs="仿宋" w:hint="eastAsia" w:eastAsia="仿宋"/>
          <w:color w:val="000000"/>
          <w:sz w:val="32"/>
          <w:szCs w:val="32"/>
          <w:u w:val="none"/>
        </w:rPr>
        <w:t>　</w:t>
      </w:r>
      <w:r>
        <w:rPr>
          <w:rFonts w:ascii="仿宋_GB2312;仿宋" w:hAnsi="仿宋_GB2312;仿宋" w:cs="仿宋_GB2312;仿宋" w:hint="eastAsia" w:eastAsia="仿宋_GB2312;仿宋"/>
          <w:b w:val="false"/>
          <w:bCs w:val="false"/>
          <w:color w:val="000000"/>
          <w:sz w:val="32"/>
          <w:szCs w:val="32"/>
          <w:u w:val="none"/>
          <w:shd w:fill="FFFFFF" w:val="clear"/>
        </w:rPr>
        <w:t>鼓励机关、企事业</w:t>
      </w:r>
      <w:r>
        <w:rPr>
          <w:rFonts w:ascii="仿宋_GB2312;仿宋" w:hAnsi="仿宋_GB2312;仿宋" w:cs="仿宋_GB2312;仿宋" w:hint="eastAsia" w:eastAsia="仿宋_GB2312;仿宋"/>
          <w:b w:val="false"/>
          <w:bCs w:val="false"/>
          <w:color w:val="000000"/>
          <w:sz w:val="32"/>
          <w:szCs w:val="32"/>
          <w:u w:val="none"/>
          <w:shd w:fill="FFFFFF" w:val="clear"/>
        </w:rPr>
        <w:t>单位在加强管</w:t>
      </w:r>
      <w:r>
        <w:rPr>
          <w:rFonts w:ascii="仿宋" w:hAnsi="仿宋" w:cs="仿宋" w:hint="eastAsia" w:eastAsia="仿宋"/>
          <w:color w:val="000000"/>
          <w:sz w:val="32"/>
          <w:szCs w:val="32"/>
          <w:u w:val="none"/>
        </w:rPr>
        <w:t>理的前提下，在非工作时间向社会开放停车设施。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鼓励商业设施、写字楼、体育场馆等的停车设施在空闲时段向社会开放。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鼓励居住小区的停车设施在满足本</w:t>
      </w:r>
      <w:r>
        <w:rPr>
          <w:rFonts w:ascii="仿宋" w:hAnsi="仿宋" w:cs="仿宋" w:eastAsia="仿宋"/>
          <w:color w:val="000000"/>
          <w:sz w:val="32"/>
          <w:szCs w:val="32"/>
          <w:u w:val="none"/>
        </w:rPr>
        <w:t>小区</w:t>
      </w:r>
      <w:r>
        <w:rPr>
          <w:rFonts w:ascii="仿宋" w:hAnsi="仿宋" w:cs="仿宋" w:hint="eastAsia" w:eastAsia="仿宋"/>
          <w:color w:val="000000"/>
          <w:sz w:val="32"/>
          <w:szCs w:val="32"/>
          <w:u w:val="none"/>
        </w:rPr>
        <w:t>停车需求的条件下，向社会开放。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第二十二条</w:t>
      </w:r>
      <w:r>
        <w:rPr>
          <w:rFonts w:ascii="仿宋" w:hAnsi="仿宋" w:cs="仿宋" w:hint="eastAsia" w:eastAsia="仿宋"/>
          <w:color w:val="000000"/>
          <w:sz w:val="32"/>
          <w:szCs w:val="32"/>
          <w:u w:val="none"/>
        </w:rPr>
        <w:t>　市人民政府应当建设全市统一的智慧停车信息管理平台，向社会提供信息查询、车位预约、通行后付费等服务。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经营性质的停车设施应当配备智慧停车管理系统和管理设备，并与智慧停车信息管理平台连接。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u w:val="none"/>
        </w:rPr>
      </w:pPr>
      <w:r>
        <w:rPr>
          <w:rFonts w:eastAsia="黑体" w:cs="黑体" w:hint="eastAsia" w:ascii="黑体" w:hAnsi="黑体"/>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u w:val="none"/>
        </w:rPr>
      </w:pPr>
      <w:r>
        <w:rPr>
          <w:rFonts w:ascii="黑体" w:hAnsi="黑体" w:cs="黑体" w:hint="eastAsia" w:eastAsia="黑体"/>
          <w:color w:val="000000"/>
          <w:sz w:val="32"/>
          <w:szCs w:val="32"/>
          <w:u w:val="none"/>
        </w:rPr>
        <w:t>第三章　使用停放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eastAsia="仿宋" w:cs="仿宋" w:hint="eastAsia" w:ascii="仿宋" w:hAnsi="仿宋"/>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第二十三条</w:t>
      </w:r>
      <w:r>
        <w:rPr>
          <w:rFonts w:ascii="仿宋" w:hAnsi="仿宋" w:cs="仿宋" w:hint="eastAsia" w:eastAsia="仿宋"/>
          <w:color w:val="000000"/>
          <w:sz w:val="32"/>
          <w:szCs w:val="32"/>
          <w:u w:val="none"/>
        </w:rPr>
        <w:t>　停车设施的经营者应当遵守下列规定：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（一）依法办理市场主体登记；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（二）办理市场主体登记后十五日内，向所在地城市管理部门备案；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（三）制定并落实经营服务、车辆停放、安全保障、卫生保洁等管理制度和突发事件应急预案；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（四）按照规范设置交通标志、标线，配置照明、消防、排水、通风等设施，并定期维护保养，确保正常使用；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（五）在显著位置明示停车设施场所名称、开放时间、收费单位、收费依据、收费标准、泊位数量以及服务和投诉电话；</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（六）按照公示标准收费，出具合法票据；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（七）确需停止经营的，应当提前五日向社会公告，并自停止经营之日起十五日内向城市管理部门备案；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（八）法律、法规的其他规定。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第二十四条</w:t>
      </w:r>
      <w:r>
        <w:rPr>
          <w:rFonts w:ascii="仿宋" w:hAnsi="仿宋" w:cs="仿宋" w:hint="eastAsia" w:eastAsia="仿宋"/>
          <w:color w:val="000000"/>
          <w:sz w:val="32"/>
          <w:szCs w:val="32"/>
          <w:u w:val="none"/>
        </w:rPr>
        <w:t xml:space="preserve">  停车服务收费实行政府定价、政府指导价和市场调节价。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实行政府定价、政府指导价的，应当按照城市中心区域高于非中心区域、白天高于夜间、拥堵路段高于空闲路段、路内高于路外等原则实行停车服务差别收费。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实行市场调节价的，应当由经营者根据市场供求和竞争状况，依法自主制定收费标准，接受政府价格管理部门的监督指导。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 xml:space="preserve">第二十五条  </w:t>
      </w:r>
      <w:r>
        <w:rPr>
          <w:rFonts w:ascii="仿宋" w:hAnsi="仿宋" w:cs="仿宋" w:hint="eastAsia" w:eastAsia="仿宋"/>
          <w:color w:val="000000"/>
          <w:sz w:val="32"/>
          <w:szCs w:val="32"/>
          <w:u w:val="none"/>
        </w:rPr>
        <w:t>发展和改革部门应当会同城市管理部门，制定政府投资建设实行收费管理的公共停车设施和路内停车泊位收费服务标准，实行动态管理，并向社会公布。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第二十六条</w:t>
      </w:r>
      <w:r>
        <w:rPr>
          <w:rFonts w:ascii="仿宋" w:hAnsi="仿宋" w:cs="仿宋" w:hint="eastAsia" w:eastAsia="仿宋"/>
          <w:color w:val="000000"/>
          <w:sz w:val="32"/>
          <w:szCs w:val="32"/>
          <w:u w:val="none"/>
        </w:rPr>
        <w:t xml:space="preserve">  经营性质的停车设施应当执行三十分钟内停车</w:t>
      </w:r>
      <w:r>
        <w:rPr>
          <w:rFonts w:ascii="仿宋" w:hAnsi="仿宋" w:cs="仿宋" w:hint="eastAsia" w:eastAsia="仿宋"/>
          <w:strike w:val="false"/>
          <w:dstrike w:val="false"/>
          <w:color w:val="000000"/>
          <w:sz w:val="32"/>
          <w:szCs w:val="32"/>
          <w:u w:val="none"/>
        </w:rPr>
        <w:t>免收费规定</w:t>
      </w:r>
      <w:r>
        <w:rPr>
          <w:rFonts w:ascii="仿宋" w:hAnsi="仿宋" w:cs="仿宋" w:hint="eastAsia" w:eastAsia="仿宋"/>
          <w:color w:val="000000"/>
          <w:sz w:val="32"/>
          <w:szCs w:val="32"/>
          <w:u w:val="none"/>
        </w:rPr>
        <w:t>。政府投资建设实行收费管理的停车设施应当在特定时段实行低收费或者免收费，对非营运的新能源车辆实行收费优惠政策。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执行公务的军车、警车、应急救援车</w:t>
      </w:r>
      <w:r>
        <w:rPr>
          <w:rFonts w:ascii="仿宋" w:hAnsi="仿宋" w:cs="仿宋" w:hint="eastAsia" w:eastAsia="仿宋"/>
          <w:strike w:val="false"/>
          <w:dstrike w:val="false"/>
          <w:color w:val="000000"/>
          <w:sz w:val="32"/>
          <w:szCs w:val="32"/>
          <w:u w:val="none"/>
        </w:rPr>
        <w:t>以及</w:t>
      </w:r>
      <w:r>
        <w:rPr>
          <w:rFonts w:ascii="仿宋" w:hAnsi="仿宋" w:cs="仿宋" w:hint="eastAsia" w:eastAsia="仿宋"/>
          <w:color w:val="000000"/>
          <w:sz w:val="32"/>
          <w:szCs w:val="32"/>
          <w:u w:val="none"/>
        </w:rPr>
        <w:t>救护车免收停车费。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第二十七条</w:t>
      </w:r>
      <w:r>
        <w:rPr>
          <w:rFonts w:ascii="仿宋" w:hAnsi="仿宋" w:cs="仿宋" w:hint="eastAsia" w:eastAsia="仿宋"/>
          <w:color w:val="000000"/>
          <w:sz w:val="32"/>
          <w:szCs w:val="32"/>
          <w:u w:val="none"/>
        </w:rPr>
        <w:t>　政府投资建设实行收费管理的公共停车设施和路内停车泊位的所得收入，应当纳入政府非税收入，专项用于公共停车设施的建设、维护和</w:t>
      </w:r>
      <w:r>
        <w:rPr>
          <w:rFonts w:ascii="仿宋" w:hAnsi="仿宋" w:cs="仿宋" w:hint="eastAsia" w:eastAsia="仿宋"/>
          <w:strike w:val="false"/>
          <w:dstrike w:val="false"/>
          <w:color w:val="000000"/>
          <w:sz w:val="32"/>
          <w:szCs w:val="32"/>
          <w:u w:val="none"/>
        </w:rPr>
        <w:t>路内停车泊位的</w:t>
      </w:r>
      <w:r>
        <w:rPr>
          <w:rFonts w:ascii="仿宋" w:hAnsi="仿宋" w:cs="仿宋" w:hint="eastAsia" w:eastAsia="仿宋"/>
          <w:color w:val="000000"/>
          <w:sz w:val="32"/>
          <w:szCs w:val="32"/>
          <w:u w:val="none"/>
        </w:rPr>
        <w:t>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第二十八条</w:t>
      </w:r>
      <w:r>
        <w:rPr>
          <w:rFonts w:ascii="仿宋" w:hAnsi="仿宋" w:cs="仿宋" w:hint="eastAsia" w:eastAsia="仿宋"/>
          <w:color w:val="000000"/>
          <w:sz w:val="32"/>
          <w:szCs w:val="32"/>
          <w:u w:val="none"/>
        </w:rPr>
        <w:t xml:space="preserve">  任何单位和个人不得有下列行为：</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擅自改变建筑物配建停车设施和依规划独立建设的公共停车设施的用途；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（二）擅自占用公共停车设施和路内停车泊位从事其他活动；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（三）擅自涂改停车泊位标志、标线；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（四）擅自拆除、移动、损毁停车设施；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（五）擅自在公共区域设置停车设施；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（六）擅自在公共区域设置地桩、地锁以及其他障碍物阻碍车辆停放的；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（七）法律、法规规定的其他影响停车设施正常使用和阻碍车辆停放的行为。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禁止在盲道、消防通道、医疗救护通道、公共建筑附近的疏散通道等区域停放车辆。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 xml:space="preserve">第三十条 </w:t>
      </w:r>
      <w:r>
        <w:rPr>
          <w:rFonts w:ascii="仿宋" w:hAnsi="仿宋" w:cs="仿宋" w:hint="eastAsia" w:eastAsia="仿宋"/>
          <w:color w:val="000000"/>
          <w:sz w:val="32"/>
          <w:szCs w:val="32"/>
          <w:u w:val="none"/>
        </w:rPr>
        <w:t xml:space="preserve"> 机动车驾驶人在公共通行区域停放车辆，应当遵守下列规定：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（一）在允许停放的时段</w:t>
      </w:r>
      <w:r>
        <w:rPr>
          <w:rFonts w:ascii="仿宋" w:hAnsi="仿宋" w:cs="仿宋" w:hint="eastAsia" w:eastAsia="仿宋"/>
          <w:strike w:val="false"/>
          <w:dstrike w:val="false"/>
          <w:color w:val="000000"/>
          <w:sz w:val="32"/>
          <w:szCs w:val="32"/>
          <w:u w:val="none"/>
        </w:rPr>
        <w:t>在停车泊位内</w:t>
      </w:r>
      <w:r>
        <w:rPr>
          <w:rFonts w:ascii="仿宋" w:hAnsi="仿宋" w:cs="仿宋" w:hint="eastAsia" w:eastAsia="仿宋"/>
          <w:color w:val="000000"/>
          <w:sz w:val="32"/>
          <w:szCs w:val="32"/>
          <w:u w:val="none"/>
        </w:rPr>
        <w:t>停放；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（二）按照标识方向或者道路顺行方向停放；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（三）非电动新能源车辆不得占用充电专用泊位；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（四）在政府设置的免费停车设施车辆连续停放不得超过七十二小时；</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按照规定缴纳停车服务费；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（六）法律、法规关于机动车停放的其他规定。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第三十一条</w:t>
      </w:r>
      <w:r>
        <w:rPr>
          <w:rFonts w:ascii="仿宋" w:hAnsi="仿宋" w:cs="仿宋" w:hint="eastAsia" w:eastAsia="仿宋"/>
          <w:color w:val="000000"/>
          <w:sz w:val="32"/>
          <w:szCs w:val="32"/>
          <w:u w:val="none"/>
        </w:rPr>
        <w:t xml:space="preserve">  非机动车驾驶人应当按照标志、标线标明的方向，将非机动车有序停放在非机动车停车设施内。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第三十二条</w:t>
      </w:r>
      <w:r>
        <w:rPr>
          <w:rFonts w:ascii="仿宋" w:hAnsi="仿宋" w:cs="仿宋" w:hint="eastAsia" w:eastAsia="仿宋"/>
          <w:color w:val="000000"/>
          <w:sz w:val="32"/>
          <w:szCs w:val="32"/>
          <w:u w:val="none"/>
        </w:rPr>
        <w:t>　互联网租赁车辆经营企业应当依法规范经营行为，维护停车秩序，遵守下列规定：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（一）向城市管理部门和公安机关交通管理部门开放运营数据，包括车辆投放的类型、数量、区域以及车辆行驶轨迹等，实时接入全市统一的智慧停车信息管理平台；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（二）按照车辆类型在相应的停车设施内停放；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（三）配备必要的管理维护人员，规范车辆调度、停放、回收等管理，及时清理违规停放的车辆；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（四）运用现代信息技术手段规范承租人依法停放车辆，客户端应当显示允许停放、禁止停放区域，并告知有关惩戒措施。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eastAsia="仿宋" w:cs="仿宋" w:hint="eastAsia" w:ascii="仿宋" w:hAnsi="仿宋"/>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u w:val="none"/>
        </w:rPr>
      </w:pPr>
      <w:r>
        <w:rPr>
          <w:rFonts w:ascii="黑体" w:hAnsi="黑体" w:cs="黑体" w:hint="eastAsia" w:eastAsia="黑体"/>
          <w:color w:val="000000"/>
          <w:sz w:val="32"/>
          <w:szCs w:val="32"/>
          <w:u w:val="none"/>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eastAsia="仿宋" w:cs="仿宋" w:hint="eastAsia" w:ascii="仿宋" w:hAnsi="仿宋"/>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第三十三条</w:t>
      </w:r>
      <w:r>
        <w:rPr>
          <w:rFonts w:ascii="仿宋" w:hAnsi="仿宋" w:cs="仿宋" w:hint="eastAsia" w:eastAsia="仿宋"/>
          <w:color w:val="000000"/>
          <w:sz w:val="32"/>
          <w:szCs w:val="32"/>
          <w:u w:val="none"/>
        </w:rPr>
        <w:t xml:space="preserve">  违反本条例规定，法律、行政法规以及省人民代表大会及其常务委员会制定的地方性法规已有法律责任规定的，从其规定。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第三十四条</w:t>
      </w:r>
      <w:r>
        <w:rPr>
          <w:rFonts w:ascii="仿宋" w:hAnsi="仿宋" w:cs="仿宋" w:hint="eastAsia" w:eastAsia="仿宋"/>
          <w:color w:val="000000"/>
          <w:sz w:val="32"/>
          <w:szCs w:val="32"/>
          <w:u w:val="none"/>
        </w:rPr>
        <w:t xml:space="preserve">  违反本条例规定，建设单位未按照批准的</w:t>
      </w:r>
      <w:r>
        <w:rPr>
          <w:rFonts w:ascii="仿宋" w:hAnsi="仿宋" w:cs="仿宋" w:hint="eastAsia" w:eastAsia="仿宋"/>
          <w:strike w:val="false"/>
          <w:dstrike w:val="false"/>
          <w:color w:val="000000"/>
          <w:sz w:val="32"/>
          <w:szCs w:val="32"/>
          <w:u w:val="none"/>
        </w:rPr>
        <w:t>建筑物配建停车设施设计方案</w:t>
      </w:r>
      <w:r>
        <w:rPr>
          <w:rFonts w:ascii="仿宋" w:hAnsi="仿宋" w:cs="仿宋" w:hint="eastAsia" w:eastAsia="仿宋"/>
          <w:color w:val="000000"/>
          <w:sz w:val="32"/>
          <w:szCs w:val="32"/>
          <w:u w:val="none"/>
        </w:rPr>
        <w:t>进行建设的，由规划和自然资源管理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第三十五条</w:t>
      </w:r>
      <w:r>
        <w:rPr>
          <w:rFonts w:ascii="仿宋" w:hAnsi="仿宋" w:cs="仿宋" w:hint="eastAsia" w:eastAsia="仿宋"/>
          <w:color w:val="000000"/>
          <w:sz w:val="32"/>
          <w:szCs w:val="32"/>
          <w:u w:val="none"/>
        </w:rPr>
        <w:t xml:space="preserve">  违反本条例规定，擅自改变建筑物配建停车设施和依规划独立建设的公共停车设施的用途的，由规划和自然资源管理部门责令限期改正</w:t>
      </w:r>
      <w:r>
        <w:rPr>
          <w:rFonts w:ascii="仿宋" w:hAnsi="仿宋" w:cs="仿宋" w:hint="eastAsia" w:eastAsia="仿宋"/>
          <w:strike w:val="false"/>
          <w:dstrike w:val="false"/>
          <w:color w:val="000000"/>
          <w:sz w:val="32"/>
          <w:szCs w:val="32"/>
          <w:u w:val="none"/>
        </w:rPr>
        <w:t>，</w:t>
      </w:r>
      <w:r>
        <w:rPr>
          <w:rFonts w:ascii="仿宋" w:hAnsi="仿宋" w:cs="仿宋" w:hint="eastAsia" w:eastAsia="仿宋"/>
          <w:color w:val="000000"/>
          <w:sz w:val="32"/>
          <w:szCs w:val="32"/>
          <w:u w:val="none"/>
        </w:rPr>
        <w:t>恢复原状，没收违法所得，并处改变面积每平方米五百元以上一千元以下罚款。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第三十六条</w:t>
      </w:r>
      <w:r>
        <w:rPr>
          <w:rFonts w:ascii="宋体" w:hAnsi="宋体" w:cs="宋体" w:hint="eastAsia"/>
          <w:strike w:val="false"/>
          <w:dstrike w:val="false"/>
          <w:color w:val="000000"/>
          <w:sz w:val="32"/>
          <w:szCs w:val="32"/>
          <w:u w:val="none"/>
        </w:rPr>
        <w:t xml:space="preserve">  </w:t>
      </w:r>
      <w:r>
        <w:rPr>
          <w:rFonts w:ascii="仿宋" w:hAnsi="仿宋" w:cs="仿宋" w:hint="eastAsia" w:eastAsia="仿宋"/>
          <w:color w:val="000000"/>
          <w:sz w:val="32"/>
          <w:szCs w:val="32"/>
          <w:u w:val="none"/>
        </w:rPr>
        <w:t>违反本条例规定，停车设施经营者未按照规定办理备案的，由城市管理部门责令限期办理备案手续；在规定的期限内仍未办理备案的，处二千元以上五千元以下罚款。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第三十七条</w:t>
      </w:r>
      <w:r>
        <w:rPr>
          <w:rFonts w:ascii="仿宋" w:hAnsi="仿宋" w:cs="仿宋" w:hint="eastAsia" w:eastAsia="仿宋"/>
          <w:color w:val="000000"/>
          <w:sz w:val="32"/>
          <w:szCs w:val="32"/>
          <w:u w:val="none"/>
        </w:rPr>
        <w:t xml:space="preserve">  违反本条例规定，擅自占用</w:t>
      </w:r>
      <w:r>
        <w:rPr>
          <w:rFonts w:ascii="仿宋" w:hAnsi="仿宋" w:cs="仿宋" w:hint="eastAsia" w:eastAsia="仿宋"/>
          <w:strike w:val="false"/>
          <w:dstrike w:val="false"/>
          <w:color w:val="000000"/>
          <w:sz w:val="32"/>
          <w:szCs w:val="32"/>
          <w:u w:val="none"/>
        </w:rPr>
        <w:t>公共停车设施和路内停车泊位</w:t>
      </w:r>
      <w:r>
        <w:rPr>
          <w:rFonts w:ascii="仿宋" w:hAnsi="仿宋" w:cs="仿宋" w:hint="eastAsia" w:eastAsia="仿宋"/>
          <w:color w:val="000000"/>
          <w:sz w:val="32"/>
          <w:szCs w:val="32"/>
          <w:u w:val="none"/>
        </w:rPr>
        <w:t>从事其他活动的，由城市管理部门责令限期改正；逾期未改正的，按每日每平方米五元处以罚款。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 xml:space="preserve">第三十八条  </w:t>
      </w:r>
      <w:r>
        <w:rPr>
          <w:rFonts w:ascii="仿宋" w:hAnsi="仿宋" w:cs="仿宋" w:hint="eastAsia" w:eastAsia="仿宋"/>
          <w:color w:val="000000"/>
          <w:sz w:val="32"/>
          <w:szCs w:val="32"/>
          <w:u w:val="none"/>
        </w:rPr>
        <w:t>违反本条例规定，擅自在公共区域设置停车设施，或者设置地桩、地锁以及其他障碍物的，由城市管理部门责令改正，恢复原状，处五百元以上一千元以下罚款。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 xml:space="preserve">第三十九条  </w:t>
      </w:r>
      <w:r>
        <w:rPr>
          <w:rFonts w:ascii="仿宋" w:hAnsi="仿宋" w:cs="仿宋" w:hint="eastAsia" w:eastAsia="仿宋"/>
          <w:color w:val="000000"/>
          <w:sz w:val="32"/>
          <w:szCs w:val="32"/>
          <w:u w:val="none"/>
        </w:rPr>
        <w:t>违反本条例规定，在公共通行区域机动车不按规定停放，</w:t>
      </w:r>
      <w:r>
        <w:rPr>
          <w:rFonts w:ascii="仿宋" w:hAnsi="仿宋" w:cs="仿宋" w:hint="eastAsia" w:eastAsia="仿宋"/>
          <w:strike w:val="false"/>
          <w:dstrike w:val="false"/>
          <w:color w:val="000000"/>
          <w:sz w:val="32"/>
          <w:szCs w:val="32"/>
          <w:u w:val="none"/>
        </w:rPr>
        <w:t>公安机关交通管理部门可以指出违法行为，并予以口头警告，责令改正；拒不改正的，按照下列规定处罚：</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不在停车泊位内停放的，处一百元罚款，</w:t>
      </w:r>
      <w:r>
        <w:rPr>
          <w:rFonts w:ascii="仿宋" w:hAnsi="仿宋" w:cs="仿宋" w:hint="eastAsia" w:eastAsia="仿宋"/>
          <w:strike w:val="false"/>
          <w:dstrike w:val="false"/>
          <w:color w:val="000000"/>
          <w:sz w:val="32"/>
          <w:szCs w:val="32"/>
          <w:u w:val="none"/>
        </w:rPr>
        <w:t>并可以拖移车辆到指定地点</w:t>
      </w:r>
      <w:r>
        <w:rPr>
          <w:rFonts w:ascii="仿宋" w:hAnsi="仿宋" w:cs="仿宋" w:hint="eastAsia" w:eastAsia="仿宋"/>
          <w:color w:val="000000"/>
          <w:sz w:val="32"/>
          <w:szCs w:val="32"/>
          <w:u w:val="none"/>
        </w:rPr>
        <w:t xml:space="preserve">； </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在停车泊位内不按规定时间、方向停放的，处一百元罚款，</w:t>
      </w:r>
      <w:r>
        <w:rPr>
          <w:rFonts w:ascii="仿宋" w:hAnsi="仿宋" w:cs="仿宋" w:hint="eastAsia" w:eastAsia="仿宋"/>
          <w:strike w:val="false"/>
          <w:dstrike w:val="false"/>
          <w:color w:val="000000"/>
          <w:sz w:val="32"/>
          <w:szCs w:val="32"/>
          <w:u w:val="none"/>
        </w:rPr>
        <w:t>并可以拖移车辆到指定地点</w:t>
      </w:r>
      <w:r>
        <w:rPr>
          <w:rFonts w:ascii="仿宋" w:hAnsi="仿宋" w:cs="仿宋" w:hint="eastAsia" w:eastAsia="仿宋"/>
          <w:color w:val="000000"/>
          <w:sz w:val="32"/>
          <w:szCs w:val="32"/>
          <w:u w:val="none"/>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（三）在政府设置的免费停车设施内，车辆连续停放超过七十二小时的，处两百元罚款，</w:t>
      </w:r>
      <w:r>
        <w:rPr>
          <w:rFonts w:ascii="仿宋" w:hAnsi="仿宋" w:cs="仿宋" w:hint="eastAsia" w:eastAsia="仿宋"/>
          <w:strike w:val="false"/>
          <w:dstrike w:val="false"/>
          <w:color w:val="000000"/>
          <w:sz w:val="32"/>
          <w:szCs w:val="32"/>
          <w:u w:val="none"/>
        </w:rPr>
        <w:t>并可以拖移车辆到指定地点</w:t>
      </w:r>
      <w:r>
        <w:rPr>
          <w:rFonts w:ascii="仿宋" w:hAnsi="仿宋" w:cs="仿宋" w:hint="eastAsia" w:eastAsia="仿宋"/>
          <w:color w:val="000000"/>
          <w:sz w:val="32"/>
          <w:szCs w:val="32"/>
          <w:u w:val="none"/>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第四十条</w:t>
      </w:r>
      <w:r>
        <w:rPr>
          <w:rFonts w:ascii="仿宋" w:hAnsi="仿宋" w:cs="仿宋" w:hint="eastAsia" w:eastAsia="仿宋"/>
          <w:color w:val="000000"/>
          <w:sz w:val="32"/>
          <w:szCs w:val="32"/>
          <w:u w:val="none"/>
        </w:rPr>
        <w:t xml:space="preserve">  违反本条例规定，</w:t>
      </w:r>
      <w:r>
        <w:rPr>
          <w:rFonts w:ascii="仿宋_GB2312;仿宋" w:hAnsi="仿宋_GB2312;仿宋" w:cs="仿宋_GB2312;仿宋" w:hint="eastAsia" w:eastAsia="仿宋_GB2312;仿宋"/>
          <w:color w:val="000000"/>
          <w:sz w:val="32"/>
          <w:szCs w:val="32"/>
          <w:u w:val="none"/>
        </w:rPr>
        <w:t>在公共通行区域</w:t>
      </w:r>
      <w:r>
        <w:rPr>
          <w:rFonts w:ascii="仿宋" w:hAnsi="仿宋" w:cs="仿宋" w:hint="eastAsia" w:eastAsia="仿宋"/>
          <w:color w:val="000000"/>
          <w:sz w:val="32"/>
          <w:szCs w:val="32"/>
          <w:u w:val="none"/>
        </w:rPr>
        <w:t>互联网租赁车辆经营企业未按规定管理车辆停放的，由公安机关交通管理部门责令限期改正；逾期不改正的，处一万元以上三万元以下罚款。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 xml:space="preserve">第四十一条 </w:t>
      </w:r>
      <w:r>
        <w:rPr>
          <w:rFonts w:ascii="仿宋" w:hAnsi="仿宋" w:cs="仿宋" w:hint="eastAsia" w:eastAsia="仿宋"/>
          <w:color w:val="000000"/>
          <w:sz w:val="32"/>
          <w:szCs w:val="32"/>
          <w:u w:val="none"/>
        </w:rPr>
        <w:t xml:space="preserve"> 城市管理、公安机关交通管理等部门及其工作人员，在停车管理工作中玩忽职守、滥用职权、徇私舞弊的，对直接负责的主管人员和其他直接责任人员依法给予处分；构成犯罪的，依法追究刑事责任。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eastAsia="仿宋" w:cs="仿宋" w:hint="eastAsia" w:ascii="仿宋" w:hAnsi="仿宋"/>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u w:val="none"/>
        </w:rPr>
      </w:pPr>
      <w:r>
        <w:rPr>
          <w:rFonts w:ascii="黑体" w:hAnsi="黑体" w:cs="黑体" w:hint="eastAsia" w:eastAsia="黑体"/>
          <w:color w:val="000000"/>
          <w:sz w:val="32"/>
          <w:szCs w:val="32"/>
          <w:u w:val="none"/>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eastAsia="仿宋" w:cs="仿宋" w:hint="eastAsia" w:ascii="仿宋" w:hAnsi="仿宋"/>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color w:val="000000"/>
          <w:sz w:val="32"/>
          <w:szCs w:val="32"/>
          <w:u w:val="none"/>
        </w:rPr>
      </w:pPr>
      <w:r>
        <w:rPr>
          <w:rFonts w:ascii="黑体" w:hAnsi="黑体" w:cs="黑体" w:hint="eastAsia" w:eastAsia="黑体"/>
          <w:color w:val="000000"/>
          <w:sz w:val="32"/>
          <w:szCs w:val="32"/>
          <w:u w:val="none"/>
        </w:rPr>
        <w:t xml:space="preserve">第四十二条  </w:t>
      </w:r>
      <w:r>
        <w:rPr>
          <w:rFonts w:ascii="仿宋" w:hAnsi="仿宋" w:cs="仿宋" w:hint="eastAsia" w:eastAsia="仿宋"/>
          <w:color w:val="000000"/>
          <w:sz w:val="32"/>
          <w:szCs w:val="32"/>
          <w:u w:val="none"/>
        </w:rPr>
        <w:t>本条例所称的公共区域是指供公众共有共享的室外活动区域。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本条例所称的公共通行区域是指道路、广场、公共停车场和道路以外与建筑物之间的公共区域等用于公众通行的场所。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color w:val="000000"/>
          <w:sz w:val="32"/>
          <w:szCs w:val="32"/>
          <w:u w:val="none"/>
        </w:rPr>
      </w:pPr>
      <w:r>
        <w:rPr>
          <w:rFonts w:ascii="仿宋" w:hAnsi="仿宋" w:cs="仿宋" w:hint="eastAsia" w:eastAsia="仿宋"/>
          <w:color w:val="000000"/>
          <w:sz w:val="32"/>
          <w:szCs w:val="32"/>
          <w:u w:val="none"/>
        </w:rPr>
        <w:t>本条例所称的道路是指供车辆和行人通行的机动车道、非机动车道和人行道。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黑体" w:hint="eastAsia" w:eastAsia="黑体"/>
          <w:color w:val="000000"/>
          <w:sz w:val="32"/>
          <w:szCs w:val="32"/>
          <w:u w:val="none"/>
        </w:rPr>
        <w:t>第四十三条</w:t>
      </w:r>
      <w:r>
        <w:rPr>
          <w:rFonts w:ascii="仿宋" w:hAnsi="仿宋" w:cs="仿宋" w:hint="eastAsia" w:eastAsia="仿宋"/>
          <w:color w:val="000000"/>
          <w:sz w:val="32"/>
          <w:szCs w:val="32"/>
          <w:u w:val="none"/>
        </w:rPr>
        <w:t>　本条例自</w:t>
      </w:r>
      <w:r>
        <w:rPr>
          <w:rFonts w:eastAsia="仿宋" w:cs="仿宋" w:hint="eastAsia" w:ascii="仿宋" w:hAnsi="仿宋"/>
          <w:color w:val="000000"/>
          <w:sz w:val="32"/>
          <w:szCs w:val="32"/>
          <w:u w:val="none"/>
        </w:rPr>
        <w:t>2023</w:t>
      </w:r>
      <w:r>
        <w:rPr>
          <w:rFonts w:ascii="仿宋" w:hAnsi="仿宋" w:cs="仿宋" w:hint="eastAsia" w:eastAsia="仿宋"/>
          <w:color w:val="000000"/>
          <w:sz w:val="32"/>
          <w:szCs w:val="32"/>
          <w:u w:val="none"/>
        </w:rPr>
        <w:t>年</w:t>
      </w:r>
      <w:r>
        <w:rPr>
          <w:rFonts w:eastAsia="仿宋" w:cs="仿宋" w:hint="eastAsia" w:ascii="仿宋" w:hAnsi="仿宋"/>
          <w:color w:val="000000"/>
          <w:sz w:val="32"/>
          <w:szCs w:val="32"/>
          <w:u w:val="none"/>
        </w:rPr>
        <w:t>1</w:t>
      </w:r>
      <w:r>
        <w:rPr>
          <w:rFonts w:ascii="仿宋" w:hAnsi="仿宋" w:cs="仿宋" w:hint="eastAsia" w:eastAsia="仿宋"/>
          <w:color w:val="000000"/>
          <w:sz w:val="32"/>
          <w:szCs w:val="32"/>
          <w:u w:val="none"/>
        </w:rPr>
        <w:t>月</w:t>
      </w:r>
      <w:r>
        <w:rPr>
          <w:rFonts w:eastAsia="仿宋" w:cs="仿宋" w:hint="eastAsia" w:ascii="仿宋" w:hAnsi="仿宋"/>
          <w:color w:val="000000"/>
          <w:sz w:val="32"/>
          <w:szCs w:val="32"/>
          <w:u w:val="none"/>
        </w:rPr>
        <w:t>1</w:t>
      </w:r>
      <w:r>
        <w:rPr>
          <w:rFonts w:ascii="仿宋" w:hAnsi="仿宋" w:cs="仿宋" w:hint="eastAsia" w:eastAsia="仿宋"/>
          <w:color w:val="000000"/>
          <w:sz w:val="32"/>
          <w:szCs w:val="32"/>
          <w:u w:val="none"/>
        </w:rPr>
        <w:t>日起施行。</w:t>
      </w:r>
    </w:p>
    <w:sectPr>
      <w:footerReference w:type="default" r:id="rId2"/>
      <w:type w:val="nextPage"/>
      <w:pgSz w:w="11906" w:h="16838"/>
      <w:pgMar w:left="1587" w:right="1474"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Arial">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楷体">
    <w:charset w:val="86"/>
    <w:family w:val="auto"/>
    <w:pitch w:val="default"/>
  </w:font>
  <w:font w:name="仿宋">
    <w:charset w:val="86"/>
    <w:family w:val="auto"/>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1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5"/>
      <w:numFmt w:val="chineseCountingThousand"/>
      <w:suff w:val="nothing"/>
      <w:lvlText w:val="（%1）"/>
      <w:lvlJc w:val="start"/>
      <w:pPr>
        <w:tabs>
          <w:tab w:val="num" w:pos="0"/>
        </w:tabs>
        <w:ind w:start="0" w:hanging="0"/>
      </w:pPr>
      <w:rPr>
        <w:rFonts w:hint="eastAsia"/>
      </w:rPr>
    </w:lvl>
  </w:abstractNum>
  <w:abstractNum w:abstractNumId="5">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docVars>
    <w:docVar w:name="commondata" w:val="eyJoZGlkIjoiZDQzNGRkMWE0Yzc2NmE4NzQwMWU2MDVmNzJkMjM2NT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2"/>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bCs/>
      <w:kern w:val="2"/>
      <w:sz w:val="48"/>
      <w:szCs w:val="48"/>
      <w:lang w:bidi="ar"/>
    </w:rPr>
  </w:style>
  <w:style w:type="paragraph" w:styleId="Heading2">
    <w:name w:val="heading 2"/>
    <w:basedOn w:val="Normal"/>
    <w:next w:val="Normal"/>
    <w:qFormat/>
    <w:pPr>
      <w:keepNext w:val="true"/>
      <w:keepLines/>
      <w:numPr>
        <w:ilvl w:val="1"/>
        <w:numId w:val="1"/>
      </w:numPr>
      <w:spacing w:lineRule="exact" w:line="570" w:before="260" w:after="260"/>
      <w:ind w:firstLineChars="200" w:startChars="0" w:start="0" w:endChars="0" w:end="0"/>
      <w:outlineLvl w:val="1"/>
    </w:pPr>
    <w:rPr>
      <w:rFonts w:ascii="Arial" w:hAnsi="Arial" w:eastAsia="黑体" w:cs="Arial"/>
    </w:rPr>
  </w:style>
  <w:style w:type="paragraph" w:styleId="Heading3">
    <w:name w:val="heading 3"/>
    <w:basedOn w:val="Normal"/>
    <w:next w:val="Normal"/>
    <w:qFormat/>
    <w:pPr>
      <w:keepNext w:val="true"/>
      <w:keepLines/>
      <w:numPr>
        <w:ilvl w:val="2"/>
        <w:numId w:val="1"/>
      </w:numPr>
      <w:spacing w:lineRule="exact" w:line="570"/>
      <w:ind w:firstLineChars="200" w:startChars="0" w:start="0" w:endChars="0" w:end="0"/>
      <w:outlineLvl w:val="2"/>
    </w:pPr>
    <w:rPr>
      <w:rFonts w:eastAsia="楷体"/>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Style11">
    <w:name w:val="默认段落字体"/>
    <w:qFormat/>
    <w:rPr/>
  </w:style>
  <w:style w:type="character" w:styleId="3Char">
    <w:name w:val="标题 3 Char"/>
    <w:qFormat/>
    <w:rPr>
      <w:rFonts w:eastAsia="楷体"/>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首行缩进"/>
    <w:basedOn w:val="BodyText"/>
    <w:qFormat/>
    <w:pPr>
      <w:ind w:firstLineChars="1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3">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2020-08-05T09:56:00Z</dcterms:created>
  <dc:creator>a</dc:creator>
  <dc:description/>
  <dc:language>en-US</dc:language>
  <cp:lastModifiedBy>此生无悔</cp:lastModifiedBy>
  <cp:lastPrinted>2022-10-24T16:25:00Z</cp:lastPrinted>
  <dcterms:modified xsi:type="dcterms:W3CDTF">2023-02-01T11:12:02Z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48EFBE9604294FC1AA38D784049BDF6D</vt:lpwstr>
  </property>
  <property fmtid="{D5CDD505-2E9C-101B-9397-08002B2CF9AE}" pid="3" name="KSOProductBuildVer">
    <vt:lpwstr>2052-11.1.0.13703</vt:lpwstr>
  </property>
</Properties>
</file>