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78"/>
        <w:ind w:firstLineChars="200" w:startChars="0" w:start="0" w:endChars="0" w:end="0"/>
        <w:rPr>
          <w:rFonts w:ascii="宋体" w:hAnsi="宋体" w:cs="宋体" w:hint="eastAsia"/>
          <w:sz w:val="32"/>
          <w:szCs w:val="32"/>
        </w:rPr>
      </w:pPr>
      <w:r>
        <w:rPr>
          <w:rFonts w:cs="宋体" w:hint="eastAsia" w:ascii="宋体" w:hAnsi="宋体"/>
          <w:sz w:val="32"/>
          <w:szCs w:val="32"/>
        </w:rPr>
      </w:r>
    </w:p>
    <w:p>
      <w:pPr>
        <w:pStyle w:val="Normal"/>
        <w:spacing w:lineRule="exact" w:line="578"/>
        <w:ind w:firstLineChars="200" w:startChars="0" w:start="0" w:endChars="0" w:end="0"/>
        <w:rPr>
          <w:rFonts w:ascii="宋体" w:hAnsi="宋体" w:cs="宋体" w:hint="eastAsia"/>
          <w:sz w:val="32"/>
          <w:szCs w:val="32"/>
        </w:rPr>
      </w:pPr>
      <w:r>
        <w:rPr>
          <w:rFonts w:cs="宋体" w:hint="eastAsia" w:ascii="宋体" w:hAnsi="宋体"/>
          <w:sz w:val="32"/>
          <w:szCs w:val="32"/>
        </w:rPr>
      </w:r>
    </w:p>
    <w:p>
      <w:pPr>
        <w:pStyle w:val="Normal"/>
        <w:spacing w:lineRule="exact" w:line="578"/>
        <w:jc w:val="center"/>
        <w:rPr>
          <w:rFonts w:ascii="仿宋_GB2312;宋体" w:hAnsi="仿宋_GB2312;宋体" w:eastAsia="仿宋_GB2312;宋体" w:cs="仿宋_GB2312;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t>太原市企务公开办法</w:t>
      </w:r>
    </w:p>
    <w:p>
      <w:pPr>
        <w:pStyle w:val="Normal"/>
        <w:spacing w:lineRule="exact" w:line="578"/>
        <w:ind w:firstLineChars="0" w:firstLine="0" w:startChars="0" w:start="0" w:endChars="20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eastAsia="仿宋_GB2312;宋体" w:cs="仿宋_GB2312;宋体" w:hint="eastAsia" w:ascii="仿宋_GB2312;宋体" w:hAnsi="仿宋_GB2312;宋体"/>
          <w:sz w:val="32"/>
          <w:szCs w:val="32"/>
        </w:rPr>
      </w:r>
    </w:p>
    <w:p>
      <w:pPr>
        <w:pStyle w:val="Normal"/>
        <w:spacing w:lineRule="exact" w:line="578"/>
        <w:ind w:firstLineChars="0" w:firstLine="0" w:startChars="300" w:endChars="300"/>
        <w:rPr>
          <w:rFonts w:ascii="楷体_GB2312;宋体" w:hAnsi="楷体_GB2312;宋体" w:eastAsia="楷体_GB2312;宋体" w:cs="楷体_GB2312;宋体" w:hint="eastAsia"/>
          <w:sz w:val="32"/>
          <w:szCs w:val="32"/>
        </w:rPr>
      </w:pP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（</w:t>
      </w:r>
      <w:r>
        <w:rPr>
          <w:rFonts w:eastAsia="楷体_GB2312;宋体" w:cs="楷体_GB2312;宋体" w:hint="eastAsia" w:ascii="楷体_GB2312;宋体" w:hAnsi="楷体_GB2312;宋体"/>
          <w:sz w:val="32"/>
          <w:szCs w:val="32"/>
        </w:rPr>
        <w:t>2000</w:t>
      </w: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年</w:t>
      </w:r>
      <w:r>
        <w:rPr>
          <w:rFonts w:eastAsia="楷体_GB2312;宋体" w:cs="楷体_GB2312;宋体" w:hint="eastAsia" w:ascii="楷体_GB2312;宋体" w:hAnsi="楷体_GB2312;宋体"/>
          <w:sz w:val="32"/>
          <w:szCs w:val="32"/>
        </w:rPr>
        <w:t>12</w:t>
      </w: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月</w:t>
      </w:r>
      <w:r>
        <w:rPr>
          <w:rFonts w:eastAsia="楷体_GB2312;宋体" w:cs="楷体_GB2312;宋体" w:hint="eastAsia" w:ascii="楷体_GB2312;宋体" w:hAnsi="楷体_GB2312;宋体"/>
          <w:sz w:val="32"/>
          <w:szCs w:val="32"/>
        </w:rPr>
        <w:t>26</w:t>
      </w: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日太原市第十届人民代表大会常务委员会第二十八次会议通过　</w:t>
      </w:r>
      <w:r>
        <w:rPr>
          <w:rFonts w:eastAsia="楷体_GB2312;宋体" w:cs="楷体_GB2312;宋体" w:hint="eastAsia" w:ascii="楷体_GB2312;宋体" w:hAnsi="楷体_GB2312;宋体"/>
          <w:sz w:val="32"/>
          <w:szCs w:val="32"/>
        </w:rPr>
        <w:t>2001</w:t>
      </w: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年</w:t>
      </w:r>
      <w:r>
        <w:rPr>
          <w:rFonts w:eastAsia="楷体_GB2312;宋体" w:cs="楷体_GB2312;宋体" w:hint="eastAsia" w:ascii="楷体_GB2312;宋体" w:hAnsi="楷体_GB2312;宋体"/>
          <w:sz w:val="32"/>
          <w:szCs w:val="32"/>
        </w:rPr>
        <w:t>1</w:t>
      </w: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月</w:t>
      </w:r>
      <w:r>
        <w:rPr>
          <w:rFonts w:eastAsia="楷体_GB2312;宋体" w:cs="楷体_GB2312;宋体" w:hint="eastAsia" w:ascii="楷体_GB2312;宋体" w:hAnsi="楷体_GB2312;宋体"/>
          <w:sz w:val="32"/>
          <w:szCs w:val="32"/>
        </w:rPr>
        <w:t>12</w:t>
      </w: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日山西省第九届人民代表大会常务委员会第二十次会议批准）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eastAsia="仿宋_GB2312;宋体" w:cs="仿宋_GB2312;宋体" w:hint="eastAsia" w:ascii="仿宋_GB2312;宋体" w:hAnsi="仿宋_GB2312;宋体"/>
          <w:sz w:val="32"/>
          <w:szCs w:val="32"/>
        </w:rPr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第一条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为加强企业民主决策、民主管理和民主监督，促进企业发展，根据本市实际，制定本办法。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本办法适用于本市行政区域内国有企业、集体企业以及国家控股和集体控股企业。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第三条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企务公开是企业的领导人员将生产经营与改革发展的重大决策、涉及职工切身利益的有关事项等内容，通过一定形式向职工公示的行为。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第四条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 xml:space="preserve">企务公开应当坚持实事求是、注重实效和有利于稳定发展的原则。 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第五条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企务公开的主要内容：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（一）生产经营与改革发展的重大决策，包括长远规划、年度计划、企业经营和财务收支，大宗物资采购、重大基建项目与技术改造项目招投标情况，改革、改制、兼并、破产、出租、拍卖的方案；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（二）涉及职工切身利益的有关事宜，包括工资分配、职工奖惩、劳动保护、安全生产、社会保险、生活福利、职称评定、用工裁员、集体劳动合同的签订和履行情况；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（三）企业领导人员使用公车、通讯费支出、出差出国（境）费用支出和业务招待费使用情况；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 xml:space="preserve">（四）企业领导人员年终述职评议的结果。 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企务公开不得泄露商业秘密。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第六条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企务公开的主要形式：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（一）向职工大会或职工代表大会报告；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（二）向职工代表团（组）长联席会通报；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（三）公开栏公示；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（四）利用内部广播、闭路电视等载体公布。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第七条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企务公开的时间：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（一）向职工大会或职工代表大会报告的，一年不得少于一次；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（二）属于常规性工作的应当定期公开，属于阶段性工作的应当及时公开。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第八条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职工大会或职工代表大会负责对本单位企务公开实施监督。职工大会或职工代表大会闭会期间，由本企业的工会组织实施监督，并负责向下一次职工大会或职工代表大会报告监督实施情况。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第九条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企业的领导人员不按规定实行企务公开或者公开内容失实的，由企业工会组织提出批评，限期整改。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职工依照本办法对企务公开实施监督应当保护。对参与监督的职工打击报复造成后果的，依法追究其责任。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第十一条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本办法自公布之日起施行。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eastAsia="仿宋_GB2312;宋体" w:cs="仿宋_GB2312;宋体" w:hint="eastAsia" w:ascii="仿宋_GB2312;宋体" w:hAnsi="仿宋_GB2312;宋体"/>
          <w:sz w:val="32"/>
          <w:szCs w:val="32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851" w:top="2041" w:footer="1304" w:bottom="2041"/>
      <w:pgNumType w:fmt="decimal"/>
      <w:formProt w:val="false"/>
      <w:textDirection w:val="lrTb"/>
      <w:docGrid w:type="lines" w:linePitch="31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altName w:val="宋体"/>
    <w:charset w:val="86"/>
    <w:family w:val="modern"/>
    <w:pitch w:val="default"/>
  </w:font>
  <w:font w:name="楷体_GB2312">
    <w:altName w:val="宋体"/>
    <w:charset w:val="86"/>
    <w:family w:val="modern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100" w:startChars="0" w:start="0" w:endChars="0" w:end="0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  <w:fldChar w:fldCharType="begin"/>
    </w:r>
    <w:r>
      <w:rPr>
        <w:rFonts w:cs="Times New Roman" w:ascii="Times New Roman" w:hAnsi="Times New Roman"/>
        <w:sz w:val="28"/>
        <w:szCs w:val="28"/>
      </w:rPr>
      <w:instrText xml:space="preserve"> PAGE </w:instrText>
    </w:r>
    <w:r>
      <w:rPr>
        <w:rFonts w:cs="Times New Roman" w:ascii="Times New Roman" w:hAnsi="Times New Roman"/>
        <w:sz w:val="28"/>
        <w:szCs w:val="28"/>
      </w:rPr>
      <w:fldChar w:fldCharType="separate"/>
    </w:r>
    <w:r>
      <w:rPr>
        <w:rFonts w:cs="Times New Roman" w:ascii="Times New Roman" w:hAnsi="Times New Roman"/>
        <w:sz w:val="28"/>
        <w:szCs w:val="28"/>
      </w:rPr>
      <w:t>2</w:t>
    </w:r>
    <w:r>
      <w:rPr>
        <w:rFonts w:cs="Times New Roman" w:ascii="Times New Roman" w:hAnsi="Times New Roman"/>
        <w:sz w:val="28"/>
        <w:szCs w:val="28"/>
      </w:rPr>
      <w:fldChar w:fldCharType="end"/>
    </w:r>
  </w:p>
  <w:p>
    <w:pPr>
      <w:pStyle w:val="Foo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  <w:fldChar w:fldCharType="begin"/>
    </w:r>
    <w:r>
      <w:rPr>
        <w:rFonts w:cs="Times New Roman" w:ascii="Times New Roman" w:hAnsi="Times New Roman"/>
        <w:sz w:val="28"/>
        <w:szCs w:val="28"/>
      </w:rPr>
      <w:instrText xml:space="preserve"> PAGE </w:instrText>
    </w:r>
    <w:r>
      <w:rPr>
        <w:rFonts w:cs="Times New Roman" w:ascii="Times New Roman" w:hAnsi="Times New Roman"/>
        <w:sz w:val="28"/>
        <w:szCs w:val="28"/>
      </w:rPr>
      <w:fldChar w:fldCharType="separate"/>
    </w:r>
    <w:r>
      <w:rPr>
        <w:rFonts w:cs="Times New Roman" w:ascii="Times New Roman" w:hAnsi="Times New Roman"/>
        <w:sz w:val="28"/>
        <w:szCs w:val="28"/>
      </w:rPr>
      <w:t>3</w:t>
    </w:r>
    <w:r>
      <w:rPr>
        <w:rFonts w:cs="Times New Roman" w:ascii="Times New Roman" w:hAnsi="Times New Roman"/>
        <w:sz w:val="28"/>
        <w:szCs w:val="28"/>
      </w:rPr>
      <w:fldChar w:fldCharType="end"/>
    </w:r>
    <w:r>
      <w:rPr>
        <w:rFonts w:ascii="Times New Roman" w:hAnsi="Times New Roman" w:cs="Times New Roman" w:hint="eastAsia"/>
        <w:sz w:val="28"/>
        <w:szCs w:val="28"/>
      </w:rPr>
      <w:t>　</w:t>
    </w:r>
  </w:p>
  <w:p>
    <w:pPr>
      <w:pStyle w:val="Foo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Calibri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80" w:after="280"/>
      <w:jc w:val="start"/>
      <w:outlineLvl w:val="0"/>
    </w:pPr>
    <w:rPr>
      <w:rFonts w:ascii="宋体" w:hAnsi="宋体" w:cs="宋体"/>
      <w:b/>
      <w:kern w:val="2"/>
      <w:sz w:val="48"/>
      <w:szCs w:val="48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280" w:after="280"/>
      <w:jc w:val="start"/>
      <w:outlineLvl w:val="1"/>
    </w:pPr>
    <w:rPr>
      <w:rFonts w:ascii="宋体" w:hAnsi="宋体" w:cs="宋体"/>
      <w:b/>
      <w:sz w:val="36"/>
      <w:szCs w:val="3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80" w:after="280"/>
      <w:jc w:val="start"/>
      <w:outlineLvl w:val="2"/>
    </w:pPr>
    <w:rPr>
      <w:rFonts w:ascii="宋体" w:hAnsi="宋体" w:cs="宋体"/>
      <w:b/>
      <w:sz w:val="27"/>
      <w:szCs w:val="27"/>
    </w:rPr>
  </w:style>
  <w:style w:type="character" w:styleId="Style11">
    <w:name w:val="默认段落字体"/>
    <w:qFormat/>
    <w:rPr/>
  </w:style>
  <w:style w:type="character" w:styleId="Char">
    <w:name w:val="页脚 Char"/>
    <w:basedOn w:val="Style11"/>
    <w:qFormat/>
    <w:rPr>
      <w:rFonts w:ascii="Calibri" w:hAnsi="Calibri" w:cs="Calibri"/>
      <w:kern w:val="2"/>
      <w:sz w:val="18"/>
      <w:szCs w:val="18"/>
    </w:rPr>
  </w:style>
  <w:style w:type="character" w:styleId="Char1">
    <w:name w:val="页眉 Char"/>
    <w:basedOn w:val="Style11"/>
    <w:qFormat/>
    <w:rPr>
      <w:rFonts w:ascii="Calibri" w:hAnsi="Calibri" w:cs="Calibri"/>
      <w:kern w:val="2"/>
      <w:sz w:val="18"/>
      <w:szCs w:val="18"/>
    </w:rPr>
  </w:style>
  <w:style w:type="character" w:styleId="2Char">
    <w:name w:val="标题 2 Char"/>
    <w:basedOn w:val="Style11"/>
    <w:qFormat/>
    <w:rPr>
      <w:rFonts w:ascii="宋体" w:hAnsi="宋体" w:cs="宋体"/>
      <w:b/>
      <w:sz w:val="36"/>
      <w:szCs w:val="36"/>
    </w:rPr>
  </w:style>
  <w:style w:type="character" w:styleId="1Char">
    <w:name w:val="标题 1 Char"/>
    <w:basedOn w:val="Style11"/>
    <w:qFormat/>
    <w:rPr>
      <w:rFonts w:ascii="宋体" w:hAnsi="宋体" w:cs="宋体"/>
      <w:b/>
      <w:kern w:val="2"/>
      <w:sz w:val="48"/>
      <w:szCs w:val="48"/>
    </w:rPr>
  </w:style>
  <w:style w:type="character" w:styleId="3Char">
    <w:name w:val="标题 3 Char"/>
    <w:basedOn w:val="Style11"/>
    <w:qFormat/>
    <w:rPr>
      <w:rFonts w:ascii="宋体" w:hAnsi="宋体" w:cs="宋体"/>
      <w:b/>
      <w:sz w:val="27"/>
      <w:szCs w:val="27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Calibri" w:hAnsi="Calibri" w:cs="Calibri"/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Calibri" w:hAnsi="Calibri" w:cs="Calibri"/>
      <w:kern w:val="2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2017-01-03T14:39:00Z</dcterms:created>
  <dc:creator>User</dc:creator>
  <dc:description/>
  <dc:language>en-US</dc:language>
  <cp:lastModifiedBy>User</cp:lastModifiedBy>
  <dcterms:modified xsi:type="dcterms:W3CDTF">2017-02-23T13:12:00Z</dcterms:modified>
  <cp:revision>5</cp:revision>
  <dc:subject/>
  <dc:title>太原市水资源管理办法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2052-8.1.0.3000</vt:lpwstr>
  </property>
</Properties>
</file>