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6"/>
        <w:jc w:val="center"/>
        <w:textAlignment w:val="auto"/>
        <w:rPr>
          <w:rFonts w:ascii="黑体" w:hAnsi="黑体" w:eastAsia="黑体" w:cs="黑体" w:hint="eastAsia"/>
          <w:sz w:val="28"/>
          <w:szCs w:val="28"/>
        </w:rPr>
      </w:pPr>
      <w:r>
        <w:rPr>
          <w:rFonts w:eastAsia="黑体" w:cs="黑体" w:hint="eastAsia" w:ascii="黑体" w:hAnsi="黑体"/>
          <w:sz w:val="28"/>
          <w:szCs w:val="28"/>
        </w:rPr>
      </w:r>
      <w:bookmarkStart w:id="0" w:name="_Hlk42244774"/>
      <w:bookmarkStart w:id="1" w:name="_Hlk42070748"/>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宋体" w:hAnsi="宋体" w:eastAsia="黑体" w:cs="宋体" w:hint="eastAsia"/>
          <w:bCs/>
          <w:kern w:val="0"/>
          <w:sz w:val="44"/>
          <w:szCs w:val="44"/>
          <w:shd w:fill="FFFFFF" w:val="clear"/>
        </w:rPr>
      </w:pPr>
      <w:r>
        <w:rPr>
          <w:rFonts w:eastAsia="黑体" w:cs="宋体" w:hint="eastAsia" w:ascii="宋体" w:hAnsi="宋体"/>
          <w:bCs/>
          <w:kern w:val="0"/>
          <w:sz w:val="44"/>
          <w:szCs w:val="44"/>
          <w:shd w:fill="FFFFFF" w:val="clear"/>
        </w:rPr>
      </w:r>
      <w:bookmarkEnd w:id="0"/>
      <w:bookmarkEnd w:id="1"/>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宋体" w:hAnsi="宋体" w:cs="宋体" w:hint="eastAsia"/>
          <w:bCs/>
          <w:kern w:val="0"/>
          <w:sz w:val="44"/>
          <w:szCs w:val="44"/>
          <w:shd w:fill="FFFFFF" w:val="clear"/>
        </w:rPr>
      </w:pPr>
      <w:r>
        <w:rPr>
          <w:rFonts w:ascii="宋体" w:hAnsi="宋体" w:cs="宋体" w:hint="eastAsia"/>
          <w:bCs/>
          <w:kern w:val="0"/>
          <w:sz w:val="44"/>
          <w:szCs w:val="44"/>
          <w:shd w:fill="FFFFFF" w:val="clear"/>
        </w:rPr>
        <w:t>大同市水污染防治条例</w:t>
      </w:r>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宋体" w:hAnsi="宋体" w:cs="宋体" w:hint="eastAsia"/>
          <w:bCs/>
          <w:kern w:val="0"/>
          <w:sz w:val="44"/>
          <w:szCs w:val="44"/>
          <w:shd w:fill="FFFFFF" w:val="clear"/>
        </w:rPr>
      </w:pPr>
      <w:r>
        <w:rPr>
          <w:rFonts w:cs="宋体" w:hint="eastAsia" w:ascii="宋体" w:hAnsi="宋体"/>
          <w:bCs/>
          <w:kern w:val="0"/>
          <w:sz w:val="44"/>
          <w:szCs w:val="44"/>
          <w:shd w:fill="FFFFFF" w:val="clear"/>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150"/>
        <w:textAlignment w:val="auto"/>
        <w:rPr>
          <w:rFonts w:eastAsia="楷体_GB2312;楷体" w:cs="楷体_GB2312;楷体" w:hint="eastAsia"/>
          <w:bCs/>
          <w:kern w:val="0"/>
          <w:sz w:val="32"/>
          <w:szCs w:val="32"/>
          <w:shd w:fill="FFFFFF" w:val="clear"/>
          <w:lang w:bidi="ar"/>
        </w:rPr>
      </w:pPr>
      <w:r>
        <w:rPr>
          <w:rFonts w:ascii="楷体" w:hAnsi="楷体" w:cs="方正小标宋简体" w:hint="eastAsia" w:eastAsia="楷体"/>
          <w:bCs/>
          <w:kern w:val="0"/>
          <w:sz w:val="30"/>
          <w:szCs w:val="30"/>
          <w:shd w:fill="FFFFFF" w:val="clear"/>
        </w:rPr>
        <w:t>（</w:t>
      </w:r>
      <w:r>
        <w:rPr>
          <w:rFonts w:eastAsia="楷体_GB2312;楷体"/>
          <w:bCs/>
          <w:kern w:val="0"/>
          <w:sz w:val="32"/>
          <w:szCs w:val="32"/>
          <w:shd w:fill="FFFFFF" w:val="clear"/>
          <w:lang w:bidi="ar"/>
        </w:rPr>
        <w:t>2020</w:t>
      </w:r>
      <w:r>
        <w:rPr>
          <w:rFonts w:cs="楷体_GB2312;楷体" w:hint="eastAsia" w:eastAsia="楷体_GB2312;楷体"/>
          <w:bCs/>
          <w:kern w:val="0"/>
          <w:sz w:val="32"/>
          <w:szCs w:val="32"/>
          <w:shd w:fill="FFFFFF" w:val="clear"/>
          <w:lang w:bidi="ar"/>
        </w:rPr>
        <w:t>年</w:t>
      </w:r>
      <w:r>
        <w:rPr>
          <w:rFonts w:eastAsia="楷体_GB2312;楷体"/>
          <w:bCs/>
          <w:kern w:val="0"/>
          <w:sz w:val="32"/>
          <w:szCs w:val="32"/>
          <w:shd w:fill="FFFFFF" w:val="clear"/>
          <w:lang w:bidi="ar"/>
        </w:rPr>
        <w:t>10</w:t>
      </w:r>
      <w:r>
        <w:rPr>
          <w:rFonts w:cs="楷体_GB2312;楷体" w:hint="eastAsia" w:eastAsia="楷体_GB2312;楷体"/>
          <w:bCs/>
          <w:kern w:val="0"/>
          <w:sz w:val="32"/>
          <w:szCs w:val="32"/>
          <w:shd w:fill="FFFFFF" w:val="clear"/>
          <w:lang w:bidi="ar"/>
        </w:rPr>
        <w:t>月</w:t>
      </w:r>
      <w:r>
        <w:rPr>
          <w:rFonts w:eastAsia="楷体_GB2312;楷体" w:hint="eastAsia"/>
          <w:bCs/>
          <w:kern w:val="0"/>
          <w:sz w:val="32"/>
          <w:szCs w:val="32"/>
          <w:shd w:fill="FFFFFF" w:val="clear"/>
          <w:lang w:bidi="ar"/>
        </w:rPr>
        <w:t>30</w:t>
      </w:r>
      <w:r>
        <w:rPr>
          <w:rFonts w:cs="楷体_GB2312;楷体" w:hint="eastAsia" w:eastAsia="楷体_GB2312;楷体"/>
          <w:bCs/>
          <w:kern w:val="0"/>
          <w:sz w:val="32"/>
          <w:szCs w:val="32"/>
          <w:shd w:fill="FFFFFF" w:val="clear"/>
          <w:lang w:bidi="ar"/>
        </w:rPr>
        <w:t>日大同市第十五届人民代表大会</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150"/>
        <w:textAlignment w:val="auto"/>
        <w:rPr>
          <w:rFonts w:eastAsia="楷体_GB2312;楷体" w:cs="楷体_GB2312;楷体" w:hint="eastAsia"/>
          <w:bCs/>
          <w:kern w:val="0"/>
          <w:sz w:val="32"/>
          <w:szCs w:val="32"/>
          <w:shd w:fill="FFFFFF" w:val="clear"/>
          <w:lang w:bidi="ar"/>
        </w:rPr>
      </w:pPr>
      <w:r>
        <w:rPr>
          <w:rFonts w:cs="楷体_GB2312;楷体" w:hint="eastAsia" w:eastAsia="楷体_GB2312;楷体"/>
          <w:bCs/>
          <w:kern w:val="0"/>
          <w:sz w:val="32"/>
          <w:szCs w:val="32"/>
          <w:shd w:fill="FFFFFF" w:val="clear"/>
          <w:lang w:bidi="ar"/>
        </w:rPr>
        <w:t xml:space="preserve">常务委员会第三十四次会议通过 </w:t>
      </w:r>
      <w:r>
        <w:rPr>
          <w:rFonts w:eastAsia="楷体_GB2312;楷体" w:cs="楷体_GB2312;楷体" w:hint="eastAsia"/>
          <w:bCs/>
          <w:kern w:val="0"/>
          <w:sz w:val="32"/>
          <w:szCs w:val="32"/>
          <w:shd w:fill="FFFFFF" w:val="clear"/>
          <w:lang w:bidi="ar"/>
        </w:rPr>
        <w:t>2021</w:t>
      </w:r>
      <w:r>
        <w:rPr>
          <w:rFonts w:cs="楷体_GB2312;楷体" w:hint="eastAsia" w:eastAsia="楷体_GB2312;楷体"/>
          <w:bCs/>
          <w:kern w:val="0"/>
          <w:sz w:val="32"/>
          <w:szCs w:val="32"/>
          <w:shd w:fill="FFFFFF" w:val="clear"/>
          <w:lang w:bidi="ar"/>
        </w:rPr>
        <w:t>年</w:t>
      </w:r>
      <w:r>
        <w:rPr>
          <w:rFonts w:eastAsia="楷体_GB2312;楷体" w:cs="楷体_GB2312;楷体" w:hint="eastAsia"/>
          <w:bCs/>
          <w:kern w:val="0"/>
          <w:sz w:val="32"/>
          <w:szCs w:val="32"/>
          <w:shd w:fill="FFFFFF" w:val="clear"/>
          <w:lang w:bidi="ar"/>
        </w:rPr>
        <w:t>1</w:t>
      </w:r>
      <w:r>
        <w:rPr>
          <w:rFonts w:cs="楷体_GB2312;楷体" w:hint="eastAsia" w:eastAsia="楷体_GB2312;楷体"/>
          <w:bCs/>
          <w:kern w:val="0"/>
          <w:sz w:val="32"/>
          <w:szCs w:val="32"/>
          <w:shd w:fill="FFFFFF" w:val="clear"/>
          <w:lang w:bidi="ar"/>
        </w:rPr>
        <w:t>月</w:t>
      </w:r>
      <w:r>
        <w:rPr>
          <w:rFonts w:eastAsia="楷体_GB2312;楷体" w:cs="楷体_GB2312;楷体" w:hint="eastAsia"/>
          <w:bCs/>
          <w:kern w:val="0"/>
          <w:sz w:val="32"/>
          <w:szCs w:val="32"/>
          <w:shd w:fill="FFFFFF" w:val="clear"/>
          <w:lang w:bidi="ar"/>
        </w:rPr>
        <w:t>15</w:t>
      </w:r>
      <w:r>
        <w:rPr>
          <w:rFonts w:cs="楷体_GB2312;楷体" w:hint="eastAsia" w:eastAsia="楷体_GB2312;楷体"/>
          <w:bCs/>
          <w:kern w:val="0"/>
          <w:sz w:val="32"/>
          <w:szCs w:val="32"/>
          <w:shd w:fill="FFFFFF" w:val="clear"/>
          <w:lang w:bidi="ar"/>
        </w:rPr>
        <w:t>日</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150"/>
        <w:textAlignment w:val="auto"/>
        <w:rPr>
          <w:rFonts w:eastAsia="楷体_GB2312;楷体" w:cs="楷体_GB2312;楷体" w:hint="eastAsia"/>
          <w:bCs/>
          <w:kern w:val="0"/>
          <w:sz w:val="32"/>
          <w:szCs w:val="32"/>
          <w:shd w:fill="FFFFFF" w:val="clear"/>
          <w:lang w:bidi="ar"/>
        </w:rPr>
      </w:pPr>
      <w:r>
        <w:rPr>
          <w:rFonts w:cs="楷体_GB2312;楷体" w:hint="eastAsia" w:eastAsia="楷体_GB2312;楷体"/>
          <w:bCs/>
          <w:kern w:val="0"/>
          <w:sz w:val="32"/>
          <w:szCs w:val="32"/>
          <w:shd w:fill="FFFFFF" w:val="clear"/>
          <w:lang w:bidi="ar"/>
        </w:rPr>
        <w:t>山西省第十三届人民代表大会常务委员会第二十二</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150"/>
        <w:textAlignment w:val="auto"/>
        <w:rPr>
          <w:rFonts w:ascii="楷体" w:hAnsi="楷体" w:eastAsia="楷体" w:cs="方正小标宋简体"/>
          <w:bCs/>
          <w:kern w:val="0"/>
          <w:sz w:val="30"/>
          <w:szCs w:val="30"/>
          <w:shd w:fill="FFFFFF" w:val="clear"/>
        </w:rPr>
      </w:pPr>
      <w:r>
        <w:rPr>
          <w:rFonts w:cs="楷体_GB2312;楷体" w:hint="eastAsia" w:eastAsia="楷体_GB2312;楷体"/>
          <w:bCs/>
          <w:kern w:val="0"/>
          <w:sz w:val="32"/>
          <w:szCs w:val="32"/>
          <w:shd w:fill="FFFFFF" w:val="clear"/>
          <w:lang w:bidi="ar"/>
        </w:rPr>
        <w:t>次会议批准</w:t>
      </w:r>
      <w:r>
        <w:rPr>
          <w:rFonts w:ascii="楷体" w:hAnsi="楷体" w:cs="方正小标宋简体" w:hint="eastAsia" w:eastAsia="楷体"/>
          <w:bCs/>
          <w:kern w:val="0"/>
          <w:sz w:val="30"/>
          <w:szCs w:val="30"/>
          <w:shd w:fill="FFFFFF" w:val="clear"/>
        </w:rPr>
        <w:t>）</w:t>
      </w:r>
    </w:p>
    <w:p>
      <w:pPr>
        <w:pStyle w:val="Normal"/>
        <w:keepNext w:val="false"/>
        <w:keepLines w:val="false"/>
        <w:pageBreakBefore w:val="false"/>
        <w:widowControl w:val="false"/>
        <w:kinsoku w:val="true"/>
        <w:overflowPunct w:val="true"/>
        <w:autoSpaceDE w:val="true"/>
        <w:bidi w:val="0"/>
        <w:spacing w:lineRule="exact" w:line="586"/>
        <w:textAlignment w:val="auto"/>
        <w:rPr>
          <w:rFonts w:ascii="宋体" w:hAnsi="宋体" w:eastAsia="楷体" w:cs="宋体"/>
          <w:bCs/>
          <w:kern w:val="0"/>
          <w:sz w:val="32"/>
          <w:szCs w:val="32"/>
          <w:shd w:fill="FFFFFF" w:val="clear"/>
        </w:rPr>
      </w:pPr>
      <w:r>
        <w:rPr>
          <w:rFonts w:eastAsia="楷体" w:cs="宋体" w:ascii="宋体" w:hAnsi="宋体"/>
          <w:bCs/>
          <w:kern w:val="0"/>
          <w:sz w:val="32"/>
          <w:szCs w:val="32"/>
          <w:shd w:fill="FFFFFF" w:val="clear"/>
        </w:rPr>
      </w:r>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黑体" w:hAnsi="黑体" w:eastAsia="黑体" w:cs="黑体" w:hint="eastAsia"/>
          <w:kern w:val="0"/>
          <w:sz w:val="32"/>
          <w:szCs w:val="32"/>
          <w:shd w:fill="FFFFFF" w:val="clear"/>
        </w:rPr>
      </w:pPr>
      <w:r>
        <w:rPr>
          <w:rFonts w:ascii="黑体" w:hAnsi="黑体" w:cs="黑体" w:hint="eastAsia" w:eastAsia="黑体"/>
          <w:kern w:val="0"/>
          <w:sz w:val="32"/>
          <w:szCs w:val="32"/>
          <w:shd w:fill="FFFFFF" w:val="clear"/>
        </w:rPr>
        <w:t>目  录</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textAlignment w:val="auto"/>
        <w:rPr>
          <w:rFonts w:ascii="楷体_GB2312;楷体" w:hAnsi="楷体_GB2312;楷体" w:eastAsia="楷体_GB2312;楷体" w:cs="楷体_GB2312;楷体" w:hint="eastAsia"/>
          <w:kern w:val="0"/>
          <w:sz w:val="32"/>
          <w:szCs w:val="32"/>
          <w:shd w:fill="FFFFFF" w:val="clear"/>
        </w:rPr>
      </w:pPr>
      <w:r>
        <w:rPr>
          <w:rFonts w:ascii="楷体_GB2312;楷体" w:hAnsi="楷体_GB2312;楷体" w:cs="楷体_GB2312;楷体" w:hint="eastAsia" w:eastAsia="楷体_GB2312;楷体"/>
          <w:kern w:val="0"/>
          <w:sz w:val="32"/>
          <w:szCs w:val="32"/>
          <w:shd w:fill="FFFFFF" w:val="clear"/>
        </w:rPr>
        <w:t>第一章  总则</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textAlignment w:val="auto"/>
        <w:rPr>
          <w:rFonts w:ascii="楷体_GB2312;楷体" w:hAnsi="楷体_GB2312;楷体" w:eastAsia="楷体_GB2312;楷体" w:cs="楷体_GB2312;楷体" w:hint="eastAsia"/>
          <w:kern w:val="0"/>
          <w:sz w:val="32"/>
          <w:szCs w:val="32"/>
          <w:shd w:fill="FFFFFF" w:val="clear"/>
        </w:rPr>
      </w:pPr>
      <w:r>
        <w:rPr>
          <w:rFonts w:ascii="楷体_GB2312;楷体" w:hAnsi="楷体_GB2312;楷体" w:cs="楷体_GB2312;楷体" w:hint="eastAsia" w:eastAsia="楷体_GB2312;楷体"/>
          <w:kern w:val="0"/>
          <w:sz w:val="32"/>
          <w:szCs w:val="32"/>
          <w:shd w:fill="FFFFFF" w:val="clear"/>
        </w:rPr>
        <w:t>第二章  监督管理</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textAlignment w:val="auto"/>
        <w:rPr>
          <w:rFonts w:ascii="楷体_GB2312;楷体" w:hAnsi="楷体_GB2312;楷体" w:eastAsia="楷体_GB2312;楷体" w:cs="楷体_GB2312;楷体" w:hint="eastAsia"/>
          <w:kern w:val="0"/>
          <w:sz w:val="32"/>
          <w:szCs w:val="32"/>
          <w:shd w:fill="FFFFFF" w:val="clear"/>
        </w:rPr>
      </w:pPr>
      <w:r>
        <w:rPr>
          <w:rFonts w:ascii="楷体_GB2312;楷体" w:hAnsi="楷体_GB2312;楷体" w:cs="楷体_GB2312;楷体" w:hint="eastAsia" w:eastAsia="楷体_GB2312;楷体"/>
          <w:kern w:val="0"/>
          <w:sz w:val="32"/>
          <w:szCs w:val="32"/>
          <w:shd w:fill="FFFFFF" w:val="clear"/>
        </w:rPr>
        <w:t>第三章  污染防治</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textAlignment w:val="auto"/>
        <w:rPr>
          <w:rFonts w:ascii="楷体_GB2312;楷体" w:hAnsi="楷体_GB2312;楷体" w:eastAsia="楷体_GB2312;楷体" w:cs="楷体_GB2312;楷体" w:hint="eastAsia"/>
          <w:kern w:val="0"/>
          <w:sz w:val="32"/>
          <w:szCs w:val="32"/>
          <w:shd w:fill="FFFFFF" w:val="clear"/>
        </w:rPr>
      </w:pPr>
      <w:r>
        <w:rPr>
          <w:rFonts w:ascii="楷体_GB2312;楷体" w:hAnsi="楷体_GB2312;楷体" w:cs="楷体_GB2312;楷体" w:hint="eastAsia" w:eastAsia="楷体_GB2312;楷体"/>
          <w:kern w:val="0"/>
          <w:sz w:val="32"/>
          <w:szCs w:val="32"/>
          <w:shd w:fill="FFFFFF" w:val="clear"/>
        </w:rPr>
        <w:t>第四章  法律责任</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textAlignment w:val="auto"/>
        <w:rPr>
          <w:rFonts w:ascii="楷体_GB2312;楷体" w:hAnsi="楷体_GB2312;楷体" w:eastAsia="楷体_GB2312;楷体" w:cs="楷体_GB2312;楷体" w:hint="eastAsia"/>
          <w:kern w:val="0"/>
          <w:sz w:val="32"/>
          <w:szCs w:val="32"/>
          <w:shd w:fill="FFFFFF" w:val="clear"/>
        </w:rPr>
      </w:pPr>
      <w:r>
        <w:rPr>
          <w:rFonts w:ascii="楷体_GB2312;楷体" w:hAnsi="楷体_GB2312;楷体" w:cs="楷体_GB2312;楷体" w:hint="eastAsia" w:eastAsia="楷体_GB2312;楷体"/>
          <w:kern w:val="0"/>
          <w:sz w:val="32"/>
          <w:szCs w:val="32"/>
          <w:shd w:fill="FFFFFF" w:val="clear"/>
        </w:rPr>
        <w:t>第五章  附则</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textAlignment w:val="auto"/>
        <w:rPr>
          <w:rFonts w:ascii="楷体_GB2312;楷体" w:hAnsi="楷体_GB2312;楷体" w:eastAsia="楷体_GB2312;楷体" w:cs="楷体_GB2312;楷体" w:hint="eastAsia"/>
          <w:kern w:val="0"/>
          <w:sz w:val="32"/>
          <w:szCs w:val="32"/>
          <w:shd w:fill="FFFFFF" w:val="clear"/>
        </w:rPr>
      </w:pPr>
      <w:r>
        <w:rPr>
          <w:rFonts w:eastAsia="楷体_GB2312;楷体" w:cs="楷体_GB2312;楷体" w:hint="eastAsia" w:ascii="楷体_GB2312;楷体" w:hAnsi="楷体_GB2312;楷体"/>
          <w:kern w:val="0"/>
          <w:sz w:val="32"/>
          <w:szCs w:val="32"/>
          <w:shd w:fill="FFFFFF" w:val="clear"/>
        </w:rPr>
      </w:r>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黑体" w:hAnsi="黑体" w:eastAsia="黑体" w:cs="黑体" w:hint="eastAsia"/>
          <w:sz w:val="32"/>
          <w:szCs w:val="32"/>
        </w:rPr>
      </w:pPr>
      <w:r>
        <w:rPr>
          <w:rFonts w:ascii="黑体" w:hAnsi="黑体" w:cs="黑体" w:hint="eastAsia" w:eastAsia="黑体"/>
          <w:sz w:val="32"/>
          <w:szCs w:val="32"/>
        </w:rPr>
        <w:t xml:space="preserve">第一章  总  则 </w:t>
      </w:r>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kinsoku w:val="true"/>
        <w:overflowPunct w:val="true"/>
        <w:autoSpaceDE w:val="true"/>
        <w:bidi w:val="0"/>
        <w:spacing w:lineRule="exact" w:line="586" w:before="0" w:after="0"/>
        <w:ind w:firstLineChars="202" w:startChars="0" w:start="0" w:endChars="0" w:end="0"/>
        <w:jc w:val="both"/>
        <w:textAlignment w:val="auto"/>
        <w:rPr>
          <w:rFonts w:ascii="Times New Roman" w:hAnsi="Times New Roman" w:eastAsia="仿宋_GB2312;仿宋" w:cs="Times New Roman"/>
          <w:sz w:val="32"/>
          <w:szCs w:val="32"/>
        </w:rPr>
      </w:pPr>
      <w:r>
        <w:rPr>
          <w:rFonts w:ascii="黑体" w:hAnsi="黑体" w:cs="黑体" w:hint="eastAsia" w:eastAsia="黑体"/>
          <w:sz w:val="32"/>
          <w:szCs w:val="32"/>
        </w:rPr>
        <w:t>第一条</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为了保护和改善生态环境，防治水污染，维护公众健康，推进生态文明建设，促进经济社会可持续发展，根据《中华人民共和国水污染防治法》《山西省水污染防治条例》等法律、法规，结合本市实际，制定本条例。</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第二条</w:t>
      </w:r>
      <w:r>
        <w:rPr>
          <w:rFonts w:ascii="黑体" w:hAnsi="黑体" w:cs="黑体" w:hint="eastAsia" w:eastAsia="黑体"/>
          <w:kern w:val="0"/>
          <w:sz w:val="32"/>
          <w:szCs w:val="32"/>
        </w:rPr>
        <w:t xml:space="preserve">  </w:t>
      </w:r>
      <w:r>
        <w:rPr>
          <w:rFonts w:eastAsia="仿宋_GB2312;仿宋"/>
          <w:kern w:val="0"/>
          <w:sz w:val="32"/>
          <w:szCs w:val="32"/>
        </w:rPr>
        <w:t>本市行政区域内的河流、</w:t>
      </w:r>
      <w:r>
        <w:rPr>
          <w:rFonts w:hint="eastAsia" w:eastAsia="仿宋_GB2312;仿宋"/>
          <w:kern w:val="0"/>
          <w:sz w:val="32"/>
          <w:szCs w:val="32"/>
        </w:rPr>
        <w:t>湖泊、</w:t>
      </w:r>
      <w:r>
        <w:rPr>
          <w:rFonts w:eastAsia="仿宋_GB2312;仿宋"/>
          <w:kern w:val="0"/>
          <w:sz w:val="32"/>
          <w:szCs w:val="32"/>
        </w:rPr>
        <w:t>渠道、水库、湿地等地表水体以及地下水体的污染防治，适用本条例。</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第三条</w:t>
      </w:r>
      <w:r>
        <w:rPr>
          <w:rFonts w:hint="eastAsia" w:eastAsia="仿宋_GB2312;仿宋"/>
          <w:sz w:val="32"/>
          <w:szCs w:val="32"/>
        </w:rPr>
        <w:t xml:space="preserve">  </w:t>
      </w:r>
      <w:r>
        <w:rPr>
          <w:rFonts w:eastAsia="仿宋_GB2312;仿宋"/>
          <w:kern w:val="0"/>
          <w:sz w:val="32"/>
          <w:szCs w:val="32"/>
        </w:rPr>
        <w:t>水污染防治应当以改善水环境质量为目标，坚持预防为主、保护优先、防治结合、综合治理、损害担责的原则。</w:t>
      </w:r>
    </w:p>
    <w:p>
      <w:pPr>
        <w:pStyle w:val="Normal"/>
        <w:keepNext w:val="false"/>
        <w:keepLines w:val="false"/>
        <w:pageBreakBefore w:val="false"/>
        <w:widowControl w:val="false"/>
        <w:tabs>
          <w:tab w:val="clear" w:pos="420"/>
          <w:tab w:val="left" w:pos="8610" w:leader="none"/>
        </w:tabs>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第四条</w:t>
      </w:r>
      <w:r>
        <w:rPr>
          <w:rFonts w:ascii="黑体" w:hAnsi="黑体" w:cs="黑体" w:hint="eastAsia" w:eastAsia="黑体"/>
          <w:kern w:val="0"/>
          <w:sz w:val="32"/>
          <w:szCs w:val="32"/>
        </w:rPr>
        <w:t xml:space="preserve">  </w:t>
      </w:r>
      <w:r>
        <w:rPr>
          <w:rFonts w:eastAsia="仿宋_GB2312;仿宋"/>
          <w:kern w:val="0"/>
          <w:sz w:val="32"/>
          <w:szCs w:val="32"/>
        </w:rPr>
        <w:t>市、县（区）人民政府应当将水环境保护工作纳入国民经济和社会发展规划，对本行政区域内的水环境质量负责。</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市、县（区）人民政府应当保障水污染防治资金投入，采取措施防治水污染。</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乡（镇）人民政府、街道办事处应当做好辖区内饮用水安全、</w:t>
      </w:r>
      <w:r>
        <w:rPr>
          <w:rFonts w:hint="eastAsia" w:eastAsia="仿宋_GB2312;仿宋"/>
          <w:kern w:val="0"/>
          <w:sz w:val="32"/>
          <w:szCs w:val="32"/>
        </w:rPr>
        <w:t>农业和农村水污染防治、</w:t>
      </w:r>
      <w:r>
        <w:rPr>
          <w:rFonts w:eastAsia="仿宋_GB2312;仿宋"/>
          <w:kern w:val="0"/>
          <w:sz w:val="32"/>
          <w:szCs w:val="32"/>
        </w:rPr>
        <w:t>环境基础设施建设运行等水污染防治工作。</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第五条</w:t>
      </w:r>
      <w:r>
        <w:rPr>
          <w:rFonts w:ascii="黑体" w:hAnsi="黑体" w:cs="黑体" w:hint="eastAsia" w:eastAsia="黑体"/>
          <w:kern w:val="0"/>
          <w:sz w:val="32"/>
          <w:szCs w:val="32"/>
        </w:rPr>
        <w:t xml:space="preserve">  </w:t>
      </w:r>
      <w:r>
        <w:rPr>
          <w:rFonts w:eastAsia="仿宋_GB2312;仿宋"/>
          <w:kern w:val="0"/>
          <w:sz w:val="32"/>
          <w:szCs w:val="32"/>
        </w:rPr>
        <w:t>市、县（区）人民政府生态环境主管部门对本行政区域内水污染防治工作实施统一监督管理。</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市、县（区）人民政府水务、住房和城乡建设、发展和改革、工业和信息化、财政、规划和自然资源、交通运输、农业农村、卫生健康、公安、应急管理等部门在各自职责范围内，做好水污染防治工作。</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hint="eastAsia"/>
          <w:kern w:val="0"/>
          <w:sz w:val="32"/>
          <w:szCs w:val="32"/>
        </w:rPr>
      </w:pPr>
      <w:r>
        <w:rPr>
          <w:rFonts w:ascii="黑体" w:hAnsi="黑体" w:cs="黑体" w:hint="eastAsia" w:eastAsia="黑体"/>
          <w:kern w:val="0"/>
          <w:sz w:val="32"/>
          <w:szCs w:val="32"/>
        </w:rPr>
        <w:t>第六条</w:t>
      </w:r>
      <w:r>
        <w:rPr>
          <w:rFonts w:hint="eastAsia" w:eastAsia="仿宋_GB2312;仿宋"/>
          <w:kern w:val="0"/>
          <w:sz w:val="32"/>
          <w:szCs w:val="32"/>
        </w:rPr>
        <w:t xml:space="preserve">  </w:t>
      </w:r>
      <w:r>
        <w:rPr>
          <w:rFonts w:eastAsia="仿宋_GB2312;仿宋"/>
          <w:kern w:val="0"/>
          <w:sz w:val="32"/>
          <w:szCs w:val="32"/>
        </w:rPr>
        <w:t>市、县（区）</w:t>
      </w:r>
      <w:r>
        <w:rPr>
          <w:rFonts w:hint="eastAsia" w:eastAsia="仿宋_GB2312;仿宋"/>
          <w:kern w:val="0"/>
          <w:sz w:val="32"/>
          <w:szCs w:val="32"/>
        </w:rPr>
        <w:t>人民政府及其有关部门应当加强水环境保护的宣传教育，增强全社会水污染防治意识，引导公众参与水环境保护工作。</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hint="eastAsia"/>
          <w:kern w:val="0"/>
          <w:sz w:val="32"/>
          <w:szCs w:val="32"/>
        </w:rPr>
      </w:pPr>
      <w:r>
        <w:rPr>
          <w:rFonts w:hint="eastAsia" w:eastAsia="仿宋_GB2312;仿宋"/>
          <w:kern w:val="0"/>
          <w:sz w:val="32"/>
          <w:szCs w:val="32"/>
        </w:rPr>
        <w:t>鼓励、支持水污染防治的科学技术研究和先进适用技术的推广应用。</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hint="eastAsia"/>
          <w:kern w:val="0"/>
          <w:sz w:val="32"/>
          <w:szCs w:val="32"/>
        </w:rPr>
      </w:pPr>
      <w:r>
        <w:rPr>
          <w:rFonts w:eastAsia="仿宋_GB2312;仿宋" w:hint="eastAsia"/>
          <w:kern w:val="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center"/>
        <w:textAlignment w:val="auto"/>
        <w:rPr>
          <w:rFonts w:ascii="黑体" w:hAnsi="黑体" w:eastAsia="黑体" w:cs="黑体"/>
          <w:kern w:val="0"/>
          <w:sz w:val="32"/>
          <w:szCs w:val="32"/>
        </w:rPr>
      </w:pPr>
      <w:r>
        <w:rPr>
          <w:rFonts w:ascii="黑体" w:hAnsi="黑体" w:cs="黑体" w:eastAsia="黑体"/>
          <w:kern w:val="0"/>
          <w:sz w:val="32"/>
          <w:szCs w:val="32"/>
        </w:rPr>
        <w:t>第二章</w:t>
      </w:r>
      <w:r>
        <w:rPr>
          <w:rFonts w:ascii="黑体" w:hAnsi="黑体" w:cs="黑体" w:hint="eastAsia" w:eastAsia="黑体"/>
          <w:kern w:val="0"/>
          <w:sz w:val="32"/>
          <w:szCs w:val="32"/>
        </w:rPr>
        <w:t xml:space="preserve">  </w:t>
      </w:r>
      <w:r>
        <w:rPr>
          <w:rFonts w:ascii="黑体" w:hAnsi="黑体" w:cs="黑体" w:eastAsia="黑体"/>
          <w:kern w:val="0"/>
          <w:sz w:val="32"/>
          <w:szCs w:val="32"/>
        </w:rPr>
        <w:t>监督管理</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center"/>
        <w:textAlignment w:val="auto"/>
        <w:rPr>
          <w:rFonts w:ascii="黑体" w:hAnsi="黑体" w:eastAsia="黑体" w:cs="黑体"/>
          <w:kern w:val="0"/>
          <w:sz w:val="32"/>
          <w:szCs w:val="32"/>
        </w:rPr>
      </w:pPr>
      <w:r>
        <w:rPr>
          <w:rFonts w:eastAsia="黑体" w:cs="黑体" w:ascii="黑体" w:hAnsi="黑体"/>
          <w:kern w:val="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第七条</w:t>
      </w:r>
      <w:r>
        <w:rPr>
          <w:rFonts w:hint="eastAsia" w:eastAsia="仿宋_GB2312;仿宋"/>
          <w:b/>
          <w:sz w:val="32"/>
          <w:szCs w:val="32"/>
        </w:rPr>
        <w:t xml:space="preserve">  </w:t>
      </w:r>
      <w:r>
        <w:rPr>
          <w:rFonts w:eastAsia="仿宋_GB2312;仿宋"/>
          <w:kern w:val="0"/>
          <w:sz w:val="32"/>
          <w:szCs w:val="32"/>
        </w:rPr>
        <w:t>排放水污染物，不得超过国家或者地方规定的污染物排放标准和重点水污染物排放总量控制指标。</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县（区）人民政府应当根据市人民政府</w:t>
      </w:r>
      <w:r>
        <w:rPr>
          <w:rFonts w:hint="eastAsia" w:eastAsia="仿宋_GB2312;仿宋"/>
          <w:kern w:val="0"/>
          <w:sz w:val="32"/>
          <w:szCs w:val="32"/>
        </w:rPr>
        <w:t>分解</w:t>
      </w:r>
      <w:r>
        <w:rPr>
          <w:rFonts w:eastAsia="仿宋_GB2312;仿宋"/>
          <w:kern w:val="0"/>
          <w:sz w:val="32"/>
          <w:szCs w:val="32"/>
        </w:rPr>
        <w:t>的水污染物排放总量控制指标，结合本行政区域内水环境质量改善目标，组织制定本行政区域内的水污染物排放总量控制实施方案，报市人民政府备案。未达到水环境质量改善目标要求的，应当制定限期达标方案，并向社会公开。</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第八条</w:t>
      </w:r>
      <w:r>
        <w:rPr>
          <w:rFonts w:hint="eastAsia" w:eastAsia="仿宋_GB2312;仿宋"/>
          <w:b/>
          <w:sz w:val="32"/>
          <w:szCs w:val="32"/>
        </w:rPr>
        <w:t xml:space="preserve">  </w:t>
      </w:r>
      <w:r>
        <w:rPr>
          <w:rFonts w:eastAsia="仿宋_GB2312;仿宋"/>
          <w:kern w:val="0"/>
          <w:sz w:val="32"/>
          <w:szCs w:val="32"/>
        </w:rPr>
        <w:t>实行河长制，分级分段组织领导本辖区河流的水资源保护、水域岸线管理、水污染防治、水环境治理、水生态修复、执法监管等工作。</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b/>
          <w:kern w:val="0"/>
          <w:sz w:val="32"/>
          <w:szCs w:val="32"/>
          <w:highlight w:val="yellow"/>
        </w:rPr>
      </w:pPr>
      <w:r>
        <w:rPr>
          <w:rFonts w:eastAsia="仿宋_GB2312;仿宋"/>
          <w:kern w:val="0"/>
          <w:sz w:val="32"/>
          <w:szCs w:val="32"/>
        </w:rPr>
        <w:t>市、县（区）人民政府应当加强水污染防治工作领导，建立河长会议制度、信息共享制度和工作督察制度，协调解决河流管理保护的重点难点问题，定期通报河流管理保护情况，对河长履职情况进行督察。</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rPr>
      </w:pPr>
      <w:r>
        <w:rPr>
          <w:rFonts w:ascii="黑体" w:hAnsi="黑体" w:cs="黑体" w:eastAsia="黑体"/>
          <w:kern w:val="0"/>
          <w:sz w:val="32"/>
          <w:szCs w:val="32"/>
        </w:rPr>
        <w:t>第九条</w:t>
      </w:r>
      <w:r>
        <w:rPr>
          <w:rFonts w:ascii="黑体" w:hAnsi="黑体" w:cs="黑体" w:hint="eastAsia" w:eastAsia="黑体"/>
          <w:kern w:val="0"/>
          <w:sz w:val="32"/>
          <w:szCs w:val="32"/>
        </w:rPr>
        <w:t xml:space="preserve">  </w:t>
      </w:r>
      <w:r>
        <w:rPr>
          <w:rFonts w:hint="eastAsia" w:eastAsia="仿宋_GB2312;仿宋"/>
          <w:kern w:val="0"/>
          <w:sz w:val="32"/>
          <w:szCs w:val="32"/>
        </w:rPr>
        <w:t>依法</w:t>
      </w:r>
      <w:r>
        <w:rPr>
          <w:rFonts w:eastAsia="仿宋_GB2312;仿宋"/>
          <w:kern w:val="0"/>
          <w:sz w:val="32"/>
          <w:szCs w:val="32"/>
        </w:rPr>
        <w:t>取得</w:t>
      </w:r>
      <w:r>
        <w:rPr>
          <w:rFonts w:eastAsia="仿宋_GB2312;仿宋"/>
          <w:sz w:val="32"/>
          <w:szCs w:val="32"/>
        </w:rPr>
        <w:t>排污许可证的排污单位应当按照排污许可证规定排放水污染物的种类、浓度、总量和排放去向等要求排放水污染物。</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第十条</w:t>
      </w:r>
      <w:r>
        <w:rPr>
          <w:rFonts w:ascii="黑体" w:hAnsi="黑体" w:cs="黑体" w:hint="eastAsia" w:eastAsia="黑体"/>
          <w:kern w:val="0"/>
          <w:sz w:val="32"/>
          <w:szCs w:val="32"/>
        </w:rPr>
        <w:t xml:space="preserve">  </w:t>
      </w:r>
      <w:r>
        <w:rPr>
          <w:rFonts w:eastAsia="仿宋_GB2312;仿宋"/>
          <w:kern w:val="0"/>
          <w:sz w:val="32"/>
          <w:szCs w:val="32"/>
        </w:rPr>
        <w:t>在河流、湿地新建、改建、扩建排污口的，建设单位应当报经属地有管辖权的部门同意后方可建设；涉及渔业水域的，审批部门在审批环境影响评价文件时，应当书面征求渔业主管部门的意见。</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第十一条</w:t>
      </w:r>
      <w:r>
        <w:rPr>
          <w:rFonts w:ascii="黑体" w:hAnsi="黑体" w:cs="黑体" w:hint="eastAsia" w:eastAsia="黑体"/>
          <w:kern w:val="0"/>
          <w:sz w:val="32"/>
          <w:szCs w:val="32"/>
        </w:rPr>
        <w:t xml:space="preserve">  </w:t>
      </w:r>
      <w:r>
        <w:rPr>
          <w:rFonts w:eastAsia="仿宋_GB2312;仿宋"/>
          <w:kern w:val="0"/>
          <w:sz w:val="32"/>
          <w:szCs w:val="32"/>
        </w:rPr>
        <w:t>实行排污许可管理的企业事业单位和其他生产经营者应当按照有关规定和监测规范对本单位排污情况自行监测，建立监测数据档案，</w:t>
      </w:r>
      <w:r>
        <w:rPr>
          <w:rFonts w:eastAsia="仿宋_GB2312;仿宋"/>
          <w:sz w:val="32"/>
          <w:szCs w:val="32"/>
        </w:rPr>
        <w:t>保存原始监测记录，</w:t>
      </w:r>
      <w:r>
        <w:rPr>
          <w:rFonts w:eastAsia="仿宋_GB2312;仿宋"/>
          <w:kern w:val="0"/>
          <w:sz w:val="32"/>
          <w:szCs w:val="32"/>
        </w:rPr>
        <w:t>对监测数据的真实性和准确性负责，并向社会公开。</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rPr>
      </w:pPr>
      <w:r>
        <w:rPr>
          <w:rFonts w:eastAsia="仿宋_GB2312;仿宋"/>
          <w:sz w:val="32"/>
          <w:szCs w:val="32"/>
        </w:rPr>
        <w:t>重点排污单位应当安装水污染物排放自动监测设备，与生态环境主管部门的监控设备联网，并保证监测设备正常运行。</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sz w:val="32"/>
          <w:szCs w:val="32"/>
        </w:rPr>
        <w:t>排</w:t>
      </w:r>
      <w:r>
        <w:rPr>
          <w:rFonts w:eastAsia="仿宋_GB2312;仿宋"/>
          <w:kern w:val="0"/>
          <w:sz w:val="32"/>
          <w:szCs w:val="32"/>
        </w:rPr>
        <w:t>放有毒有害水污染</w:t>
      </w:r>
      <w:r>
        <w:rPr>
          <w:rFonts w:hint="eastAsia" w:eastAsia="仿宋_GB2312;仿宋"/>
          <w:kern w:val="0"/>
          <w:sz w:val="32"/>
          <w:szCs w:val="32"/>
        </w:rPr>
        <w:t>名录中所列</w:t>
      </w:r>
      <w:r>
        <w:rPr>
          <w:rFonts w:eastAsia="仿宋_GB2312;仿宋"/>
          <w:kern w:val="0"/>
          <w:sz w:val="32"/>
          <w:szCs w:val="32"/>
        </w:rPr>
        <w:t>有毒有害水污染物的</w:t>
      </w:r>
      <w:r>
        <w:rPr>
          <w:rFonts w:hint="eastAsia" w:eastAsia="仿宋_GB2312;仿宋"/>
          <w:kern w:val="0"/>
          <w:sz w:val="32"/>
          <w:szCs w:val="32"/>
        </w:rPr>
        <w:t>单位和其他生产经营者，应当对</w:t>
      </w:r>
      <w:r>
        <w:rPr>
          <w:rFonts w:eastAsia="仿宋_GB2312;仿宋"/>
          <w:kern w:val="0"/>
          <w:sz w:val="32"/>
          <w:szCs w:val="32"/>
        </w:rPr>
        <w:t>排污口和周边环境进行监测，评估环境风险，排查环境安全隐患，并公开有毒有害水污染物信息。</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第十二条</w:t>
      </w:r>
      <w:r>
        <w:rPr>
          <w:rFonts w:ascii="黑体" w:hAnsi="黑体" w:cs="黑体" w:hint="eastAsia" w:eastAsia="黑体"/>
          <w:kern w:val="0"/>
          <w:sz w:val="32"/>
          <w:szCs w:val="32"/>
        </w:rPr>
        <w:t xml:space="preserve">  </w:t>
      </w:r>
      <w:r>
        <w:rPr>
          <w:rFonts w:eastAsia="仿宋_GB2312;仿宋"/>
          <w:kern w:val="0"/>
          <w:sz w:val="32"/>
          <w:szCs w:val="32"/>
        </w:rPr>
        <w:t>实行水污染防治目标责任制和考核评价制度。</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市人民政府应当根据水环境质量改善目标需要，确定水污染防治任务，制定考核评价指标，定期对县（区）人民政府完成情况进行考核评价，并向社会公开。</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对超过重点水污染物排放总量控制指标或者未达到水环境质量改善目标的县（区），市人民政府及其生态环境主管部门应当约谈县</w:t>
      </w:r>
      <w:r>
        <w:rPr>
          <w:rFonts w:hint="eastAsia" w:eastAsia="仿宋_GB2312;仿宋"/>
          <w:kern w:val="0"/>
          <w:sz w:val="32"/>
          <w:szCs w:val="32"/>
        </w:rPr>
        <w:t>（</w:t>
      </w:r>
      <w:r>
        <w:rPr>
          <w:rFonts w:eastAsia="仿宋_GB2312;仿宋"/>
          <w:kern w:val="0"/>
          <w:sz w:val="32"/>
          <w:szCs w:val="32"/>
        </w:rPr>
        <w:t>区</w:t>
      </w:r>
      <w:r>
        <w:rPr>
          <w:rFonts w:hint="eastAsia" w:eastAsia="仿宋_GB2312;仿宋"/>
          <w:kern w:val="0"/>
          <w:sz w:val="32"/>
          <w:szCs w:val="32"/>
        </w:rPr>
        <w:t>）</w:t>
      </w:r>
      <w:r>
        <w:rPr>
          <w:rFonts w:eastAsia="仿宋_GB2312;仿宋"/>
          <w:kern w:val="0"/>
          <w:sz w:val="32"/>
          <w:szCs w:val="32"/>
        </w:rPr>
        <w:t>人民政府的主要负责人，并暂停审批该县</w:t>
      </w:r>
      <w:r>
        <w:rPr>
          <w:rFonts w:hint="eastAsia" w:eastAsia="仿宋_GB2312;仿宋"/>
          <w:kern w:val="0"/>
          <w:sz w:val="32"/>
          <w:szCs w:val="32"/>
        </w:rPr>
        <w:t>（</w:t>
      </w:r>
      <w:r>
        <w:rPr>
          <w:rFonts w:eastAsia="仿宋_GB2312;仿宋"/>
          <w:kern w:val="0"/>
          <w:sz w:val="32"/>
          <w:szCs w:val="32"/>
        </w:rPr>
        <w:t>区</w:t>
      </w:r>
      <w:r>
        <w:rPr>
          <w:rFonts w:hint="eastAsia" w:eastAsia="仿宋_GB2312;仿宋"/>
          <w:kern w:val="0"/>
          <w:sz w:val="32"/>
          <w:szCs w:val="32"/>
        </w:rPr>
        <w:t>）</w:t>
      </w:r>
      <w:r>
        <w:rPr>
          <w:rFonts w:eastAsia="仿宋_GB2312;仿宋"/>
          <w:kern w:val="0"/>
          <w:sz w:val="32"/>
          <w:szCs w:val="32"/>
        </w:rPr>
        <w:t>新增涉及水污染物排放建设项目的环境影响评价文件。约谈和暂停审批情况应当向社会公开。</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第十三条</w:t>
      </w:r>
      <w:r>
        <w:rPr>
          <w:rFonts w:hint="eastAsia" w:eastAsia="仿宋_GB2312;仿宋"/>
          <w:bCs/>
          <w:sz w:val="32"/>
          <w:szCs w:val="32"/>
        </w:rPr>
        <w:t xml:space="preserve">  </w:t>
      </w:r>
      <w:r>
        <w:rPr>
          <w:rFonts w:eastAsia="仿宋_GB2312;仿宋"/>
          <w:kern w:val="0"/>
          <w:sz w:val="32"/>
          <w:szCs w:val="32"/>
        </w:rPr>
        <w:t>实行水环境质量生态补偿机制，补偿办法由市人民政府制定。</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第十四条</w:t>
      </w:r>
      <w:r>
        <w:rPr>
          <w:rFonts w:hint="eastAsia" w:eastAsia="仿宋_GB2312;仿宋"/>
          <w:sz w:val="32"/>
          <w:szCs w:val="32"/>
        </w:rPr>
        <w:t xml:space="preserve">  </w:t>
      </w:r>
      <w:r>
        <w:rPr>
          <w:rFonts w:eastAsia="仿宋_GB2312;仿宋"/>
          <w:kern w:val="0"/>
          <w:sz w:val="32"/>
          <w:szCs w:val="32"/>
        </w:rPr>
        <w:t>建立健全水环境质量和污染源监测预警体系，实行数据共享。加强对重点污染源、重点河流断面、饮用水水源地、地下水、水环境功能区等的监测、预警和监督管理。</w:t>
      </w:r>
    </w:p>
    <w:p>
      <w:pPr>
        <w:pStyle w:val="Style15"/>
        <w:keepNext w:val="false"/>
        <w:keepLines w:val="false"/>
        <w:pageBreakBefore w:val="false"/>
        <w:widowControl w:val="false"/>
        <w:kinsoku w:val="true"/>
        <w:overflowPunct w:val="true"/>
        <w:autoSpaceDE w:val="true"/>
        <w:bidi w:val="0"/>
        <w:spacing w:lineRule="exact" w:line="586" w:before="0" w:after="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发现重点污染物排放超过控制指标或者水质未达到水环境功能区划要求的，生态环境主管部门应当及时查明原因并</w:t>
      </w:r>
      <w:r>
        <w:rPr>
          <w:rFonts w:ascii="Times New Roman" w:hAnsi="Times New Roman" w:cs="Times New Roman" w:hint="eastAsia" w:eastAsia="仿宋_GB2312;仿宋"/>
          <w:sz w:val="32"/>
          <w:szCs w:val="32"/>
        </w:rPr>
        <w:t>依法</w:t>
      </w:r>
      <w:r>
        <w:rPr>
          <w:rFonts w:ascii="Times New Roman" w:hAnsi="Times New Roman" w:cs="Times New Roman" w:eastAsia="仿宋_GB2312;仿宋"/>
          <w:sz w:val="32"/>
          <w:szCs w:val="32"/>
        </w:rPr>
        <w:t>采取限制生产、停产整顿等措施。</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第十五条</w:t>
      </w:r>
      <w:r>
        <w:rPr>
          <w:rFonts w:ascii="黑体" w:hAnsi="黑体" w:cs="黑体" w:hint="eastAsia" w:eastAsia="黑体"/>
          <w:kern w:val="0"/>
          <w:sz w:val="32"/>
          <w:szCs w:val="32"/>
        </w:rPr>
        <w:t xml:space="preserve">  </w:t>
      </w:r>
      <w:r>
        <w:rPr>
          <w:rFonts w:eastAsia="仿宋_GB2312;仿宋"/>
          <w:kern w:val="0"/>
          <w:sz w:val="32"/>
          <w:szCs w:val="32"/>
        </w:rPr>
        <w:t>生态环境、水务等有关部门应当通过政府和本部门的网站或者其他便于公众查阅方式，定期公开下列信息：</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（一）水环境质量</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（二）各级河长名单</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（三）重点水污染项目市场准入负面清单</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（四）重点水污染物的种类、排放控制和削减情况</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hint="eastAsia" w:eastAsia="仿宋_GB2312;仿宋"/>
          <w:kern w:val="0"/>
          <w:sz w:val="32"/>
          <w:szCs w:val="32"/>
        </w:rPr>
        <w:t>（</w:t>
      </w:r>
      <w:r>
        <w:rPr>
          <w:rFonts w:eastAsia="仿宋_GB2312;仿宋"/>
          <w:kern w:val="0"/>
          <w:sz w:val="32"/>
          <w:szCs w:val="32"/>
        </w:rPr>
        <w:t>五）应当安装水污染物排放自动监测设备的重点排污单位名录</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（六）排放有毒有害水污染物的单位名单</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（七）突发水环境事件以及应对情况</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（八）水环境行政许可、行政强制、行政处罚情况</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（九）其他依法应当公开的水环境信息。</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第十六条</w:t>
      </w:r>
      <w:r>
        <w:rPr>
          <w:rFonts w:hint="eastAsia" w:eastAsia="仿宋_GB2312;仿宋"/>
          <w:sz w:val="32"/>
          <w:szCs w:val="32"/>
        </w:rPr>
        <w:t xml:space="preserve">  </w:t>
      </w:r>
      <w:r>
        <w:rPr>
          <w:rFonts w:eastAsia="仿宋_GB2312;仿宋"/>
          <w:kern w:val="0"/>
          <w:sz w:val="32"/>
          <w:szCs w:val="32"/>
        </w:rPr>
        <w:t>市、县（区）人民政府应当组织制定和完善水污染事故应急预案，规范突发水环境事件的风险控制、应急准备、应急处置和事后恢复等工作，明确责任主体、预警预报与响应程序以及保障措施等内容，报上一级人民政府及其主管部门备案。</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可能发生水污染事故的企业事业单位应当制定有关水污染事故的应急预案，定期进行演练，做好应急准备。</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hint="eastAsia"/>
          <w:kern w:val="0"/>
          <w:sz w:val="32"/>
          <w:szCs w:val="32"/>
        </w:rPr>
      </w:pPr>
      <w:r>
        <w:rPr>
          <w:rFonts w:ascii="黑体" w:hAnsi="黑体" w:cs="黑体" w:eastAsia="黑体"/>
          <w:kern w:val="0"/>
          <w:sz w:val="32"/>
          <w:szCs w:val="32"/>
        </w:rPr>
        <w:t>第十七条</w:t>
      </w:r>
      <w:r>
        <w:rPr>
          <w:rFonts w:ascii="黑体" w:hAnsi="黑体" w:cs="黑体" w:hint="eastAsia" w:eastAsia="黑体"/>
          <w:kern w:val="0"/>
          <w:sz w:val="32"/>
          <w:szCs w:val="32"/>
        </w:rPr>
        <w:t xml:space="preserve">  </w:t>
      </w:r>
      <w:r>
        <w:rPr>
          <w:rFonts w:eastAsia="仿宋_GB2312;仿宋"/>
          <w:kern w:val="0"/>
          <w:sz w:val="32"/>
          <w:szCs w:val="32"/>
        </w:rPr>
        <w:t>企业事业单位发生事故或者其他突发性事件，造成或者可能造成水污染事故的，应当立即启动本单位的应急预案，采取隔离等应急措施，防止水污染物外排，</w:t>
      </w:r>
      <w:r>
        <w:rPr>
          <w:rFonts w:hint="eastAsia" w:eastAsia="仿宋_GB2312;仿宋"/>
          <w:kern w:val="0"/>
          <w:sz w:val="32"/>
          <w:szCs w:val="32"/>
        </w:rPr>
        <w:t>立即向县级以上人民政府或者生态环境主管部门报告，并通报可能受到危害的单位和居民。</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水环境受到污染，可能影响公众健康和水环境安全时，市、县（区）人民政府应当及时发布预警信息，启动应急预案。</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第十八条</w:t>
      </w:r>
      <w:r>
        <w:rPr>
          <w:rFonts w:ascii="黑体" w:hAnsi="黑体" w:cs="黑体" w:hint="eastAsia" w:eastAsia="黑体"/>
          <w:kern w:val="0"/>
          <w:sz w:val="32"/>
          <w:szCs w:val="32"/>
        </w:rPr>
        <w:t xml:space="preserve">  </w:t>
      </w:r>
      <w:r>
        <w:rPr>
          <w:rFonts w:eastAsia="仿宋_GB2312;仿宋"/>
          <w:kern w:val="0"/>
          <w:sz w:val="32"/>
          <w:szCs w:val="32"/>
        </w:rPr>
        <w:t xml:space="preserve">对水环境造成污染的企业事业单位和其他生产经营者应当承担事故处置和水生态修复责任，并对受到污染损害的单位或者个人依法予以赔偿。 </w:t>
      </w:r>
    </w:p>
    <w:p>
      <w:pPr>
        <w:pStyle w:val="Style15"/>
        <w:keepNext w:val="false"/>
        <w:keepLines w:val="false"/>
        <w:pageBreakBefore w:val="false"/>
        <w:widowControl w:val="false"/>
        <w:kinsoku w:val="true"/>
        <w:overflowPunct w:val="true"/>
        <w:autoSpaceDE w:val="true"/>
        <w:bidi w:val="0"/>
        <w:spacing w:lineRule="exact" w:line="586" w:before="0" w:after="0"/>
        <w:ind w:firstLineChars="202" w:startChars="0" w:start="0" w:endChars="0" w:end="0"/>
        <w:jc w:val="both"/>
        <w:textAlignment w:val="auto"/>
        <w:rPr>
          <w:rFonts w:ascii="Times New Roman" w:hAnsi="Times New Roman" w:eastAsia="仿宋_GB2312;仿宋" w:cs="Times New Roman"/>
          <w:sz w:val="32"/>
          <w:szCs w:val="32"/>
        </w:rPr>
      </w:pPr>
      <w:r>
        <w:rPr>
          <w:rFonts w:ascii="黑体" w:hAnsi="黑体" w:cs="黑体" w:eastAsia="黑体"/>
          <w:sz w:val="32"/>
          <w:szCs w:val="32"/>
        </w:rPr>
        <w:t>第十九条</w:t>
      </w:r>
      <w:r>
        <w:rPr>
          <w:rFonts w:ascii="Times New Roman" w:hAnsi="Times New Roman" w:cs="Times New Roman" w:hint="eastAsia" w:eastAsia="仿宋_GB2312;仿宋"/>
          <w:kern w:val="2"/>
          <w:sz w:val="32"/>
          <w:szCs w:val="32"/>
        </w:rPr>
        <w:t xml:space="preserve">  </w:t>
      </w:r>
      <w:r>
        <w:rPr>
          <w:rFonts w:ascii="Times New Roman" w:hAnsi="Times New Roman" w:cs="Times New Roman" w:eastAsia="仿宋_GB2312;仿宋"/>
          <w:sz w:val="32"/>
          <w:szCs w:val="32"/>
        </w:rPr>
        <w:t>市、县（区）人民政府应当合理规划工业布局，推动产业集约、聚集发展，实现水资源分类循环利用和水污染集中治理，合理布局开发区、工业聚集区产业和规模。</w:t>
      </w:r>
    </w:p>
    <w:p>
      <w:pPr>
        <w:pStyle w:val="Style15"/>
        <w:keepNext w:val="false"/>
        <w:keepLines w:val="false"/>
        <w:pageBreakBefore w:val="false"/>
        <w:widowControl w:val="false"/>
        <w:kinsoku w:val="true"/>
        <w:overflowPunct w:val="true"/>
        <w:autoSpaceDE w:val="true"/>
        <w:bidi w:val="0"/>
        <w:spacing w:lineRule="exact" w:line="586" w:before="0" w:after="0"/>
        <w:ind w:firstLineChars="202"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新建和现有的工业园区应当依照法律、法规规定组织开展规划环境影响评价及跟踪评价，并及时报送有审查权的行政审批主管部门审查；未经审查的或者审查不符合要求的，行政审批主管部门应当暂停审批</w:t>
      </w:r>
      <w:r>
        <w:rPr>
          <w:rFonts w:ascii="Times New Roman" w:hAnsi="Times New Roman" w:cs="Times New Roman" w:hint="eastAsia" w:eastAsia="仿宋_GB2312;仿宋"/>
          <w:sz w:val="32"/>
          <w:szCs w:val="32"/>
        </w:rPr>
        <w:t>或者</w:t>
      </w:r>
      <w:r>
        <w:rPr>
          <w:rFonts w:ascii="Times New Roman" w:hAnsi="Times New Roman" w:cs="Times New Roman" w:eastAsia="仿宋_GB2312;仿宋"/>
          <w:sz w:val="32"/>
          <w:szCs w:val="32"/>
        </w:rPr>
        <w:t>核准该工业园区增加水污染物排放的建设项目。</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工业聚集区配套建设相应的污水集中处理设施，安装自动监测设备，接受生态环境主管部门的实时监督检测。</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第二十条</w:t>
      </w:r>
      <w:r>
        <w:rPr>
          <w:rFonts w:ascii="黑体" w:hAnsi="黑体" w:cs="黑体" w:hint="eastAsia" w:eastAsia="黑体"/>
          <w:kern w:val="0"/>
          <w:sz w:val="32"/>
          <w:szCs w:val="32"/>
        </w:rPr>
        <w:t xml:space="preserve">  </w:t>
      </w:r>
      <w:r>
        <w:rPr>
          <w:rFonts w:eastAsia="仿宋_GB2312;仿宋"/>
          <w:kern w:val="0"/>
          <w:sz w:val="32"/>
          <w:szCs w:val="32"/>
        </w:rPr>
        <w:t>市、县（区）人民政府应当建立跨行政区域水污染防治协作机制，对重点流域、重点区域水污染防治工作，实行统一监测、协同治理、应急联动、信息共享，协商处理水污染纠纷。</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center"/>
        <w:textAlignment w:val="auto"/>
        <w:rPr>
          <w:rFonts w:ascii="黑体" w:hAnsi="黑体" w:eastAsia="黑体" w:cs="黑体"/>
          <w:kern w:val="0"/>
          <w:sz w:val="32"/>
          <w:szCs w:val="32"/>
        </w:rPr>
      </w:pPr>
      <w:r>
        <w:rPr>
          <w:rFonts w:eastAsia="黑体" w:cs="黑体" w:ascii="黑体" w:hAnsi="黑体"/>
          <w:kern w:val="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center"/>
        <w:textAlignment w:val="auto"/>
        <w:rPr>
          <w:rFonts w:ascii="黑体" w:hAnsi="黑体" w:eastAsia="黑体" w:cs="黑体"/>
          <w:kern w:val="0"/>
          <w:sz w:val="32"/>
          <w:szCs w:val="32"/>
        </w:rPr>
      </w:pPr>
      <w:r>
        <w:rPr>
          <w:rFonts w:ascii="黑体" w:hAnsi="黑体" w:cs="黑体" w:eastAsia="黑体"/>
          <w:kern w:val="0"/>
          <w:sz w:val="32"/>
          <w:szCs w:val="32"/>
        </w:rPr>
        <w:t>第三章</w:t>
      </w:r>
      <w:r>
        <w:rPr>
          <w:rFonts w:ascii="黑体" w:hAnsi="黑体" w:cs="黑体" w:hint="eastAsia" w:eastAsia="黑体"/>
          <w:kern w:val="0"/>
          <w:sz w:val="32"/>
          <w:szCs w:val="32"/>
        </w:rPr>
        <w:t xml:space="preserve">  </w:t>
      </w:r>
      <w:r>
        <w:rPr>
          <w:rFonts w:ascii="黑体" w:hAnsi="黑体" w:cs="黑体" w:eastAsia="黑体"/>
          <w:kern w:val="0"/>
          <w:sz w:val="32"/>
          <w:szCs w:val="32"/>
        </w:rPr>
        <w:t>污染防治</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center"/>
        <w:textAlignment w:val="auto"/>
        <w:rPr>
          <w:rFonts w:ascii="黑体" w:hAnsi="黑体" w:eastAsia="黑体" w:cs="黑体"/>
          <w:kern w:val="0"/>
          <w:sz w:val="32"/>
          <w:szCs w:val="32"/>
        </w:rPr>
      </w:pPr>
      <w:r>
        <w:rPr>
          <w:rFonts w:eastAsia="黑体" w:cs="黑体" w:ascii="黑体" w:hAnsi="黑体"/>
          <w:kern w:val="0"/>
          <w:sz w:val="32"/>
          <w:szCs w:val="32"/>
        </w:rPr>
      </w:r>
    </w:p>
    <w:p>
      <w:pPr>
        <w:pStyle w:val="Style15"/>
        <w:keepNext w:val="false"/>
        <w:keepLines w:val="false"/>
        <w:pageBreakBefore w:val="false"/>
        <w:widowControl w:val="false"/>
        <w:kinsoku w:val="true"/>
        <w:overflowPunct w:val="true"/>
        <w:autoSpaceDE w:val="true"/>
        <w:bidi w:val="0"/>
        <w:spacing w:lineRule="exact" w:line="586" w:before="0" w:after="0"/>
        <w:ind w:firstLineChars="202" w:startChars="0" w:start="0" w:endChars="0" w:end="0"/>
        <w:jc w:val="both"/>
        <w:textAlignment w:val="auto"/>
        <w:rPr>
          <w:rFonts w:ascii="Times New Roman" w:hAnsi="Times New Roman" w:eastAsia="仿宋_GB2312;仿宋" w:cs="Times New Roman"/>
          <w:sz w:val="32"/>
          <w:szCs w:val="32"/>
        </w:rPr>
      </w:pPr>
      <w:r>
        <w:rPr>
          <w:rFonts w:ascii="黑体" w:hAnsi="黑体" w:cs="黑体" w:hint="eastAsia" w:eastAsia="黑体"/>
          <w:sz w:val="32"/>
          <w:szCs w:val="32"/>
        </w:rPr>
        <w:t xml:space="preserve">第二十一条  </w:t>
      </w:r>
      <w:r>
        <w:rPr>
          <w:rFonts w:ascii="Times New Roman" w:hAnsi="Times New Roman" w:cs="Times New Roman" w:eastAsia="仿宋_GB2312;仿宋"/>
          <w:sz w:val="32"/>
          <w:szCs w:val="32"/>
        </w:rPr>
        <w:t>工业企业产生的废水应当全部收集处理，向污水集中处理设施排放废水的，废水水质执行工业企业行业标准或者集中处理设施接纳标准要求；行业标准未明确的，执行《污水综合排放标准》。向自然水体排放废水的，废水水质执行工业企业行业标准特别排放限值；行业标准未明确的，执行《污水综合排放标准》。</w:t>
      </w:r>
    </w:p>
    <w:p>
      <w:pPr>
        <w:pStyle w:val="Style15"/>
        <w:keepNext w:val="false"/>
        <w:keepLines w:val="false"/>
        <w:pageBreakBefore w:val="false"/>
        <w:widowControl w:val="false"/>
        <w:kinsoku w:val="true"/>
        <w:overflowPunct w:val="true"/>
        <w:autoSpaceDE w:val="true"/>
        <w:bidi w:val="0"/>
        <w:spacing w:lineRule="exact" w:line="586" w:before="0" w:after="0"/>
        <w:ind w:firstLineChars="202"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化工企业、涉重金属企业应当建设独立的废水输送管道，配套水质、水量在线监测设施，实现工业废水分道收集、单管管理。</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rPr>
      </w:pPr>
      <w:r>
        <w:rPr>
          <w:rFonts w:ascii="黑体" w:hAnsi="黑体" w:cs="黑体" w:eastAsia="黑体"/>
          <w:kern w:val="0"/>
          <w:sz w:val="32"/>
          <w:szCs w:val="32"/>
        </w:rPr>
        <w:t>第二十二条</w:t>
      </w:r>
      <w:r>
        <w:rPr>
          <w:rFonts w:ascii="黑体" w:hAnsi="黑体" w:cs="黑体" w:hint="eastAsia" w:eastAsia="黑体"/>
          <w:kern w:val="0"/>
          <w:sz w:val="32"/>
          <w:szCs w:val="32"/>
        </w:rPr>
        <w:t xml:space="preserve">  </w:t>
      </w:r>
      <w:r>
        <w:rPr>
          <w:rFonts w:eastAsia="仿宋_GB2312;仿宋"/>
          <w:kern w:val="0"/>
          <w:sz w:val="32"/>
          <w:szCs w:val="32"/>
        </w:rPr>
        <w:t>在桑干河、御河、十里河、口泉河、甘河、唐河、壶流河、南洋河、浑河干流及其主要支流河道管理范围内，禁止新建焦化、化工、制药、有色冶炼、造纸、电镀等高风险项目和危险化学品仓储设</w:t>
      </w:r>
      <w:r>
        <w:rPr>
          <w:rFonts w:eastAsia="仿宋_GB2312;仿宋"/>
          <w:sz w:val="32"/>
          <w:szCs w:val="32"/>
        </w:rPr>
        <w:t>施。</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rPr>
      </w:pPr>
      <w:r>
        <w:rPr>
          <w:rFonts w:ascii="黑体" w:hAnsi="黑体" w:cs="黑体" w:eastAsia="黑体"/>
          <w:kern w:val="0"/>
          <w:sz w:val="32"/>
          <w:szCs w:val="32"/>
        </w:rPr>
        <w:t>第二十三条</w:t>
      </w:r>
      <w:r>
        <w:rPr>
          <w:rFonts w:ascii="黑体" w:hAnsi="黑体" w:cs="黑体" w:hint="eastAsia" w:eastAsia="黑体"/>
          <w:kern w:val="0"/>
          <w:sz w:val="32"/>
          <w:szCs w:val="32"/>
        </w:rPr>
        <w:t xml:space="preserve">  </w:t>
      </w:r>
      <w:r>
        <w:rPr>
          <w:rFonts w:eastAsia="仿宋_GB2312;仿宋"/>
          <w:sz w:val="32"/>
          <w:szCs w:val="32"/>
        </w:rPr>
        <w:t>工业园区、工业集聚区、化学品生产企业、矿山开采区、尾矿库、危险废物处置场、垃圾填埋场等运营、管理单位，应当采取防渗漏等措施，并建设地下水水质监测井，定期对地下水水质情况进行监测。</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rPr>
      </w:pPr>
      <w:r>
        <w:rPr>
          <w:rFonts w:eastAsia="仿宋_GB2312;仿宋"/>
          <w:sz w:val="32"/>
          <w:szCs w:val="32"/>
        </w:rPr>
        <w:t>禁止利用无防渗漏措施的沟渠、坑塘等输送或者存贮含有毒有害污染物的废水、含病原体的污水和其他废弃物。</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kern w:val="0"/>
          <w:sz w:val="32"/>
          <w:szCs w:val="32"/>
        </w:rPr>
        <w:t xml:space="preserve">第二十四条  </w:t>
      </w:r>
      <w:r>
        <w:rPr>
          <w:rFonts w:eastAsia="仿宋_GB2312;仿宋"/>
          <w:kern w:val="0"/>
          <w:sz w:val="32"/>
          <w:szCs w:val="32"/>
        </w:rPr>
        <w:t>市、县（区）人民政府应当</w:t>
      </w:r>
      <w:r>
        <w:rPr>
          <w:rFonts w:hint="eastAsia" w:eastAsia="仿宋_GB2312;仿宋"/>
          <w:kern w:val="0"/>
          <w:sz w:val="32"/>
          <w:szCs w:val="32"/>
        </w:rPr>
        <w:t>统筹安排</w:t>
      </w:r>
      <w:r>
        <w:rPr>
          <w:rFonts w:eastAsia="仿宋_GB2312;仿宋"/>
          <w:kern w:val="0"/>
          <w:sz w:val="32"/>
          <w:szCs w:val="32"/>
        </w:rPr>
        <w:t>城镇污水集中处理设施的建设，提高城镇污水处理能力和处理质量。</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rPr>
      </w:pPr>
      <w:r>
        <w:rPr>
          <w:rFonts w:eastAsia="仿宋_GB2312;仿宋"/>
          <w:kern w:val="0"/>
          <w:sz w:val="32"/>
          <w:szCs w:val="32"/>
        </w:rPr>
        <w:t>市、县（区）人民政府应当根据流域生态环境功能需要，在具备条件的污水处理厂下游配套建设人工湿地水质净化工程，并保障规范稳定运行，提升水环境承载能力。</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第二十五条</w:t>
      </w:r>
      <w:r>
        <w:rPr>
          <w:rFonts w:ascii="黑体" w:hAnsi="黑体" w:cs="黑体" w:hint="eastAsia" w:eastAsia="黑体"/>
          <w:kern w:val="0"/>
          <w:sz w:val="32"/>
          <w:szCs w:val="32"/>
        </w:rPr>
        <w:t xml:space="preserve">  </w:t>
      </w:r>
      <w:r>
        <w:rPr>
          <w:rFonts w:eastAsia="仿宋_GB2312;仿宋"/>
          <w:kern w:val="0"/>
          <w:sz w:val="32"/>
          <w:szCs w:val="32"/>
        </w:rPr>
        <w:t>进行地下勘探、采矿、施工降排水、地下空间的开发利用等可能干扰或者影响地下含水层的活动，应当采取防护性措施，防止地下水污染。</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eastAsia="仿宋_GB2312;仿宋"/>
          <w:kern w:val="0"/>
          <w:sz w:val="32"/>
          <w:szCs w:val="32"/>
        </w:rPr>
        <w:t>采暖、洗浴、温室养殖等利用地热资源产生的废水，应当经处理达到水污染物综合排放地方标准后方可回灌地下或者排入地表水体。回灌地下水的，不得恶化地下水水质；排入地表水体的，应当达到水环境功能区标准要求。</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kern w:val="0"/>
          <w:sz w:val="32"/>
          <w:szCs w:val="32"/>
        </w:rPr>
        <w:t>第二十六条</w:t>
      </w:r>
      <w:r>
        <w:rPr>
          <w:rFonts w:ascii="黑体" w:hAnsi="黑体" w:cs="黑体" w:hint="eastAsia" w:eastAsia="黑体"/>
          <w:kern w:val="0"/>
          <w:sz w:val="32"/>
          <w:szCs w:val="32"/>
        </w:rPr>
        <w:t xml:space="preserve">  </w:t>
      </w:r>
      <w:r>
        <w:rPr>
          <w:rFonts w:eastAsia="仿宋_GB2312;仿宋"/>
          <w:kern w:val="0"/>
          <w:sz w:val="32"/>
          <w:szCs w:val="32"/>
        </w:rPr>
        <w:t>生活垃圾、人畜粪便、餐厨废弃物的收集、运输、处置工具和设施应当采取防扬散、防流失、防渗漏或者其他符合水污染防治要求的措施。</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shd w:fill="FFFFFF" w:val="clear"/>
        </w:rPr>
      </w:pPr>
      <w:r>
        <w:rPr>
          <w:rFonts w:ascii="黑体" w:hAnsi="黑体" w:cs="黑体" w:eastAsia="黑体"/>
          <w:kern w:val="0"/>
          <w:sz w:val="32"/>
          <w:szCs w:val="32"/>
        </w:rPr>
        <w:t>第二十七条</w:t>
      </w:r>
      <w:r>
        <w:rPr>
          <w:rFonts w:ascii="黑体" w:hAnsi="黑体" w:cs="黑体" w:hint="eastAsia" w:eastAsia="黑体"/>
          <w:kern w:val="0"/>
          <w:sz w:val="32"/>
          <w:szCs w:val="32"/>
        </w:rPr>
        <w:t xml:space="preserve">  </w:t>
      </w:r>
      <w:r>
        <w:rPr>
          <w:rFonts w:eastAsia="仿宋_GB2312;仿宋"/>
          <w:sz w:val="32"/>
          <w:szCs w:val="32"/>
          <w:shd w:fill="FFFFFF" w:val="clear"/>
        </w:rPr>
        <w:t>垃圾填埋场应当根据建设规模、填埋容量、年限、作业方式、自然地理及气象等条件，</w:t>
      </w:r>
      <w:r>
        <w:rPr>
          <w:rFonts w:eastAsia="仿宋_GB2312;仿宋"/>
          <w:kern w:val="0"/>
          <w:sz w:val="32"/>
          <w:szCs w:val="32"/>
        </w:rPr>
        <w:t>建设</w:t>
      </w:r>
      <w:r>
        <w:rPr>
          <w:rFonts w:hint="eastAsia" w:eastAsia="仿宋_GB2312;仿宋"/>
          <w:kern w:val="0"/>
          <w:sz w:val="32"/>
          <w:szCs w:val="32"/>
        </w:rPr>
        <w:t>具备</w:t>
      </w:r>
      <w:r>
        <w:rPr>
          <w:rFonts w:eastAsia="仿宋_GB2312;仿宋"/>
          <w:kern w:val="0"/>
          <w:sz w:val="32"/>
          <w:szCs w:val="32"/>
        </w:rPr>
        <w:t>适当处</w:t>
      </w:r>
      <w:r>
        <w:rPr>
          <w:rFonts w:eastAsia="仿宋_GB2312;仿宋"/>
          <w:sz w:val="32"/>
          <w:szCs w:val="32"/>
          <w:shd w:fill="FFFFFF" w:val="clear"/>
        </w:rPr>
        <w:t>理工艺、规模的渗滤液处理厂（站），保证正常运行和稳定达标排放。</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shd w:fill="FFFFFF" w:val="clear"/>
        </w:rPr>
      </w:pPr>
      <w:r>
        <w:rPr>
          <w:rFonts w:ascii="黑体" w:hAnsi="黑体" w:cs="黑体" w:hint="eastAsia" w:eastAsia="黑体"/>
          <w:sz w:val="32"/>
          <w:szCs w:val="32"/>
        </w:rPr>
        <w:t>第二十八条</w:t>
      </w:r>
      <w:r>
        <w:rPr>
          <w:rFonts w:hint="eastAsia" w:eastAsia="仿宋_GB2312;仿宋"/>
          <w:sz w:val="32"/>
          <w:szCs w:val="32"/>
        </w:rPr>
        <w:t xml:space="preserve">  </w:t>
      </w:r>
      <w:r>
        <w:rPr>
          <w:rFonts w:eastAsia="仿宋_GB2312;仿宋"/>
          <w:sz w:val="32"/>
          <w:szCs w:val="32"/>
          <w:shd w:fill="FFFFFF" w:val="clear"/>
        </w:rPr>
        <w:t>市、县（区）、乡（镇）人民政府应当统筹规划建设农村污水、垃圾处理设施，推进农村污水、垃圾集中处理。</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shd w:fill="FFFFFF" w:val="clear"/>
        </w:rPr>
      </w:pPr>
      <w:r>
        <w:rPr>
          <w:rFonts w:eastAsia="仿宋_GB2312;仿宋"/>
          <w:sz w:val="32"/>
          <w:szCs w:val="32"/>
          <w:shd w:fill="FFFFFF" w:val="clear"/>
        </w:rPr>
        <w:t>已经纳入城镇污水管网的村庄和社区，应当对污水进行集中处理；未纳入城镇污水管网的村庄和社区，应当规划建设污水处理站或者采取建设小型人工湿地、生物滤池等其他适宜的处理方法，达到农村生活污水处理设施水污染物排放地方标准。</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eastAsia="仿宋_GB2312;仿宋"/>
          <w:sz w:val="32"/>
          <w:szCs w:val="32"/>
          <w:shd w:fill="FFFFFF" w:val="clear"/>
        </w:rPr>
        <w:t>市、县（区）人民政府农业农村主管</w:t>
      </w:r>
      <w:r>
        <w:rPr>
          <w:rFonts w:eastAsia="仿宋_GB2312;仿宋"/>
          <w:kern w:val="0"/>
          <w:sz w:val="32"/>
          <w:szCs w:val="32"/>
        </w:rPr>
        <w:t>部门</w:t>
      </w:r>
      <w:r>
        <w:rPr>
          <w:rFonts w:hint="eastAsia" w:eastAsia="仿宋_GB2312;仿宋"/>
          <w:kern w:val="0"/>
          <w:sz w:val="32"/>
          <w:szCs w:val="32"/>
        </w:rPr>
        <w:t>、其他部门</w:t>
      </w:r>
      <w:r>
        <w:rPr>
          <w:rFonts w:eastAsia="仿宋_GB2312;仿宋"/>
          <w:kern w:val="0"/>
          <w:sz w:val="32"/>
          <w:szCs w:val="32"/>
        </w:rPr>
        <w:t>以及乡（镇）人民政府应当指导农业生产者科学、合理地施用化肥和农药，推广减肥增效、测土配方施肥技术和使用生物农药</w:t>
      </w:r>
      <w:r>
        <w:rPr>
          <w:rFonts w:eastAsia="仿宋_GB2312;仿宋"/>
          <w:sz w:val="32"/>
          <w:szCs w:val="32"/>
        </w:rPr>
        <w:t>，发展种养结合的生态农业，减少化肥和农药的使用量，防止造成水污染。</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sz w:val="32"/>
          <w:szCs w:val="32"/>
        </w:rPr>
      </w:pPr>
      <w:r>
        <w:rPr>
          <w:rFonts w:eastAsia="仿宋_GB2312;仿宋"/>
          <w:kern w:val="0"/>
          <w:sz w:val="32"/>
          <w:szCs w:val="32"/>
        </w:rPr>
        <w:t>禁止利用有毒有害的废弃物作为肥料。禁止使用剧毒、高毒、高残留农药。</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shd w:fill="FFFFFF" w:val="clear"/>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eastAsia="仿宋_GB2312;仿宋"/>
          <w:sz w:val="32"/>
          <w:szCs w:val="32"/>
          <w:shd w:fill="FFFFFF" w:val="clear"/>
        </w:rPr>
        <w:t>县（区）人民政府应当划定畜禽养殖的禁养区、限养区和适养区。</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shd w:fill="FFFFFF" w:val="clear"/>
        </w:rPr>
      </w:pPr>
      <w:r>
        <w:rPr>
          <w:rFonts w:eastAsia="仿宋_GB2312;仿宋"/>
          <w:sz w:val="32"/>
          <w:szCs w:val="32"/>
          <w:shd w:fill="FFFFFF" w:val="clear"/>
        </w:rPr>
        <w:t>畜禽养殖场、养殖小区、屠宰场应当建设畜禽粪便、废水的综合利用或者无害化处理设施，达到水污染物综合排放地方标准并正常运转。鼓励畜禽粪污处理后还田以及种养结合消纳粪污。</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sz w:val="32"/>
          <w:szCs w:val="32"/>
          <w:shd w:fill="FFFFFF" w:val="clear"/>
        </w:rPr>
        <w:t xml:space="preserve">市、县（区）人民政府应当对规模化畜禽养殖场污染物处理或者综合利用设施的建设予以扶持。      </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shd w:fill="FFFFFF" w:val="clear"/>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eastAsia="仿宋_GB2312;仿宋"/>
          <w:sz w:val="32"/>
          <w:szCs w:val="32"/>
          <w:shd w:fill="FFFFFF" w:val="clear"/>
        </w:rPr>
        <w:t>水产养殖实行水域滩涂规划制度。</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shd w:fill="FFFFFF" w:val="clear"/>
        </w:rPr>
      </w:pPr>
      <w:r>
        <w:rPr>
          <w:rFonts w:eastAsia="仿宋_GB2312;仿宋"/>
          <w:sz w:val="32"/>
          <w:szCs w:val="32"/>
          <w:shd w:fill="FFFFFF" w:val="clear"/>
        </w:rPr>
        <w:t>在禁止养殖区严禁水产养殖。在限制养殖区和允许养殖区，鼓励水产养殖尾水生态治理，科学合理布设网箱或者围网，使用无污染的渔用饲料和渔药，减少化学药品的使用，防止污染水环境。</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sz w:val="32"/>
          <w:szCs w:val="32"/>
        </w:rPr>
        <w:t xml:space="preserve">第三十二条 </w:t>
      </w:r>
      <w:r>
        <w:rPr>
          <w:rFonts w:ascii="黑体" w:hAnsi="黑体" w:cs="黑体" w:hint="eastAsia" w:eastAsia="黑体"/>
          <w:sz w:val="32"/>
          <w:szCs w:val="32"/>
        </w:rPr>
        <w:t xml:space="preserve"> </w:t>
      </w:r>
      <w:r>
        <w:rPr>
          <w:rFonts w:eastAsia="仿宋_GB2312;仿宋"/>
          <w:kern w:val="0"/>
          <w:sz w:val="32"/>
          <w:szCs w:val="32"/>
        </w:rPr>
        <w:t>新建、改建、扩建城乡基础设施、居住小区、商业住宅、办公用房等建设项目，应当同步规划建设雨水收集利用和污水处理回用设施，并采取雨污分流等措施，减少水污染。</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shd w:fill="FFFFFF" w:val="clear"/>
        </w:rPr>
      </w:pPr>
      <w:r>
        <w:rPr>
          <w:rFonts w:eastAsia="仿宋_GB2312;仿宋"/>
          <w:kern w:val="0"/>
          <w:sz w:val="32"/>
          <w:szCs w:val="32"/>
        </w:rPr>
        <w:t>老旧城区以及城中村、城乡结合部等尚未实现雨污分流的区域，应当进行污水截流、收集和雨污分流改造。</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eastAsia="仿宋_GB2312;仿宋"/>
          <w:kern w:val="0"/>
          <w:sz w:val="32"/>
          <w:szCs w:val="32"/>
        </w:rPr>
        <w:t>医疗机构、学校、科研院所、企业事业等单位的实验室、检验室、化验室产生的危险废物，应当按照有关规定单独收集和安全处置，不得排入排水管网或者违法倾倒、排放。</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sz w:val="32"/>
          <w:szCs w:val="32"/>
          <w:shd w:fill="FFFFFF" w:val="clear"/>
        </w:rPr>
      </w:pPr>
      <w:r>
        <w:rPr>
          <w:rFonts w:ascii="黑体" w:hAnsi="黑体" w:cs="黑体" w:eastAsia="黑体"/>
          <w:sz w:val="32"/>
          <w:szCs w:val="32"/>
        </w:rPr>
        <w:t>第三十四条</w:t>
      </w:r>
      <w:r>
        <w:rPr>
          <w:rFonts w:hint="eastAsia" w:eastAsia="仿宋_GB2312;仿宋"/>
          <w:sz w:val="32"/>
          <w:szCs w:val="32"/>
        </w:rPr>
        <w:t xml:space="preserve">  </w:t>
      </w:r>
      <w:r>
        <w:rPr>
          <w:rFonts w:eastAsia="仿宋_GB2312;仿宋"/>
          <w:kern w:val="0"/>
          <w:sz w:val="32"/>
          <w:szCs w:val="32"/>
        </w:rPr>
        <w:t>宾馆、餐饮、洗浴、洗衣、洗车</w:t>
      </w:r>
      <w:r>
        <w:rPr>
          <w:rFonts w:hint="eastAsia" w:eastAsia="仿宋_GB2312;仿宋"/>
          <w:kern w:val="0"/>
          <w:sz w:val="32"/>
          <w:szCs w:val="32"/>
        </w:rPr>
        <w:t>等行业</w:t>
      </w:r>
      <w:r>
        <w:rPr>
          <w:rFonts w:eastAsia="仿宋_GB2312;仿宋"/>
          <w:kern w:val="0"/>
          <w:sz w:val="32"/>
          <w:szCs w:val="32"/>
        </w:rPr>
        <w:t>经营者不得向河流、沟渠、坑塘等外环境直接排放污水，不得向雨水收集口、雨水管道排放、倾倒污水或者污物、垃圾等废弃物。</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eastAsia="仿宋_GB2312;仿宋"/>
          <w:kern w:val="0"/>
          <w:sz w:val="32"/>
          <w:szCs w:val="32"/>
        </w:rPr>
        <w:t>市 、县（区）、</w:t>
      </w:r>
      <w:r>
        <w:rPr>
          <w:rFonts w:eastAsia="仿宋_GB2312;仿宋"/>
          <w:sz w:val="32"/>
          <w:szCs w:val="32"/>
          <w:shd w:fill="FFFFFF" w:val="clear"/>
        </w:rPr>
        <w:t>乡（镇）</w:t>
      </w:r>
      <w:r>
        <w:rPr>
          <w:rFonts w:eastAsia="仿宋_GB2312;仿宋"/>
          <w:kern w:val="0"/>
          <w:sz w:val="32"/>
          <w:szCs w:val="32"/>
        </w:rPr>
        <w:t>人民政府应当加强对所属河道的整治，实施生态化治理，培育水生植物，恢复河流的自我净化、自我修复功能。所属河道缺水干涸，不能保证基本生态流量时，可以实施生态补水，以改善断面水质。</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t>鼓励再生水、雨水用于河渠补水。</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jc w:val="start"/>
        <w:textAlignment w:val="auto"/>
        <w:rPr>
          <w:rFonts w:eastAsia="仿宋_GB2312;仿宋"/>
          <w:kern w:val="0"/>
          <w:sz w:val="32"/>
          <w:szCs w:val="32"/>
        </w:rPr>
      </w:pPr>
      <w:r>
        <w:rPr>
          <w:rFonts w:eastAsia="仿宋_GB2312;仿宋"/>
          <w:kern w:val="0"/>
          <w:sz w:val="32"/>
          <w:szCs w:val="32"/>
        </w:rPr>
      </w:r>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eastAsia="仿宋_GB2312;仿宋"/>
          <w:kern w:val="0"/>
          <w:sz w:val="32"/>
          <w:szCs w:val="32"/>
        </w:rPr>
      </w:pPr>
      <w:r>
        <w:rPr>
          <w:rFonts w:ascii="黑体" w:hAnsi="黑体" w:cs="黑体" w:eastAsia="黑体"/>
          <w:sz w:val="32"/>
          <w:szCs w:val="32"/>
        </w:rPr>
        <w:t>第三十六条</w:t>
      </w:r>
      <w:r>
        <w:rPr>
          <w:rFonts w:eastAsia="仿宋_GB2312;仿宋"/>
          <w:sz w:val="32"/>
          <w:szCs w:val="32"/>
        </w:rPr>
        <w:t xml:space="preserve">  </w:t>
      </w:r>
      <w:r>
        <w:rPr>
          <w:rFonts w:eastAsia="仿宋_GB2312;仿宋"/>
          <w:kern w:val="0"/>
          <w:sz w:val="32"/>
          <w:szCs w:val="32"/>
        </w:rPr>
        <w:t>违反本条例规定，法律、行政法规以及本省人民代表大会及其常务委员会制定的地方性法规已有法律责任规定的，</w:t>
      </w:r>
      <w:r>
        <w:rPr>
          <w:rFonts w:hint="eastAsia" w:eastAsia="仿宋_GB2312;仿宋"/>
          <w:kern w:val="0"/>
          <w:sz w:val="32"/>
          <w:szCs w:val="32"/>
        </w:rPr>
        <w:t>从其规定</w:t>
      </w:r>
      <w:r>
        <w:rPr>
          <w:rFonts w:eastAsia="仿宋_GB2312;仿宋"/>
          <w:kern w:val="0"/>
          <w:sz w:val="32"/>
          <w:szCs w:val="32"/>
        </w:rPr>
        <w:t>。</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eastAsia="仿宋_GB2312;仿宋"/>
          <w:kern w:val="0"/>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eastAsia="仿宋_GB2312;仿宋"/>
          <w:kern w:val="0"/>
          <w:sz w:val="32"/>
          <w:szCs w:val="32"/>
        </w:rPr>
        <w:t>有关国家机关工作人员在水污染防治工作中玩忽职守、滥用职权、徇私舞弊的，依法给予处分；构成犯罪的，依法追究刑事责任。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eastAsia="仿宋_GB2312;仿宋"/>
          <w:kern w:val="0"/>
          <w:sz w:val="32"/>
          <w:szCs w:val="32"/>
        </w:rPr>
      </w:pPr>
      <w:r>
        <w:rPr>
          <w:rFonts w:eastAsia="仿宋_GB2312;仿宋"/>
          <w:kern w:val="0"/>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auto"/>
        <w:rPr>
          <w:rFonts w:eastAsia="仿宋_GB2312;仿宋"/>
          <w:sz w:val="32"/>
          <w:szCs w:val="32"/>
        </w:rPr>
      </w:pPr>
      <w:r>
        <w:rPr>
          <w:rFonts w:eastAsia="仿宋_GB2312;仿宋"/>
          <w:sz w:val="32"/>
          <w:szCs w:val="32"/>
        </w:rPr>
      </w:r>
    </w:p>
    <w:p>
      <w:pPr>
        <w:pStyle w:val="Normal"/>
        <w:keepNext w:val="false"/>
        <w:keepLines w:val="false"/>
        <w:pageBreakBefore w:val="false"/>
        <w:widowControl w:val="false"/>
        <w:kinsoku w:val="true"/>
        <w:overflowPunct w:val="true"/>
        <w:autoSpaceDE w:val="true"/>
        <w:bidi w:val="0"/>
        <w:spacing w:lineRule="exact" w:line="586"/>
        <w:jc w:val="center"/>
        <w:textAlignment w:val="auto"/>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附 则</w:t>
      </w:r>
    </w:p>
    <w:p>
      <w:pPr>
        <w:pStyle w:val="Normal"/>
        <w:keepNext w:val="false"/>
        <w:keepLines w:val="false"/>
        <w:pageBreakBefore w:val="false"/>
        <w:widowControl w:val="false"/>
        <w:kinsoku w:val="true"/>
        <w:overflowPunct w:val="true"/>
        <w:autoSpaceDE w:val="true"/>
        <w:bidi w:val="0"/>
        <w:spacing w:lineRule="exact" w:line="586"/>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eastAsia="仿宋_GB2312;仿宋"/>
          <w:kern w:val="0"/>
          <w:sz w:val="32"/>
          <w:szCs w:val="32"/>
        </w:rPr>
        <w:t>饮用水水源保护、餐厨废弃物污染防治，依照《大同市饮用水水源保护条例》《大同市餐厨废弃物管理条例》的有关规定执行。</w:t>
      </w:r>
    </w:p>
    <w:p>
      <w:pPr>
        <w:pStyle w:val="Normal"/>
        <w:keepNext w:val="false"/>
        <w:keepLines w:val="false"/>
        <w:pageBreakBefore w:val="false"/>
        <w:widowControl w:val="false"/>
        <w:kinsoku w:val="true"/>
        <w:overflowPunct w:val="true"/>
        <w:autoSpaceDE w:val="true"/>
        <w:bidi w:val="0"/>
        <w:spacing w:lineRule="exact" w:line="586"/>
        <w:ind w:firstLineChars="202" w:startChars="0" w:start="0" w:endChars="0" w:end="0"/>
        <w:textAlignment w:val="auto"/>
        <w:rPr>
          <w:rFonts w:eastAsia="仿宋_GB2312;仿宋"/>
          <w:kern w:val="0"/>
          <w:sz w:val="32"/>
          <w:szCs w:val="32"/>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eastAsia="仿宋_GB2312;仿宋"/>
          <w:kern w:val="0"/>
          <w:sz w:val="32"/>
          <w:szCs w:val="32"/>
        </w:rPr>
        <w:t>本条例自</w:t>
      </w:r>
      <w:r>
        <w:rPr>
          <w:rFonts w:eastAsia="仿宋_GB2312;仿宋"/>
          <w:kern w:val="0"/>
          <w:sz w:val="32"/>
          <w:szCs w:val="32"/>
        </w:rPr>
        <w:t>202</w:t>
      </w:r>
      <w:r>
        <w:rPr>
          <w:rFonts w:eastAsia="仿宋_GB2312;仿宋" w:hint="eastAsia"/>
          <w:kern w:val="0"/>
          <w:sz w:val="32"/>
          <w:szCs w:val="32"/>
        </w:rPr>
        <w:t>1</w:t>
      </w:r>
      <w:r>
        <w:rPr>
          <w:rFonts w:eastAsia="仿宋_GB2312;仿宋"/>
          <w:kern w:val="0"/>
          <w:sz w:val="32"/>
          <w:szCs w:val="32"/>
        </w:rPr>
        <w:t>年</w:t>
      </w:r>
      <w:r>
        <w:rPr>
          <w:rFonts w:eastAsia="仿宋_GB2312;仿宋" w:hint="eastAsia"/>
          <w:kern w:val="0"/>
          <w:sz w:val="32"/>
          <w:szCs w:val="32"/>
        </w:rPr>
        <w:t>5</w:t>
      </w:r>
      <w:r>
        <w:rPr>
          <w:rFonts w:eastAsia="仿宋_GB2312;仿宋"/>
          <w:kern w:val="0"/>
          <w:sz w:val="32"/>
          <w:szCs w:val="32"/>
        </w:rPr>
        <w:t>月</w:t>
      </w:r>
      <w:r>
        <w:rPr>
          <w:rFonts w:eastAsia="仿宋_GB2312;仿宋"/>
          <w:kern w:val="0"/>
          <w:sz w:val="32"/>
          <w:szCs w:val="32"/>
        </w:rPr>
        <w:t>1</w:t>
      </w:r>
      <w:r>
        <w:rPr>
          <w:rFonts w:eastAsia="仿宋_GB2312;仿宋"/>
          <w:kern w:val="0"/>
          <w:sz w:val="32"/>
          <w:szCs w:val="32"/>
        </w:rPr>
        <w:t>日起施行。</w:t>
      </w:r>
    </w:p>
    <w:p>
      <w:pPr>
        <w:pStyle w:val="Normal"/>
        <w:keepNext w:val="false"/>
        <w:keepLines w:val="false"/>
        <w:pageBreakBefore w:val="false"/>
        <w:widowControl w:val="false"/>
        <w:kinsoku w:val="true"/>
        <w:overflowPunct w:val="true"/>
        <w:autoSpaceDE w:val="true"/>
        <w:bidi w:val="0"/>
        <w:spacing w:lineRule="exact" w:line="586"/>
        <w:textAlignment w:val="auto"/>
        <w:rPr>
          <w:rFonts w:eastAsia="仿宋_GB2312;仿宋"/>
          <w:kern w:val="0"/>
          <w:sz w:val="32"/>
          <w:szCs w:val="32"/>
        </w:rPr>
      </w:pPr>
      <w:r>
        <w:rPr>
          <w:rFonts w:eastAsia="仿宋_GB2312;仿宋"/>
          <w:kern w:val="0"/>
          <w:sz w:val="32"/>
          <w:szCs w:val="32"/>
        </w:rPr>
      </w:r>
    </w:p>
    <w:sectPr>
      <w:footerReference w:type="default" r:id="rId2"/>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554990" cy="605790"/>
              <wp:effectExtent l="0" t="0" r="0" b="0"/>
              <wp:wrapNone/>
              <wp:docPr id="1" name="Frame1"/>
              <a:graphic xmlns:a="http://schemas.openxmlformats.org/drawingml/2006/main">
                <a:graphicData uri="http://schemas.microsoft.com/office/word/2010/wordprocessingShape">
                  <wps:wsp>
                    <wps:cNvSpPr txBox="1"/>
                    <wps:spPr>
                      <a:xfrm>
                        <a:off x="0" y="0"/>
                        <a:ext cx="554990" cy="605790"/>
                      </a:xfrm>
                      <a:prstGeom prst="rect"/>
                      <a:solidFill>
                        <a:srgbClr val="FFFFFF">
                          <a:alpha val="0"/>
                        </a:srgbClr>
                      </a:solidFill>
                    </wps:spPr>
                    <wps:txbx>
                      <w:txbxContent>
                        <w:p>
                          <w:pPr>
                            <w:pStyle w:val="Footer"/>
                            <w:ind w:firstLineChars="0" w:firstLine="0" w:startChars="150" w:endChars="150"/>
                            <w:jc w:val="center"/>
                            <w:rPr/>
                          </w:pPr>
                          <w:r>
                            <w:rPr>
                              <w:rFonts w:cs="宋体" w:hint="eastAsia" w:ascii="宋体" w:hAnsi="宋体"/>
                              <w:kern w:val="0"/>
                              <w:sz w:val="28"/>
                              <w:szCs w:val="28"/>
                            </w:rPr>
                            <w:t>—</w:t>
                          </w:r>
                          <w:r>
                            <w:rPr>
                              <w:rFonts w:cs="宋体" w:hint="eastAsia" w:ascii="宋体" w:hAnsi="宋体"/>
                              <w:kern w:val="0"/>
                              <w:sz w:val="28"/>
                              <w:szCs w:val="28"/>
                            </w:rPr>
                            <w:fldChar w:fldCharType="begin"/>
                          </w:r>
                          <w:r>
                            <w:rPr>
                              <w:rFonts w:cs="宋体" w:hint="eastAsia" w:ascii="宋体" w:hAnsi="宋体"/>
                              <w:kern w:val="0"/>
                              <w:sz w:val="28"/>
                              <w:szCs w:val="28"/>
                            </w:rPr>
                            <w:instrText xml:space="preserve"> PAGE </w:instrText>
                          </w:r>
                          <w:r>
                            <w:rPr>
                              <w:rFonts w:cs="宋体" w:hint="eastAsia" w:ascii="宋体" w:hAnsi="宋体"/>
                              <w:kern w:val="0"/>
                              <w:sz w:val="28"/>
                              <w:szCs w:val="28"/>
                            </w:rPr>
                            <w:fldChar w:fldCharType="separate"/>
                          </w:r>
                          <w:r>
                            <w:rPr>
                              <w:rFonts w:cs="宋体" w:hint="eastAsia" w:ascii="宋体" w:hAnsi="宋体"/>
                              <w:kern w:val="0"/>
                              <w:sz w:val="28"/>
                              <w:szCs w:val="28"/>
                            </w:rPr>
                            <w:t>11</w:t>
                          </w:r>
                          <w:r>
                            <w:rPr>
                              <w:rFonts w:cs="宋体" w:hint="eastAsia" w:ascii="宋体" w:hAnsi="宋体"/>
                              <w:kern w:val="0"/>
                              <w:sz w:val="28"/>
                              <w:szCs w:val="28"/>
                            </w:rPr>
                            <w:fldChar w:fldCharType="end"/>
                          </w:r>
                          <w:r>
                            <w:rPr>
                              <w:rFonts w:cs="宋体" w:hint="eastAsia" w:ascii="宋体" w:hAnsi="宋体"/>
                              <w:kern w:val="0"/>
                              <w:sz w:val="28"/>
                              <w:szCs w:val="28"/>
                            </w:rPr>
                            <w:t>—</w:t>
                          </w:r>
                        </w:p>
                      </w:txbxContent>
                    </wps:txbx>
                    <wps:bodyPr anchor="t" lIns="635" tIns="635" rIns="635" bIns="635">
                      <a:spAutoFit/>
                    </wps:bodyPr>
                  </wps:wsp>
                </a:graphicData>
              </a:graphic>
            </wp:anchor>
          </w:drawing>
        </mc:Choice>
        <mc:Fallback>
          <w:pict>
            <v:rect fillcolor="#FFFFFF" style="position:absolute;rotation:-0;width:43.7pt;height:47.7pt;mso-wrap-distance-left:9.05pt;mso-wrap-distance-right:0pt;mso-wrap-distance-top:0pt;mso-wrap-distance-bottom:0pt;margin-top:0pt;mso-position-vertical-relative:text;margin-left:392.8pt;mso-position-horizontal:outside;mso-position-horizontal-relative:margin">
              <v:fill opacity="0f"/>
              <v:textbox inset="0.000694444444444445in,0.000694444444444445in,0.000694444444444445in,0.000694444444444445in">
                <w:txbxContent>
                  <w:p>
                    <w:pPr>
                      <w:pStyle w:val="Footer"/>
                      <w:ind w:firstLineChars="0" w:firstLine="0" w:startChars="150" w:endChars="150"/>
                      <w:jc w:val="center"/>
                      <w:rPr/>
                    </w:pPr>
                    <w:r>
                      <w:rPr>
                        <w:rFonts w:cs="宋体" w:hint="eastAsia" w:ascii="宋体" w:hAnsi="宋体"/>
                        <w:kern w:val="0"/>
                        <w:sz w:val="28"/>
                        <w:szCs w:val="28"/>
                      </w:rPr>
                      <w:t>—</w:t>
                    </w:r>
                    <w:r>
                      <w:rPr>
                        <w:rFonts w:cs="宋体" w:hint="eastAsia" w:ascii="宋体" w:hAnsi="宋体"/>
                        <w:kern w:val="0"/>
                        <w:sz w:val="28"/>
                        <w:szCs w:val="28"/>
                      </w:rPr>
                      <w:fldChar w:fldCharType="begin"/>
                    </w:r>
                    <w:r>
                      <w:rPr>
                        <w:rFonts w:cs="宋体" w:hint="eastAsia" w:ascii="宋体" w:hAnsi="宋体"/>
                        <w:kern w:val="0"/>
                        <w:sz w:val="28"/>
                        <w:szCs w:val="28"/>
                      </w:rPr>
                      <w:instrText xml:space="preserve"> PAGE </w:instrText>
                    </w:r>
                    <w:r>
                      <w:rPr>
                        <w:rFonts w:cs="宋体" w:hint="eastAsia" w:ascii="宋体" w:hAnsi="宋体"/>
                        <w:kern w:val="0"/>
                        <w:sz w:val="28"/>
                        <w:szCs w:val="28"/>
                      </w:rPr>
                      <w:fldChar w:fldCharType="separate"/>
                    </w:r>
                    <w:r>
                      <w:rPr>
                        <w:rFonts w:cs="宋体" w:hint="eastAsia" w:ascii="宋体" w:hAnsi="宋体"/>
                        <w:kern w:val="0"/>
                        <w:sz w:val="28"/>
                        <w:szCs w:val="28"/>
                      </w:rPr>
                      <w:t>11</w:t>
                    </w:r>
                    <w:r>
                      <w:rPr>
                        <w:rFonts w:cs="宋体" w:hint="eastAsia" w:ascii="宋体" w:hAnsi="宋体"/>
                        <w:kern w:val="0"/>
                        <w:sz w:val="28"/>
                        <w:szCs w:val="28"/>
                      </w:rPr>
                      <w:fldChar w:fldCharType="end"/>
                    </w:r>
                    <w:r>
                      <w:rPr>
                        <w:rFonts w:cs="宋体" w:hint="eastAsia" w:ascii="宋体" w:hAnsi="宋体"/>
                        <w:kern w:val="0"/>
                        <w:sz w:val="28"/>
                        <w:szCs w:val="28"/>
                      </w:rPr>
                      <w:t>—</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rPr>
      <w:rFonts w:cs="Times New Roman"/>
    </w:rPr>
  </w:style>
  <w:style w:type="character" w:styleId="NormalCharacter">
    <w:name w:val="NormalCharacter"/>
    <w:qFormat/>
    <w:rPr>
      <w:rFonts w:ascii="Tahoma" w:hAnsi="Tahoma" w:eastAsia="微软雅黑" w:cs="Times New Roman"/>
      <w:kern w:val="0"/>
      <w:sz w:val="22"/>
      <w:szCs w:val="2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2021-01-19T01:46:00Z</dcterms:created>
  <dc:creator>Administrator</dc:creator>
  <dc:description/>
  <dc:language>en-US</dc:language>
  <cp:lastModifiedBy>此生无悔</cp:lastModifiedBy>
  <cp:lastPrinted>2020-11-03T19:17:00Z</cp:lastPrinted>
  <dcterms:modified xsi:type="dcterms:W3CDTF">2021-03-10T11:14:31Z</dcterms:modified>
  <cp:revision>3</cp:revision>
  <dc:subject/>
  <dc:title>关于《大同市大气污染防治条例（草案）》的说明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