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autoSpaceDE w:val="true"/>
        <w:snapToGrid w:val="true"/>
        <w:spacing w:lineRule="auto" w:line="240" w:before="0" w:after="0"/>
        <w:ind w:hanging="0" w:start="0" w:end="0"/>
        <w:jc w:val="center"/>
        <w:rPr>
          <w:rFonts w:ascii="宋体" w:hAnsi="宋体" w:eastAsia="宋体" w:cs="宋体"/>
          <w:b/>
          <w:i w:val="false"/>
          <w:color w:val="000000"/>
          <w:spacing w:val="0"/>
          <w:position w:val="0"/>
          <w:sz w:val="44"/>
          <w:szCs w:val="44"/>
          <w:vertAlign w:val="baseline"/>
        </w:rPr>
      </w:pPr>
      <w:r>
        <w:rPr>
          <w:rFonts w:eastAsia="宋体" w:cs="宋体" w:ascii="宋体" w:hAnsi="宋体"/>
          <w:b/>
          <w:i w:val="false"/>
          <w:color w:val="000000"/>
          <w:spacing w:val="0"/>
          <w:position w:val="0"/>
          <w:sz w:val="44"/>
          <w:szCs w:val="44"/>
          <w:vertAlign w:val="baseline"/>
        </w:rPr>
      </w:r>
    </w:p>
    <w:p>
      <w:pPr>
        <w:pStyle w:val="Normal"/>
        <w:numPr>
          <w:ilvl w:val="0"/>
          <w:numId w:val="0"/>
        </w:numPr>
        <w:autoSpaceDE w:val="true"/>
        <w:snapToGrid w:val="true"/>
        <w:spacing w:lineRule="auto" w:line="240" w:before="0" w:after="0"/>
        <w:ind w:hanging="0" w:start="0" w:end="0"/>
        <w:jc w:val="center"/>
        <w:rPr>
          <w:rFonts w:ascii="宋体" w:hAnsi="宋体" w:eastAsia="宋体" w:cs="宋体"/>
          <w:b/>
          <w:i w:val="false"/>
          <w:color w:val="000000"/>
          <w:spacing w:val="0"/>
          <w:position w:val="0"/>
          <w:sz w:val="44"/>
          <w:szCs w:val="44"/>
          <w:vertAlign w:val="baseline"/>
        </w:rPr>
      </w:pPr>
      <w:r>
        <w:rPr>
          <w:rFonts w:ascii="宋体" w:hAnsi="宋体" w:cs="宋体"/>
          <w:b/>
          <w:i w:val="false"/>
          <w:color w:val="000000"/>
          <w:spacing w:val="0"/>
          <w:position w:val="0"/>
          <w:sz w:val="44"/>
          <w:szCs w:val="44"/>
          <w:vertAlign w:val="baseline"/>
        </w:rPr>
        <w:t>忻州市静乐汾河川国家湿地公园保护条例</w:t>
      </w:r>
    </w:p>
    <w:p>
      <w:pPr>
        <w:pStyle w:val="2"/>
        <w:rPr>
          <w:rFonts w:ascii="宋体" w:hAnsi="宋体" w:eastAsia="宋体" w:cs="宋体" w:hint="eastAsia"/>
          <w:b/>
          <w:i w:val="false"/>
          <w:color w:val="000000"/>
          <w:spacing w:val="0"/>
          <w:position w:val="0"/>
          <w:sz w:val="44"/>
          <w:szCs w:val="44"/>
          <w:vertAlign w:val="baseline"/>
        </w:rPr>
      </w:pPr>
      <w:r>
        <w:rPr>
          <w:rFonts w:eastAsia="宋体" w:cs="宋体" w:hint="eastAsia" w:ascii="宋体" w:hAnsi="宋体"/>
          <w:b/>
          <w:i w:val="false"/>
          <w:color w:val="000000"/>
          <w:spacing w:val="0"/>
          <w:position w:val="0"/>
          <w:sz w:val="44"/>
          <w:szCs w:val="44"/>
          <w:vertAlign w:val="baseline"/>
        </w:rPr>
      </w:r>
    </w:p>
    <w:p>
      <w:pPr>
        <w:pStyle w:val="2"/>
        <w:rPr>
          <w:rFonts w:hint="eastAsia"/>
          <w:color w:val="000000"/>
        </w:rPr>
      </w:pPr>
      <w:r>
        <w:rPr>
          <w:rFonts w:hint="eastAsia"/>
          <w:color w:val="000000"/>
        </w:rPr>
      </w:r>
    </w:p>
    <w:p>
      <w:pPr>
        <w:pStyle w:val="2"/>
        <w:rPr>
          <w:rFonts w:hint="eastAsia"/>
          <w:color w:val="000000"/>
        </w:rPr>
      </w:pPr>
      <w:r>
        <w:rPr>
          <w:rFonts w:hint="eastAsia"/>
          <w:color w:val="000000"/>
        </w:rPr>
      </w:r>
    </w:p>
    <w:p>
      <w:pPr>
        <w:pStyle w:val="Normal"/>
        <w:ind w:firstLineChars="100" w:startChars="0" w:start="0" w:endChars="0" w:end="0"/>
        <w:jc w:val="both"/>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2021</w:t>
      </w:r>
      <w:r>
        <w:rPr>
          <w:rFonts w:ascii="楷体" w:hAnsi="楷体" w:cs="楷体" w:hint="eastAsia" w:eastAsia="楷体"/>
          <w:color w:val="000000"/>
          <w:sz w:val="32"/>
          <w:szCs w:val="32"/>
        </w:rPr>
        <w:t>年</w:t>
      </w:r>
      <w:r>
        <w:rPr>
          <w:rFonts w:eastAsia="楷体" w:cs="楷体" w:hint="eastAsia" w:ascii="楷体" w:hAnsi="楷体"/>
          <w:color w:val="000000"/>
          <w:sz w:val="32"/>
          <w:szCs w:val="32"/>
        </w:rPr>
        <w:t>6</w:t>
      </w:r>
      <w:r>
        <w:rPr>
          <w:rFonts w:ascii="楷体" w:hAnsi="楷体" w:cs="楷体" w:hint="eastAsia" w:eastAsia="楷体"/>
          <w:color w:val="000000"/>
          <w:sz w:val="32"/>
          <w:szCs w:val="32"/>
        </w:rPr>
        <w:t>月</w:t>
      </w:r>
      <w:r>
        <w:rPr>
          <w:rFonts w:eastAsia="楷体" w:cs="楷体" w:hint="eastAsia" w:ascii="楷体" w:hAnsi="楷体"/>
          <w:color w:val="000000"/>
          <w:sz w:val="32"/>
          <w:szCs w:val="32"/>
        </w:rPr>
        <w:t>29</w:t>
      </w:r>
      <w:r>
        <w:rPr>
          <w:rFonts w:ascii="楷体" w:hAnsi="楷体" w:cs="楷体" w:hint="eastAsia" w:eastAsia="楷体"/>
          <w:color w:val="000000"/>
          <w:sz w:val="32"/>
          <w:szCs w:val="32"/>
        </w:rPr>
        <w:t>日忻州市第四届人民代表大会常务委</w:t>
      </w:r>
    </w:p>
    <w:p>
      <w:pPr>
        <w:pStyle w:val="Normal"/>
        <w:ind w:firstLineChars="100" w:startChars="0" w:start="0" w:endChars="0" w:end="0"/>
        <w:jc w:val="both"/>
        <w:rPr>
          <w:rFonts w:ascii="楷体" w:hAnsi="楷体" w:eastAsia="楷体" w:cs="楷体" w:hint="eastAsia"/>
          <w:color w:val="000000"/>
          <w:sz w:val="32"/>
          <w:szCs w:val="32"/>
        </w:rPr>
      </w:pPr>
      <w:r>
        <w:rPr>
          <w:rFonts w:ascii="楷体" w:hAnsi="楷体" w:cs="楷体" w:hint="eastAsia" w:eastAsia="楷体"/>
          <w:color w:val="000000"/>
          <w:sz w:val="32"/>
          <w:szCs w:val="32"/>
        </w:rPr>
        <w:t xml:space="preserve">员会第三十七次会议通过  </w:t>
      </w:r>
      <w:r>
        <w:rPr>
          <w:rFonts w:eastAsia="楷体" w:cs="楷体" w:hint="eastAsia" w:ascii="楷体" w:hAnsi="楷体"/>
          <w:color w:val="000000"/>
          <w:sz w:val="32"/>
          <w:szCs w:val="32"/>
        </w:rPr>
        <w:t>2021</w:t>
      </w:r>
      <w:r>
        <w:rPr>
          <w:rFonts w:ascii="楷体" w:hAnsi="楷体" w:cs="楷体" w:hint="eastAsia" w:eastAsia="楷体"/>
          <w:color w:val="000000"/>
          <w:sz w:val="32"/>
          <w:szCs w:val="32"/>
        </w:rPr>
        <w:t>年</w:t>
      </w:r>
      <w:r>
        <w:rPr>
          <w:rFonts w:eastAsia="楷体" w:cs="楷体" w:hint="eastAsia" w:ascii="楷体" w:hAnsi="楷体"/>
          <w:color w:val="000000"/>
          <w:sz w:val="32"/>
          <w:szCs w:val="32"/>
        </w:rPr>
        <w:t>7</w:t>
      </w:r>
      <w:r>
        <w:rPr>
          <w:rFonts w:ascii="楷体" w:hAnsi="楷体" w:cs="楷体" w:hint="eastAsia" w:eastAsia="楷体"/>
          <w:color w:val="000000"/>
          <w:sz w:val="32"/>
          <w:szCs w:val="32"/>
        </w:rPr>
        <w:t>月</w:t>
      </w:r>
      <w:r>
        <w:rPr>
          <w:rFonts w:eastAsia="楷体" w:cs="楷体" w:hint="eastAsia" w:ascii="楷体" w:hAnsi="楷体"/>
          <w:color w:val="000000"/>
          <w:sz w:val="32"/>
          <w:szCs w:val="32"/>
        </w:rPr>
        <w:t>29</w:t>
      </w:r>
      <w:r>
        <w:rPr>
          <w:rFonts w:ascii="楷体" w:hAnsi="楷体" w:cs="楷体" w:hint="eastAsia" w:eastAsia="楷体"/>
          <w:color w:val="000000"/>
          <w:sz w:val="32"/>
          <w:szCs w:val="32"/>
        </w:rPr>
        <w:t>日山西省第十</w:t>
      </w:r>
    </w:p>
    <w:p>
      <w:pPr>
        <w:pStyle w:val="Normal"/>
        <w:ind w:firstLineChars="100" w:startChars="0" w:start="0" w:endChars="0" w:end="0"/>
        <w:jc w:val="both"/>
        <w:rPr>
          <w:rFonts w:ascii="楷体" w:hAnsi="楷体" w:eastAsia="楷体" w:cs="楷体" w:hint="eastAsia"/>
          <w:b w:val="false"/>
          <w:i w:val="false"/>
          <w:color w:val="000000"/>
          <w:spacing w:val="0"/>
          <w:position w:val="0"/>
          <w:sz w:val="32"/>
          <w:szCs w:val="32"/>
          <w:vertAlign w:val="baseline"/>
        </w:rPr>
      </w:pPr>
      <w:r>
        <w:rPr>
          <w:rFonts w:ascii="楷体" w:hAnsi="楷体" w:cs="楷体" w:hint="eastAsia" w:eastAsia="楷体"/>
          <w:color w:val="000000"/>
          <w:sz w:val="32"/>
          <w:szCs w:val="32"/>
        </w:rPr>
        <w:t>三届人民代表大会常务委员会第三十次会议批准 ）</w:t>
      </w:r>
    </w:p>
    <w:p>
      <w:pPr>
        <w:pStyle w:val="Normal"/>
        <w:numPr>
          <w:ilvl w:val="0"/>
          <w:numId w:val="0"/>
        </w:numPr>
        <w:autoSpaceDE w:val="true"/>
        <w:bidi w:val="0"/>
        <w:snapToGrid w:val="true"/>
        <w:spacing w:lineRule="auto" w:line="240" w:before="0" w:after="0"/>
        <w:ind w:hanging="0" w:start="0" w:end="0"/>
        <w:jc w:val="center"/>
        <w:rPr>
          <w:rFonts w:ascii="仿宋_GB2312" w:hAnsi="仿宋_GB2312" w:eastAsia="仿宋_GB2312" w:cs="仿宋_GB2312"/>
          <w:b/>
          <w:i w:val="false"/>
          <w:color w:val="000000"/>
          <w:spacing w:val="0"/>
          <w:position w:val="0"/>
          <w:sz w:val="32"/>
          <w:szCs w:val="32"/>
          <w:vertAlign w:val="baseline"/>
        </w:rPr>
      </w:pPr>
      <w:r>
        <w:rPr>
          <w:rFonts w:eastAsia="仿宋_GB2312" w:cs="仿宋_GB2312" w:ascii="仿宋_GB2312" w:hAnsi="仿宋_GB2312"/>
          <w:b/>
          <w:i w:val="false"/>
          <w:color w:val="000000"/>
          <w:spacing w:val="0"/>
          <w:position w:val="0"/>
          <w:sz w:val="32"/>
          <w:szCs w:val="32"/>
          <w:vertAlign w:val="baseline"/>
        </w:rPr>
      </w:r>
    </w:p>
    <w:p>
      <w:pPr>
        <w:pStyle w:val="Normal"/>
        <w:numPr>
          <w:ilvl w:val="0"/>
          <w:numId w:val="0"/>
        </w:numPr>
        <w:autoSpaceDE w:val="true"/>
        <w:bidi w:val="0"/>
        <w:snapToGrid w:val="true"/>
        <w:spacing w:lineRule="auto" w:line="240" w:before="0" w:after="0"/>
        <w:ind w:hanging="0" w:start="0" w:end="0"/>
        <w:jc w:val="center"/>
        <w:rPr>
          <w:rFonts w:ascii="仿宋_GB2312" w:hAnsi="仿宋_GB2312" w:eastAsia="仿宋_GB2312" w:cs="仿宋_GB2312"/>
          <w:b/>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第一章 总 则</w:t>
      </w:r>
    </w:p>
    <w:p>
      <w:pPr>
        <w:pStyle w:val="Normal"/>
        <w:numPr>
          <w:ilvl w:val="0"/>
          <w:numId w:val="0"/>
        </w:numPr>
        <w:autoSpaceDE w:val="true"/>
        <w:bidi w:val="0"/>
        <w:snapToGrid w:val="true"/>
        <w:spacing w:lineRule="auto" w:line="240" w:before="0" w:after="0"/>
        <w:ind w:hanging="0" w:start="0" w:end="0"/>
        <w:jc w:val="center"/>
        <w:rPr>
          <w:rFonts w:ascii="仿宋_GB2312" w:hAnsi="仿宋_GB2312" w:eastAsia="仿宋_GB2312" w:cs="仿宋_GB2312"/>
          <w:b w:val="false"/>
          <w:i w:val="false"/>
          <w:color w:val="000000"/>
          <w:spacing w:val="0"/>
          <w:position w:val="0"/>
          <w:sz w:val="32"/>
          <w:szCs w:val="32"/>
          <w:vertAlign w:val="baseline"/>
        </w:rPr>
      </w:pPr>
      <w:r>
        <w:rPr>
          <w:rFonts w:eastAsia="仿宋_GB2312" w:cs="仿宋_GB2312" w:ascii="仿宋_GB2312" w:hAnsi="仿宋_GB2312"/>
          <w:b w:val="false"/>
          <w:i w:val="false"/>
          <w:color w:val="000000"/>
          <w:spacing w:val="0"/>
          <w:position w:val="0"/>
          <w:sz w:val="32"/>
          <w:szCs w:val="32"/>
          <w:vertAlign w:val="baseline"/>
        </w:rPr>
      </w:r>
    </w:p>
    <w:p>
      <w:pPr>
        <w:pStyle w:val="Normal"/>
        <w:numPr>
          <w:ilvl w:val="0"/>
          <w:numId w:val="0"/>
        </w:numPr>
        <w:tabs>
          <w:tab w:val="clear" w:pos="420"/>
          <w:tab w:val="left" w:pos="0" w:leader="none"/>
          <w:tab w:val="left" w:pos="567" w:leader="none"/>
        </w:tabs>
        <w:autoSpaceDE w:val="true"/>
        <w:bidi w:val="0"/>
        <w:snapToGrid w:val="true"/>
        <w:spacing w:lineRule="auto" w:line="240" w:before="0" w:after="0"/>
        <w:ind w:hanging="0" w:start="0" w:end="0"/>
        <w:jc w:val="start"/>
        <w:rPr>
          <w:rFonts w:ascii="仿宋_GB2312" w:hAnsi="仿宋_GB2312" w:eastAsia="仿宋_GB2312" w:cs="仿宋_GB2312"/>
          <w:b w:val="false"/>
          <w:i w:val="false"/>
          <w:color w:val="000000"/>
          <w:spacing w:val="0"/>
          <w:position w:val="0"/>
          <w:sz w:val="32"/>
          <w:szCs w:val="32"/>
          <w:vertAlign w:val="baseline"/>
        </w:rPr>
      </w:pPr>
      <w:r>
        <w:rPr>
          <w:rFonts w:eastAsia="仿宋_GB2312" w:cs="仿宋_GB2312" w:ascii="仿宋_GB2312" w:hAnsi="仿宋_GB2312"/>
          <w:b w:val="false"/>
          <w:i w:val="false"/>
          <w:color w:val="000000"/>
          <w:spacing w:val="0"/>
          <w:position w:val="0"/>
          <w:sz w:val="32"/>
          <w:szCs w:val="32"/>
          <w:vertAlign w:val="baseline"/>
        </w:rPr>
        <w:t xml:space="preserve">    </w:t>
      </w:r>
      <w:r>
        <w:rPr>
          <w:rFonts w:ascii="仿宋_GB2312" w:hAnsi="仿宋_GB2312" w:cs="仿宋_GB2312" w:eastAsia="仿宋_GB2312"/>
          <w:b/>
          <w:i w:val="false"/>
          <w:color w:val="000000"/>
          <w:spacing w:val="0"/>
          <w:position w:val="0"/>
          <w:sz w:val="32"/>
          <w:szCs w:val="32"/>
          <w:vertAlign w:val="baseline"/>
        </w:rPr>
        <w:t>第一条</w:t>
      </w:r>
      <w:r>
        <w:rPr>
          <w:rFonts w:ascii="仿宋_GB2312" w:hAnsi="仿宋_GB2312" w:cs="仿宋_GB2312" w:eastAsia="仿宋_GB2312"/>
          <w:b w:val="false"/>
          <w:i w:val="false"/>
          <w:color w:val="000000"/>
          <w:spacing w:val="0"/>
          <w:position w:val="0"/>
          <w:sz w:val="32"/>
          <w:szCs w:val="32"/>
          <w:vertAlign w:val="baseline"/>
        </w:rPr>
        <w:t xml:space="preserve"> 为了加强对静乐汾河川国家湿地公园的保护，维护湿地生态功能和生物多样性，促进湿地资源可持续利用，根据有关法律法规的规定，制定本条例。</w:t>
      </w:r>
    </w:p>
    <w:p>
      <w:pPr>
        <w:pStyle w:val="Normal"/>
        <w:numPr>
          <w:ilvl w:val="0"/>
          <w:numId w:val="0"/>
        </w:numPr>
        <w:tabs>
          <w:tab w:val="clear" w:pos="420"/>
          <w:tab w:val="left" w:pos="0" w:leader="none"/>
        </w:tabs>
        <w:autoSpaceDE w:val="true"/>
        <w:snapToGrid w:val="true"/>
        <w:spacing w:lineRule="exact" w:line="62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第二条</w:t>
      </w:r>
      <w:r>
        <w:rPr>
          <w:rFonts w:ascii="仿宋_GB2312" w:hAnsi="仿宋_GB2312" w:cs="仿宋_GB2312" w:eastAsia="仿宋_GB2312"/>
          <w:b w:val="false"/>
          <w:i w:val="false"/>
          <w:color w:val="000000"/>
          <w:spacing w:val="0"/>
          <w:position w:val="0"/>
          <w:sz w:val="32"/>
          <w:szCs w:val="32"/>
          <w:vertAlign w:val="baseline"/>
        </w:rPr>
        <w:t xml:space="preserve"> 本条例所称湿地公园，是指经国务院林业主管部门批准设立的山西静乐汾河川国家湿地公园（以下简称湿地公园）。</w:t>
      </w:r>
    </w:p>
    <w:p>
      <w:pPr>
        <w:pStyle w:val="Normal"/>
        <w:numPr>
          <w:ilvl w:val="0"/>
          <w:numId w:val="0"/>
        </w:numPr>
        <w:tabs>
          <w:tab w:val="clear" w:pos="420"/>
          <w:tab w:val="left" w:pos="0" w:leader="none"/>
        </w:tabs>
        <w:autoSpaceDE w:val="true"/>
        <w:snapToGrid w:val="true"/>
        <w:spacing w:lineRule="auto" w:line="240" w:before="0" w:after="0"/>
        <w:ind w:firstLine="640" w:start="141"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静乐县人民政府应当划定湿地公园及其外围保护地带、周边景观控制区（以下简称保护范围），并将保护范围向社会公布，在湿地公园规定的保护范围设立保护界标。</w:t>
      </w:r>
    </w:p>
    <w:p>
      <w:pPr>
        <w:pStyle w:val="Normal"/>
        <w:numPr>
          <w:ilvl w:val="0"/>
          <w:numId w:val="0"/>
        </w:numPr>
        <w:tabs>
          <w:tab w:val="clear" w:pos="420"/>
          <w:tab w:val="left" w:pos="0" w:leader="none"/>
        </w:tabs>
        <w:autoSpaceDE w:val="true"/>
        <w:snapToGrid w:val="true"/>
        <w:spacing w:lineRule="exact" w:line="62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第三条</w:t>
      </w:r>
      <w:r>
        <w:rPr>
          <w:rFonts w:ascii="仿宋_GB2312" w:hAnsi="仿宋_GB2312" w:cs="仿宋_GB2312" w:eastAsia="仿宋_GB2312"/>
          <w:b w:val="false"/>
          <w:i w:val="false"/>
          <w:color w:val="000000"/>
          <w:spacing w:val="0"/>
          <w:position w:val="0"/>
          <w:sz w:val="32"/>
          <w:szCs w:val="32"/>
          <w:vertAlign w:val="baseline"/>
        </w:rPr>
        <w:t xml:space="preserve"> 湿地公园范围内的保护、修复、管理、利用等活动，应当遵循保护优先、系统治理、科学修复、合理利用的原则。 </w:t>
      </w:r>
    </w:p>
    <w:p>
      <w:pPr>
        <w:pStyle w:val="Normal"/>
        <w:numPr>
          <w:ilvl w:val="0"/>
          <w:numId w:val="0"/>
        </w:numPr>
        <w:tabs>
          <w:tab w:val="clear" w:pos="420"/>
          <w:tab w:val="left" w:pos="0" w:leader="none"/>
        </w:tabs>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第四条</w:t>
      </w:r>
      <w:r>
        <w:rPr>
          <w:rFonts w:ascii="仿宋_GB2312" w:hAnsi="仿宋_GB2312" w:cs="仿宋_GB2312" w:eastAsia="仿宋_GB2312"/>
          <w:b w:val="false"/>
          <w:i w:val="false"/>
          <w:color w:val="000000"/>
          <w:spacing w:val="0"/>
          <w:position w:val="0"/>
          <w:sz w:val="32"/>
          <w:szCs w:val="32"/>
          <w:vertAlign w:val="baseline"/>
        </w:rPr>
        <w:t xml:space="preserve"> 静乐县人民政府应当将湿地公园保护纳入国民经济和社会发展规划，并将湿地公园保护管理资金纳入本级财政预算。</w:t>
      </w:r>
    </w:p>
    <w:p>
      <w:pPr>
        <w:pStyle w:val="Normal"/>
        <w:numPr>
          <w:ilvl w:val="0"/>
          <w:numId w:val="0"/>
        </w:numPr>
        <w:tabs>
          <w:tab w:val="clear" w:pos="420"/>
          <w:tab w:val="left" w:pos="0" w:leader="none"/>
        </w:tabs>
        <w:autoSpaceDE w:val="true"/>
        <w:snapToGrid w:val="true"/>
        <w:spacing w:lineRule="auto" w:line="240" w:before="0" w:after="0"/>
        <w:ind w:hanging="0" w:start="0" w:end="0"/>
        <w:jc w:val="start"/>
        <w:rPr>
          <w:rFonts w:ascii="仿宋_GB2312" w:hAnsi="仿宋_GB2312" w:eastAsia="仿宋_GB2312" w:cs="仿宋_GB2312"/>
          <w:b w:val="false"/>
          <w:i w:val="false"/>
          <w:color w:val="000000"/>
          <w:spacing w:val="0"/>
          <w:position w:val="0"/>
          <w:sz w:val="32"/>
          <w:szCs w:val="32"/>
          <w:vertAlign w:val="baseline"/>
        </w:rPr>
      </w:pPr>
      <w:r>
        <w:rPr>
          <w:rFonts w:eastAsia="仿宋_GB2312" w:cs="仿宋_GB2312" w:ascii="仿宋_GB2312" w:hAnsi="仿宋_GB2312"/>
          <w:b/>
          <w:i w:val="false"/>
          <w:color w:val="000000"/>
          <w:spacing w:val="0"/>
          <w:position w:val="0"/>
          <w:sz w:val="32"/>
          <w:szCs w:val="32"/>
          <w:vertAlign w:val="baseline"/>
        </w:rPr>
        <w:t xml:space="preserve">    </w:t>
      </w:r>
      <w:r>
        <w:rPr>
          <w:rFonts w:ascii="仿宋_GB2312" w:hAnsi="仿宋_GB2312" w:cs="仿宋_GB2312" w:eastAsia="仿宋_GB2312"/>
          <w:b/>
          <w:i w:val="false"/>
          <w:color w:val="000000"/>
          <w:spacing w:val="0"/>
          <w:position w:val="0"/>
          <w:sz w:val="32"/>
          <w:szCs w:val="32"/>
          <w:vertAlign w:val="baseline"/>
        </w:rPr>
        <w:t>第五条</w:t>
      </w:r>
      <w:r>
        <w:rPr>
          <w:rFonts w:ascii="仿宋_GB2312" w:hAnsi="仿宋_GB2312" w:cs="仿宋_GB2312" w:eastAsia="仿宋_GB2312"/>
          <w:b w:val="false"/>
          <w:i w:val="false"/>
          <w:color w:val="000000"/>
          <w:spacing w:val="0"/>
          <w:position w:val="0"/>
          <w:sz w:val="32"/>
          <w:szCs w:val="32"/>
          <w:vertAlign w:val="baseline"/>
        </w:rPr>
        <w:t xml:space="preserve"> 静乐县人民政府应当建立湿地公园保护综合协调机制，统筹解决湿地公园保护工作中的重大问题。</w:t>
      </w:r>
    </w:p>
    <w:p>
      <w:pPr>
        <w:pStyle w:val="Normal"/>
        <w:numPr>
          <w:ilvl w:val="0"/>
          <w:numId w:val="0"/>
        </w:numPr>
        <w:tabs>
          <w:tab w:val="clear" w:pos="420"/>
          <w:tab w:val="left" w:pos="0" w:leader="none"/>
        </w:tabs>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静乐县人民政府林业草原主管部门为湿地公园行政主管部门，负责组织、协调、指导和监督湿地公园保护管理工作。</w:t>
      </w:r>
    </w:p>
    <w:p>
      <w:pPr>
        <w:pStyle w:val="Normal"/>
        <w:numPr>
          <w:ilvl w:val="0"/>
          <w:numId w:val="0"/>
        </w:numPr>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静乐县人民政府自然资源、生态环境、水利、农业农村等有关部门按照各自职责承担湿地公园保护、修复和管理等相关工作。</w:t>
      </w:r>
    </w:p>
    <w:p>
      <w:pPr>
        <w:pStyle w:val="Normal"/>
        <w:numPr>
          <w:ilvl w:val="0"/>
          <w:numId w:val="0"/>
        </w:numPr>
        <w:tabs>
          <w:tab w:val="clear" w:pos="420"/>
          <w:tab w:val="left" w:pos="0" w:leader="none"/>
        </w:tabs>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静乐县人民政府湿地公园管理服务机构（以下简称服务机构），负责湿地公园具体工作。</w:t>
      </w:r>
    </w:p>
    <w:p>
      <w:pPr>
        <w:pStyle w:val="Normal"/>
        <w:numPr>
          <w:ilvl w:val="0"/>
          <w:numId w:val="0"/>
        </w:numPr>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湿地公园所在地乡（镇）人民政府应当协助有关部门做好湿地公园保护管理工作。</w:t>
      </w:r>
    </w:p>
    <w:p>
      <w:pPr>
        <w:pStyle w:val="Normal"/>
        <w:numPr>
          <w:ilvl w:val="0"/>
          <w:numId w:val="0"/>
        </w:numPr>
        <w:tabs>
          <w:tab w:val="clear" w:pos="420"/>
          <w:tab w:val="left" w:pos="0" w:leader="none"/>
        </w:tabs>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第六条</w:t>
      </w:r>
      <w:r>
        <w:rPr>
          <w:rFonts w:ascii="仿宋_GB2312" w:hAnsi="仿宋_GB2312" w:cs="仿宋_GB2312" w:eastAsia="仿宋_GB2312"/>
          <w:b w:val="false"/>
          <w:i w:val="false"/>
          <w:color w:val="000000"/>
          <w:spacing w:val="0"/>
          <w:position w:val="0"/>
          <w:sz w:val="32"/>
          <w:szCs w:val="32"/>
          <w:vertAlign w:val="baseline"/>
        </w:rPr>
        <w:t xml:space="preserve"> 湿地公园所在地村民委员会应当配合做好湿地公园保护的相关工作。</w:t>
      </w:r>
    </w:p>
    <w:p>
      <w:pPr>
        <w:pStyle w:val="Normal"/>
        <w:numPr>
          <w:ilvl w:val="0"/>
          <w:numId w:val="0"/>
        </w:numPr>
        <w:tabs>
          <w:tab w:val="clear" w:pos="420"/>
          <w:tab w:val="left" w:pos="0" w:leader="none"/>
        </w:tabs>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鼓励将湿地公园保护纳入村规民约。</w:t>
      </w:r>
    </w:p>
    <w:p>
      <w:pPr>
        <w:pStyle w:val="Normal"/>
        <w:numPr>
          <w:ilvl w:val="0"/>
          <w:numId w:val="0"/>
        </w:numPr>
        <w:tabs>
          <w:tab w:val="clear" w:pos="420"/>
          <w:tab w:val="left" w:pos="0" w:leader="none"/>
        </w:tabs>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第七条</w:t>
      </w:r>
      <w:r>
        <w:rPr>
          <w:rFonts w:ascii="仿宋_GB2312" w:hAnsi="仿宋_GB2312" w:cs="仿宋_GB2312" w:eastAsia="仿宋_GB2312"/>
          <w:b w:val="false"/>
          <w:i w:val="false"/>
          <w:color w:val="000000"/>
          <w:spacing w:val="0"/>
          <w:position w:val="0"/>
          <w:sz w:val="32"/>
          <w:szCs w:val="32"/>
          <w:vertAlign w:val="baseline"/>
        </w:rPr>
        <w:t xml:space="preserve"> 任何组织和个人都有保护湿地的义务，对破坏湿地的行为有权举报或者控告。</w:t>
      </w:r>
    </w:p>
    <w:p>
      <w:pPr>
        <w:pStyle w:val="Normal"/>
        <w:numPr>
          <w:ilvl w:val="0"/>
          <w:numId w:val="0"/>
        </w:numPr>
        <w:tabs>
          <w:tab w:val="clear" w:pos="420"/>
          <w:tab w:val="left" w:pos="0" w:leader="none"/>
        </w:tabs>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接到举报或者控告的机关应当及时处理，并依法保护举报人合法权益。</w:t>
      </w:r>
    </w:p>
    <w:p>
      <w:pPr>
        <w:pStyle w:val="Normal"/>
        <w:numPr>
          <w:ilvl w:val="0"/>
          <w:numId w:val="0"/>
        </w:numPr>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第八条</w:t>
      </w:r>
      <w:r>
        <w:rPr>
          <w:rFonts w:ascii="仿宋_GB2312" w:hAnsi="仿宋_GB2312" w:cs="仿宋_GB2312" w:eastAsia="仿宋_GB2312"/>
          <w:b w:val="false"/>
          <w:i w:val="false"/>
          <w:color w:val="000000"/>
          <w:spacing w:val="0"/>
          <w:position w:val="0"/>
          <w:sz w:val="32"/>
          <w:szCs w:val="32"/>
          <w:vertAlign w:val="baseline"/>
        </w:rPr>
        <w:t xml:space="preserve"> 鼓励公民、法人和其他组织捐赠资金支持湿地公园保护。</w:t>
      </w:r>
    </w:p>
    <w:p>
      <w:pPr>
        <w:pStyle w:val="Normal"/>
        <w:numPr>
          <w:ilvl w:val="0"/>
          <w:numId w:val="0"/>
        </w:numPr>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对在湿地公园保护过程中，做出特殊贡献的组织或者个人，静乐县人民政府应当给予表彰或者奖励。</w:t>
      </w:r>
    </w:p>
    <w:p>
      <w:pPr>
        <w:pStyle w:val="Normal"/>
        <w:numPr>
          <w:ilvl w:val="0"/>
          <w:numId w:val="0"/>
        </w:numPr>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eastAsia="仿宋_GB2312" w:cs="仿宋_GB2312" w:ascii="仿宋_GB2312" w:hAnsi="仿宋_GB2312"/>
          <w:b w:val="false"/>
          <w:i w:val="false"/>
          <w:color w:val="000000"/>
          <w:spacing w:val="0"/>
          <w:position w:val="0"/>
          <w:sz w:val="32"/>
          <w:szCs w:val="32"/>
          <w:vertAlign w:val="baseline"/>
        </w:rPr>
      </w:r>
    </w:p>
    <w:p>
      <w:pPr>
        <w:pStyle w:val="Normal"/>
        <w:numPr>
          <w:ilvl w:val="0"/>
          <w:numId w:val="0"/>
        </w:numPr>
        <w:autoSpaceDE w:val="true"/>
        <w:bidi w:val="0"/>
        <w:snapToGrid w:val="true"/>
        <w:spacing w:lineRule="auto" w:line="240" w:before="0" w:after="0"/>
        <w:ind w:hanging="0" w:start="0" w:end="0"/>
        <w:jc w:val="center"/>
        <w:rPr>
          <w:rFonts w:ascii="仿宋_GB2312" w:hAnsi="仿宋_GB2312" w:eastAsia="仿宋_GB2312" w:cs="仿宋_GB2312"/>
          <w:b/>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第二章</w:t>
      </w:r>
      <w:r>
        <w:rPr>
          <w:rFonts w:ascii="仿宋_GB2312" w:hAnsi="仿宋_GB2312" w:cs="仿宋_GB2312" w:hint="eastAsia" w:eastAsia="仿宋_GB2312"/>
          <w:b/>
          <w:i w:val="false"/>
          <w:color w:val="000000"/>
          <w:spacing w:val="0"/>
          <w:position w:val="0"/>
          <w:sz w:val="32"/>
          <w:szCs w:val="32"/>
          <w:vertAlign w:val="baseline"/>
        </w:rPr>
        <w:t xml:space="preserve">  规划</w:t>
      </w:r>
      <w:r>
        <w:rPr>
          <w:rFonts w:ascii="仿宋_GB2312" w:hAnsi="仿宋_GB2312" w:cs="仿宋_GB2312" w:eastAsia="仿宋_GB2312"/>
          <w:b/>
          <w:i w:val="false"/>
          <w:color w:val="000000"/>
          <w:spacing w:val="0"/>
          <w:position w:val="0"/>
          <w:sz w:val="32"/>
          <w:szCs w:val="32"/>
          <w:vertAlign w:val="baseline"/>
        </w:rPr>
        <w:t>与管理</w:t>
      </w:r>
    </w:p>
    <w:p>
      <w:pPr>
        <w:pStyle w:val="Normal"/>
        <w:numPr>
          <w:ilvl w:val="0"/>
          <w:numId w:val="0"/>
        </w:numPr>
        <w:autoSpaceDE w:val="true"/>
        <w:snapToGrid w:val="true"/>
        <w:spacing w:lineRule="auto" w:line="240" w:before="0" w:after="0"/>
        <w:ind w:hanging="0" w:start="0" w:end="0"/>
        <w:jc w:val="start"/>
        <w:rPr>
          <w:rFonts w:ascii="仿宋_GB2312" w:hAnsi="仿宋_GB2312" w:eastAsia="仿宋_GB2312" w:cs="仿宋_GB2312"/>
          <w:b w:val="false"/>
          <w:i w:val="false"/>
          <w:color w:val="000000"/>
          <w:spacing w:val="0"/>
          <w:position w:val="0"/>
          <w:sz w:val="32"/>
          <w:szCs w:val="32"/>
          <w:vertAlign w:val="baseline"/>
        </w:rPr>
      </w:pPr>
      <w:r>
        <w:rPr>
          <w:rFonts w:eastAsia="仿宋_GB2312" w:cs="仿宋_GB2312" w:ascii="仿宋_GB2312" w:hAnsi="仿宋_GB2312"/>
          <w:b w:val="false"/>
          <w:i w:val="false"/>
          <w:color w:val="000000"/>
          <w:spacing w:val="0"/>
          <w:position w:val="0"/>
          <w:sz w:val="32"/>
          <w:szCs w:val="32"/>
          <w:vertAlign w:val="baseline"/>
        </w:rPr>
      </w:r>
    </w:p>
    <w:p>
      <w:pPr>
        <w:pStyle w:val="Normal"/>
        <w:numPr>
          <w:ilvl w:val="0"/>
          <w:numId w:val="0"/>
        </w:numPr>
        <w:tabs>
          <w:tab w:val="clear" w:pos="420"/>
          <w:tab w:val="left" w:pos="0" w:leader="none"/>
        </w:tabs>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第九条</w:t>
      </w:r>
      <w:r>
        <w:rPr>
          <w:rFonts w:ascii="仿宋_GB2312" w:hAnsi="仿宋_GB2312" w:cs="仿宋_GB2312" w:eastAsia="仿宋_GB2312"/>
          <w:b w:val="false"/>
          <w:i w:val="false"/>
          <w:color w:val="000000"/>
          <w:spacing w:val="0"/>
          <w:position w:val="0"/>
          <w:sz w:val="32"/>
          <w:szCs w:val="32"/>
          <w:vertAlign w:val="baseline"/>
        </w:rPr>
        <w:t xml:space="preserve"> 静乐县人民政府应当按照国家湿地公园总体规划编制湿地公园保护规划。</w:t>
      </w:r>
    </w:p>
    <w:p>
      <w:pPr>
        <w:pStyle w:val="Normal"/>
        <w:numPr>
          <w:ilvl w:val="0"/>
          <w:numId w:val="0"/>
        </w:numPr>
        <w:tabs>
          <w:tab w:val="clear" w:pos="420"/>
          <w:tab w:val="left" w:pos="0" w:leader="none"/>
        </w:tabs>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第十条</w:t>
      </w:r>
      <w:r>
        <w:rPr>
          <w:rFonts w:ascii="仿宋_GB2312" w:hAnsi="仿宋_GB2312" w:cs="仿宋_GB2312" w:eastAsia="仿宋_GB2312"/>
          <w:b w:val="false"/>
          <w:i w:val="false"/>
          <w:color w:val="000000"/>
          <w:spacing w:val="0"/>
          <w:position w:val="0"/>
          <w:sz w:val="32"/>
          <w:szCs w:val="32"/>
          <w:vertAlign w:val="baseline"/>
        </w:rPr>
        <w:t xml:space="preserve"> 湿地公园保护规划应当明确保护的目标任务、总体布局、保护重点和保护措施等内容。 </w:t>
      </w:r>
    </w:p>
    <w:p>
      <w:pPr>
        <w:pStyle w:val="Normal"/>
        <w:numPr>
          <w:ilvl w:val="0"/>
          <w:numId w:val="0"/>
        </w:numPr>
        <w:tabs>
          <w:tab w:val="clear" w:pos="420"/>
          <w:tab w:val="left" w:pos="0" w:leader="none"/>
        </w:tabs>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第十一条</w:t>
      </w:r>
      <w:r>
        <w:rPr>
          <w:rFonts w:ascii="仿宋_GB2312" w:hAnsi="仿宋_GB2312" w:cs="仿宋_GB2312" w:eastAsia="仿宋_GB2312"/>
          <w:b w:val="false"/>
          <w:i w:val="false"/>
          <w:color w:val="000000"/>
          <w:spacing w:val="0"/>
          <w:position w:val="0"/>
          <w:sz w:val="32"/>
          <w:szCs w:val="32"/>
          <w:vertAlign w:val="baseline"/>
        </w:rPr>
        <w:t xml:space="preserve"> 经批准的湿地公园保护规划，任何单位和个人不得擅自变更。确需变更的，应当按照原批准程序进行。</w:t>
      </w:r>
    </w:p>
    <w:p>
      <w:pPr>
        <w:pStyle w:val="Normal"/>
        <w:numPr>
          <w:ilvl w:val="0"/>
          <w:numId w:val="0"/>
        </w:numPr>
        <w:tabs>
          <w:tab w:val="clear" w:pos="420"/>
          <w:tab w:val="left" w:pos="0" w:leader="none"/>
        </w:tabs>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第十二条</w:t>
      </w:r>
      <w:r>
        <w:rPr>
          <w:rFonts w:ascii="仿宋_GB2312" w:hAnsi="仿宋_GB2312" w:cs="仿宋_GB2312" w:eastAsia="仿宋_GB2312"/>
          <w:b w:val="false"/>
          <w:i w:val="false"/>
          <w:color w:val="000000"/>
          <w:spacing w:val="0"/>
          <w:position w:val="0"/>
          <w:sz w:val="32"/>
          <w:szCs w:val="32"/>
          <w:vertAlign w:val="baseline"/>
        </w:rPr>
        <w:t xml:space="preserve"> 在湿地公园内从事建设活动，应当符合保护规划的要求，不得破坏自然资源和生态环境。</w:t>
      </w:r>
    </w:p>
    <w:p>
      <w:pPr>
        <w:pStyle w:val="Normal"/>
        <w:numPr>
          <w:ilvl w:val="0"/>
          <w:numId w:val="0"/>
        </w:numPr>
        <w:tabs>
          <w:tab w:val="clear" w:pos="420"/>
          <w:tab w:val="left" w:pos="0" w:leader="none"/>
          <w:tab w:val="left" w:pos="567" w:leader="none"/>
        </w:tabs>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第十三条</w:t>
      </w:r>
      <w:r>
        <w:rPr>
          <w:rFonts w:ascii="仿宋_GB2312" w:hAnsi="仿宋_GB2312" w:cs="仿宋_GB2312" w:eastAsia="仿宋_GB2312"/>
          <w:b w:val="false"/>
          <w:i w:val="false"/>
          <w:color w:val="000000"/>
          <w:spacing w:val="0"/>
          <w:position w:val="0"/>
          <w:sz w:val="32"/>
          <w:szCs w:val="32"/>
          <w:vertAlign w:val="baseline"/>
        </w:rPr>
        <w:t xml:space="preserve"> </w:t>
      </w:r>
      <w:r>
        <w:rPr>
          <w:rFonts w:ascii="仿宋_GB2312" w:hAnsi="仿宋_GB2312" w:cs="仿宋_GB2312" w:eastAsia="仿宋_GB2312"/>
          <w:b w:val="false"/>
          <w:i w:val="false"/>
          <w:color w:val="000000"/>
          <w:spacing w:val="0"/>
          <w:w w:val="90"/>
          <w:position w:val="0"/>
          <w:sz w:val="32"/>
          <w:szCs w:val="32"/>
          <w:vertAlign w:val="baseline"/>
        </w:rPr>
        <w:t>静乐县人民政府及其有关部门应当采取措施</w:t>
      </w:r>
      <w:r>
        <w:rPr>
          <w:rFonts w:ascii="仿宋_GB2312" w:hAnsi="仿宋_GB2312" w:cs="仿宋_GB2312" w:eastAsia="仿宋_GB2312"/>
          <w:b w:val="false"/>
          <w:i w:val="false"/>
          <w:color w:val="000000"/>
          <w:spacing w:val="0"/>
          <w:position w:val="0"/>
          <w:sz w:val="32"/>
          <w:szCs w:val="32"/>
          <w:vertAlign w:val="baseline"/>
        </w:rPr>
        <w:t>，预防和控制人为活动对湿地及其生物多样性的不利影响，防止人为因素和自然因素导致的湿地退化，维护湿地生态功能稳定。</w:t>
      </w:r>
    </w:p>
    <w:p>
      <w:pPr>
        <w:pStyle w:val="Normal"/>
        <w:numPr>
          <w:ilvl w:val="0"/>
          <w:numId w:val="0"/>
        </w:numPr>
        <w:tabs>
          <w:tab w:val="clear" w:pos="420"/>
          <w:tab w:val="left" w:pos="0" w:leader="none"/>
          <w:tab w:val="left" w:pos="567"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第十四条</w:t>
      </w:r>
      <w:r>
        <w:rPr>
          <w:rFonts w:ascii="仿宋_GB2312" w:hAnsi="仿宋_GB2312" w:cs="仿宋_GB2312" w:eastAsia="仿宋_GB2312"/>
          <w:b w:val="false"/>
          <w:i w:val="false"/>
          <w:color w:val="000000"/>
          <w:spacing w:val="0"/>
          <w:position w:val="0"/>
          <w:sz w:val="32"/>
          <w:szCs w:val="32"/>
          <w:vertAlign w:val="baseline"/>
        </w:rPr>
        <w:t xml:space="preserve"> 静乐县人民政府及其有关部门应当加强湿地水、土壤污染防治。</w:t>
      </w:r>
    </w:p>
    <w:p>
      <w:pPr>
        <w:pStyle w:val="Normal"/>
        <w:numPr>
          <w:ilvl w:val="0"/>
          <w:numId w:val="0"/>
        </w:numPr>
        <w:tabs>
          <w:tab w:val="clear" w:pos="420"/>
          <w:tab w:val="left" w:pos="0" w:leader="none"/>
          <w:tab w:val="left" w:pos="567"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禁止向湿地公园排放不符合排放标准的工业废水、生活污水及其他污染湿地公园的废水、污水。</w:t>
      </w:r>
    </w:p>
    <w:p>
      <w:pPr>
        <w:pStyle w:val="Normal"/>
        <w:numPr>
          <w:ilvl w:val="0"/>
          <w:numId w:val="0"/>
        </w:numPr>
        <w:tabs>
          <w:tab w:val="clear" w:pos="420"/>
          <w:tab w:val="left" w:pos="0" w:leader="none"/>
          <w:tab w:val="left" w:pos="567"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禁止向湿地公园倾倒、堆放、丢弃、遗撒固体废物。</w:t>
      </w:r>
    </w:p>
    <w:p>
      <w:pPr>
        <w:pStyle w:val="Normal"/>
        <w:numPr>
          <w:ilvl w:val="0"/>
          <w:numId w:val="0"/>
        </w:numPr>
        <w:tabs>
          <w:tab w:val="clear" w:pos="420"/>
          <w:tab w:val="left" w:pos="0"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第十五条</w:t>
      </w:r>
      <w:r>
        <w:rPr>
          <w:rFonts w:ascii="仿宋_GB2312" w:hAnsi="仿宋_GB2312" w:cs="仿宋_GB2312" w:eastAsia="仿宋_GB2312"/>
          <w:b w:val="false"/>
          <w:i w:val="false"/>
          <w:color w:val="000000"/>
          <w:spacing w:val="0"/>
          <w:position w:val="0"/>
          <w:sz w:val="32"/>
          <w:szCs w:val="32"/>
          <w:vertAlign w:val="baseline"/>
        </w:rPr>
        <w:t xml:space="preserve"> 服务机构根据湿地公园保护的需要，可以面向社会招聘湿地公园管护员，并提供管护员所需要的装备和设备，管护员的工资由县级财政给予保障。</w:t>
      </w:r>
    </w:p>
    <w:p>
      <w:pPr>
        <w:pStyle w:val="Normal"/>
        <w:numPr>
          <w:ilvl w:val="0"/>
          <w:numId w:val="0"/>
        </w:numPr>
        <w:tabs>
          <w:tab w:val="clear" w:pos="420"/>
          <w:tab w:val="left" w:pos="0"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服务机构对招聘的管护员应当建立和完善管护员管理制度，加强对管护员相关知识培训和业务指导。</w:t>
      </w:r>
    </w:p>
    <w:p>
      <w:pPr>
        <w:pStyle w:val="Normal"/>
        <w:numPr>
          <w:ilvl w:val="0"/>
          <w:numId w:val="0"/>
        </w:numPr>
        <w:tabs>
          <w:tab w:val="clear" w:pos="420"/>
          <w:tab w:val="left" w:pos="0" w:leader="none"/>
          <w:tab w:val="left" w:pos="567"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第十六条</w:t>
      </w:r>
      <w:r>
        <w:rPr>
          <w:rFonts w:ascii="仿宋_GB2312" w:hAnsi="仿宋_GB2312" w:cs="仿宋_GB2312" w:eastAsia="仿宋_GB2312"/>
          <w:b w:val="false"/>
          <w:i w:val="false"/>
          <w:color w:val="000000"/>
          <w:spacing w:val="0"/>
          <w:position w:val="0"/>
          <w:sz w:val="32"/>
          <w:szCs w:val="32"/>
          <w:vertAlign w:val="baseline"/>
        </w:rPr>
        <w:t xml:space="preserve"> 静乐县人民政府有关湿地管理主管部门应当定期组织开展湿地资源调查和环境动态监测，建立湿地资源档案和环境监测数据库，加强生态风险预警。</w:t>
      </w:r>
    </w:p>
    <w:p>
      <w:pPr>
        <w:pStyle w:val="Normal"/>
        <w:numPr>
          <w:ilvl w:val="0"/>
          <w:numId w:val="0"/>
        </w:numPr>
        <w:tabs>
          <w:tab w:val="clear" w:pos="420"/>
          <w:tab w:val="left" w:pos="0"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野生动植物保护主管部门应当按照职责，开展湿地有害生物监测和防治。</w:t>
      </w:r>
    </w:p>
    <w:p>
      <w:pPr>
        <w:pStyle w:val="Normal"/>
        <w:numPr>
          <w:ilvl w:val="0"/>
          <w:numId w:val="0"/>
        </w:numPr>
        <w:autoSpaceDE w:val="true"/>
        <w:snapToGrid w:val="true"/>
        <w:spacing w:lineRule="auto" w:line="240" w:before="0" w:after="0"/>
        <w:ind w:hanging="0" w:start="0" w:end="0"/>
        <w:jc w:val="start"/>
        <w:rPr>
          <w:rFonts w:ascii="仿宋_GB2312" w:hAnsi="仿宋_GB2312" w:eastAsia="仿宋_GB2312" w:cs="仿宋_GB2312"/>
          <w:b w:val="false"/>
          <w:i w:val="false"/>
          <w:color w:val="000000"/>
          <w:spacing w:val="0"/>
          <w:position w:val="0"/>
          <w:sz w:val="32"/>
          <w:szCs w:val="32"/>
          <w:vertAlign w:val="baseline"/>
        </w:rPr>
      </w:pPr>
      <w:r>
        <w:rPr>
          <w:rFonts w:eastAsia="仿宋_GB2312" w:cs="仿宋_GB2312" w:ascii="仿宋_GB2312" w:hAnsi="仿宋_GB2312"/>
          <w:b w:val="false"/>
          <w:i w:val="false"/>
          <w:color w:val="000000"/>
          <w:spacing w:val="0"/>
          <w:position w:val="0"/>
          <w:sz w:val="32"/>
          <w:szCs w:val="32"/>
          <w:vertAlign w:val="baseline"/>
        </w:rPr>
      </w:r>
    </w:p>
    <w:p>
      <w:pPr>
        <w:pStyle w:val="Normal"/>
        <w:numPr>
          <w:ilvl w:val="0"/>
          <w:numId w:val="0"/>
        </w:numPr>
        <w:autoSpaceDE w:val="true"/>
        <w:bidi w:val="0"/>
        <w:snapToGrid w:val="true"/>
        <w:spacing w:lineRule="auto" w:line="240" w:before="0" w:after="0"/>
        <w:ind w:hanging="0" w:start="0" w:end="0"/>
        <w:jc w:val="center"/>
        <w:rPr>
          <w:rFonts w:ascii="仿宋_GB2312" w:hAnsi="仿宋_GB2312" w:eastAsia="仿宋_GB2312" w:cs="仿宋_GB2312"/>
          <w:b/>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第三章 修复与利用</w:t>
      </w:r>
    </w:p>
    <w:p>
      <w:pPr>
        <w:pStyle w:val="Normal"/>
        <w:numPr>
          <w:ilvl w:val="0"/>
          <w:numId w:val="0"/>
        </w:numPr>
        <w:autoSpaceDE w:val="true"/>
        <w:snapToGrid w:val="true"/>
        <w:spacing w:lineRule="auto" w:line="240" w:before="0" w:after="0"/>
        <w:ind w:hanging="0" w:start="0" w:end="0"/>
        <w:jc w:val="start"/>
        <w:rPr>
          <w:rFonts w:ascii="仿宋_GB2312" w:hAnsi="仿宋_GB2312" w:eastAsia="仿宋_GB2312" w:cs="仿宋_GB2312"/>
          <w:b/>
          <w:i w:val="false"/>
          <w:color w:val="000000"/>
          <w:spacing w:val="0"/>
          <w:position w:val="0"/>
          <w:sz w:val="32"/>
          <w:szCs w:val="32"/>
          <w:vertAlign w:val="baseline"/>
        </w:rPr>
      </w:pPr>
      <w:r>
        <w:rPr>
          <w:rFonts w:eastAsia="仿宋_GB2312" w:cs="仿宋_GB2312" w:ascii="仿宋_GB2312" w:hAnsi="仿宋_GB2312"/>
          <w:b/>
          <w:i w:val="false"/>
          <w:color w:val="000000"/>
          <w:spacing w:val="0"/>
          <w:position w:val="0"/>
          <w:sz w:val="32"/>
          <w:szCs w:val="32"/>
          <w:vertAlign w:val="baseline"/>
        </w:rPr>
      </w:r>
    </w:p>
    <w:p>
      <w:pPr>
        <w:pStyle w:val="Normal"/>
        <w:numPr>
          <w:ilvl w:val="0"/>
          <w:numId w:val="0"/>
        </w:numPr>
        <w:tabs>
          <w:tab w:val="clear" w:pos="420"/>
          <w:tab w:val="left" w:pos="0" w:leader="none"/>
          <w:tab w:val="left" w:pos="567"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第十七条</w:t>
      </w:r>
      <w:r>
        <w:rPr>
          <w:rFonts w:ascii="仿宋_GB2312" w:hAnsi="仿宋_GB2312" w:cs="仿宋_GB2312" w:eastAsia="仿宋_GB2312"/>
          <w:b w:val="false"/>
          <w:i w:val="false"/>
          <w:color w:val="000000"/>
          <w:spacing w:val="0"/>
          <w:position w:val="0"/>
          <w:sz w:val="32"/>
          <w:szCs w:val="32"/>
          <w:vertAlign w:val="baseline"/>
        </w:rPr>
        <w:t xml:space="preserve"> 湿地修复应当实行“自然恢复为主、自然恢复与人工修复相结合”的原则，恢复湿地面积和湿地生态功能，提高湿地生态系统质量。</w:t>
      </w:r>
    </w:p>
    <w:p>
      <w:pPr>
        <w:pStyle w:val="Normal"/>
        <w:numPr>
          <w:ilvl w:val="0"/>
          <w:numId w:val="0"/>
        </w:numPr>
        <w:tabs>
          <w:tab w:val="clear" w:pos="420"/>
          <w:tab w:val="left" w:pos="0"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第十八条</w:t>
      </w:r>
      <w:r>
        <w:rPr>
          <w:rFonts w:ascii="仿宋_GB2312" w:hAnsi="仿宋_GB2312" w:cs="仿宋_GB2312" w:eastAsia="仿宋_GB2312"/>
          <w:b w:val="false"/>
          <w:i w:val="false"/>
          <w:color w:val="000000"/>
          <w:spacing w:val="0"/>
          <w:position w:val="0"/>
          <w:sz w:val="32"/>
          <w:szCs w:val="32"/>
          <w:vertAlign w:val="baseline"/>
        </w:rPr>
        <w:t xml:space="preserve"> 静乐县人民政府湿地管理主管部门应当编制湿地修复方案，修复方案应当依法报请有关部门批准，并按照湿地修复方案进行修复。</w:t>
      </w:r>
    </w:p>
    <w:p>
      <w:pPr>
        <w:pStyle w:val="Normal"/>
        <w:numPr>
          <w:ilvl w:val="0"/>
          <w:numId w:val="0"/>
        </w:numPr>
        <w:tabs>
          <w:tab w:val="clear" w:pos="420"/>
          <w:tab w:val="left" w:pos="0" w:leader="none"/>
          <w:tab w:val="left" w:pos="567"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第十九条</w:t>
      </w:r>
      <w:r>
        <w:rPr>
          <w:rFonts w:ascii="仿宋_GB2312" w:hAnsi="仿宋_GB2312" w:cs="仿宋_GB2312" w:eastAsia="仿宋_GB2312"/>
          <w:b w:val="false"/>
          <w:i w:val="false"/>
          <w:color w:val="000000"/>
          <w:spacing w:val="0"/>
          <w:position w:val="0"/>
          <w:sz w:val="32"/>
          <w:szCs w:val="32"/>
          <w:vertAlign w:val="baseline"/>
        </w:rPr>
        <w:t xml:space="preserve"> 禁止在湿地公园范围内开垦种植农作物。</w:t>
      </w:r>
    </w:p>
    <w:p>
      <w:pPr>
        <w:pStyle w:val="Normal"/>
        <w:numPr>
          <w:ilvl w:val="0"/>
          <w:numId w:val="0"/>
        </w:numPr>
        <w:tabs>
          <w:tab w:val="clear" w:pos="420"/>
          <w:tab w:val="left" w:pos="0"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val="false"/>
          <w:i w:val="false"/>
          <w:color w:val="000000"/>
          <w:spacing w:val="0"/>
          <w:position w:val="0"/>
          <w:sz w:val="32"/>
          <w:szCs w:val="32"/>
          <w:vertAlign w:val="baseline"/>
        </w:rPr>
        <w:t>对于湿地公园内现有的耕地，静乐县人民政府应当采取措施鼓励逐步退出种植，实施生态修复。</w:t>
      </w:r>
    </w:p>
    <w:p>
      <w:pPr>
        <w:pStyle w:val="Normal"/>
        <w:numPr>
          <w:ilvl w:val="0"/>
          <w:numId w:val="0"/>
        </w:numPr>
        <w:tabs>
          <w:tab w:val="clear" w:pos="420"/>
          <w:tab w:val="left" w:pos="0" w:leader="none"/>
          <w:tab w:val="left" w:pos="567"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第二十条</w:t>
      </w:r>
      <w:r>
        <w:rPr>
          <w:rFonts w:ascii="仿宋_GB2312" w:hAnsi="仿宋_GB2312" w:cs="仿宋_GB2312" w:eastAsia="仿宋_GB2312"/>
          <w:b w:val="false"/>
          <w:i w:val="false"/>
          <w:color w:val="000000"/>
          <w:spacing w:val="0"/>
          <w:position w:val="0"/>
          <w:sz w:val="32"/>
          <w:szCs w:val="32"/>
          <w:vertAlign w:val="baseline"/>
        </w:rPr>
        <w:t xml:space="preserve"> 利用湿地公园内的资源应当符合湿地公园保护规划，维护湿地资源可持续利用。</w:t>
      </w:r>
    </w:p>
    <w:p>
      <w:pPr>
        <w:pStyle w:val="Normal"/>
        <w:numPr>
          <w:ilvl w:val="0"/>
          <w:numId w:val="0"/>
        </w:numPr>
        <w:tabs>
          <w:tab w:val="clear" w:pos="420"/>
          <w:tab w:val="left" w:pos="0" w:leader="none"/>
          <w:tab w:val="left" w:pos="567"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第二十一条</w:t>
      </w:r>
      <w:r>
        <w:rPr>
          <w:rFonts w:ascii="仿宋_GB2312" w:hAnsi="仿宋_GB2312" w:cs="仿宋_GB2312" w:eastAsia="仿宋_GB2312"/>
          <w:b w:val="false"/>
          <w:i w:val="false"/>
          <w:color w:val="000000"/>
          <w:spacing w:val="0"/>
          <w:position w:val="0"/>
          <w:sz w:val="32"/>
          <w:szCs w:val="32"/>
          <w:vertAlign w:val="baseline"/>
        </w:rPr>
        <w:t xml:space="preserve"> 开发利用湿地公园内生态资源，不得改变湿地生态系统的基本功能，不得超出资源的再生能力，不得</w:t>
      </w:r>
      <w:r>
        <w:rPr>
          <w:rFonts w:ascii="仿宋_GB2312" w:hAnsi="仿宋_GB2312" w:cs="仿宋_GB2312" w:eastAsia="仿宋_GB2312"/>
          <w:b w:val="false"/>
          <w:i w:val="false"/>
          <w:color w:val="000000"/>
          <w:spacing w:val="0"/>
          <w:w w:val="90"/>
          <w:position w:val="0"/>
          <w:sz w:val="32"/>
          <w:szCs w:val="32"/>
          <w:vertAlign w:val="baseline"/>
        </w:rPr>
        <w:t>给野生动植物物种造成损害，不得破坏野生动物的栖息环境</w:t>
      </w:r>
      <w:r>
        <w:rPr>
          <w:rFonts w:ascii="仿宋_GB2312" w:hAnsi="仿宋_GB2312" w:cs="仿宋_GB2312" w:eastAsia="仿宋_GB2312"/>
          <w:b w:val="false"/>
          <w:i w:val="false"/>
          <w:color w:val="000000"/>
          <w:spacing w:val="0"/>
          <w:position w:val="0"/>
          <w:sz w:val="32"/>
          <w:szCs w:val="32"/>
          <w:vertAlign w:val="baseline"/>
        </w:rPr>
        <w:t>。</w:t>
      </w:r>
    </w:p>
    <w:p>
      <w:pPr>
        <w:pStyle w:val="Normal"/>
        <w:numPr>
          <w:ilvl w:val="0"/>
          <w:numId w:val="0"/>
        </w:numPr>
        <w:tabs>
          <w:tab w:val="clear" w:pos="420"/>
          <w:tab w:val="left" w:pos="0" w:leader="none"/>
          <w:tab w:val="left" w:pos="567"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w w:val="9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第二十二条</w:t>
      </w:r>
      <w:r>
        <w:rPr>
          <w:rFonts w:ascii="仿宋_GB2312" w:hAnsi="仿宋_GB2312" w:cs="仿宋_GB2312" w:eastAsia="仿宋_GB2312"/>
          <w:b w:val="false"/>
          <w:i w:val="false"/>
          <w:color w:val="000000"/>
          <w:spacing w:val="0"/>
          <w:position w:val="0"/>
          <w:sz w:val="32"/>
          <w:szCs w:val="32"/>
          <w:vertAlign w:val="baseline"/>
        </w:rPr>
        <w:t xml:space="preserve"> 湿地公园内的设施、服务网点应当统一规</w:t>
      </w:r>
      <w:r>
        <w:rPr>
          <w:rFonts w:ascii="仿宋_GB2312" w:hAnsi="仿宋_GB2312" w:cs="仿宋_GB2312" w:eastAsia="仿宋_GB2312"/>
          <w:b w:val="false"/>
          <w:i w:val="false"/>
          <w:color w:val="000000"/>
          <w:spacing w:val="0"/>
          <w:w w:val="90"/>
          <w:position w:val="0"/>
          <w:sz w:val="32"/>
          <w:szCs w:val="32"/>
          <w:vertAlign w:val="baseline"/>
        </w:rPr>
        <w:t>划、合理布局、规范设置，并符合湿地生态环境保护的要求。</w:t>
      </w:r>
    </w:p>
    <w:p>
      <w:pPr>
        <w:pStyle w:val="Normal"/>
        <w:numPr>
          <w:ilvl w:val="0"/>
          <w:numId w:val="0"/>
        </w:numPr>
        <w:tabs>
          <w:tab w:val="clear" w:pos="420"/>
          <w:tab w:val="left" w:pos="0" w:leader="none"/>
          <w:tab w:val="left" w:pos="567" w:leader="none"/>
        </w:tabs>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第二十三条</w:t>
      </w:r>
      <w:r>
        <w:rPr>
          <w:rFonts w:ascii="仿宋_GB2312" w:hAnsi="仿宋_GB2312" w:cs="仿宋_GB2312" w:eastAsia="仿宋_GB2312"/>
          <w:b w:val="false"/>
          <w:i w:val="false"/>
          <w:color w:val="000000"/>
          <w:spacing w:val="0"/>
          <w:position w:val="0"/>
          <w:sz w:val="32"/>
          <w:szCs w:val="32"/>
          <w:vertAlign w:val="baseline"/>
        </w:rPr>
        <w:t xml:space="preserve"> 在湿地公园内举行各类活动，应当按照有</w:t>
      </w:r>
      <w:r>
        <w:rPr>
          <w:rFonts w:ascii="仿宋_GB2312" w:hAnsi="仿宋_GB2312" w:cs="仿宋_GB2312" w:eastAsia="仿宋_GB2312"/>
          <w:b w:val="false"/>
          <w:i w:val="false"/>
          <w:color w:val="000000"/>
          <w:spacing w:val="0"/>
          <w:w w:val="90"/>
          <w:position w:val="0"/>
          <w:sz w:val="32"/>
          <w:szCs w:val="32"/>
          <w:vertAlign w:val="baseline"/>
        </w:rPr>
        <w:t>关规定报批，并在指定区域内进行，不得破坏湿地生态环境</w:t>
      </w:r>
      <w:r>
        <w:rPr>
          <w:rFonts w:ascii="仿宋_GB2312" w:hAnsi="仿宋_GB2312" w:cs="仿宋_GB2312" w:eastAsia="仿宋_GB2312"/>
          <w:b w:val="false"/>
          <w:i w:val="false"/>
          <w:color w:val="000000"/>
          <w:spacing w:val="0"/>
          <w:position w:val="0"/>
          <w:sz w:val="32"/>
          <w:szCs w:val="32"/>
          <w:vertAlign w:val="baseline"/>
        </w:rPr>
        <w:t>。</w:t>
      </w:r>
    </w:p>
    <w:p>
      <w:pPr>
        <w:pStyle w:val="Normal"/>
        <w:numPr>
          <w:ilvl w:val="0"/>
          <w:numId w:val="0"/>
        </w:numPr>
        <w:tabs>
          <w:tab w:val="clear" w:pos="420"/>
          <w:tab w:val="left" w:pos="0" w:leader="none"/>
        </w:tabs>
        <w:autoSpaceDE w:val="true"/>
        <w:snapToGrid w:val="true"/>
        <w:spacing w:lineRule="auto" w:line="240" w:before="0" w:after="0"/>
        <w:ind w:hanging="0" w:start="0" w:end="0"/>
        <w:jc w:val="both"/>
        <w:rPr>
          <w:rFonts w:ascii="仿宋_GB2312" w:hAnsi="仿宋_GB2312" w:eastAsia="仿宋_GB2312" w:cs="仿宋_GB2312"/>
          <w:b w:val="false"/>
          <w:i w:val="false"/>
          <w:color w:val="000000"/>
          <w:spacing w:val="0"/>
          <w:position w:val="0"/>
          <w:sz w:val="32"/>
          <w:szCs w:val="32"/>
          <w:vertAlign w:val="baseline"/>
        </w:rPr>
      </w:pPr>
      <w:r>
        <w:rPr>
          <w:rFonts w:eastAsia="仿宋_GB2312" w:cs="仿宋_GB2312" w:ascii="仿宋_GB2312" w:hAnsi="仿宋_GB2312"/>
          <w:b w:val="false"/>
          <w:i w:val="false"/>
          <w:color w:val="000000"/>
          <w:spacing w:val="0"/>
          <w:position w:val="0"/>
          <w:sz w:val="32"/>
          <w:szCs w:val="32"/>
          <w:vertAlign w:val="baseline"/>
        </w:rPr>
      </w:r>
    </w:p>
    <w:p>
      <w:pPr>
        <w:pStyle w:val="Normal"/>
        <w:numPr>
          <w:ilvl w:val="0"/>
          <w:numId w:val="0"/>
        </w:numPr>
        <w:autoSpaceDE w:val="true"/>
        <w:bidi w:val="0"/>
        <w:snapToGrid w:val="true"/>
        <w:spacing w:lineRule="auto" w:line="240" w:before="0" w:after="0"/>
        <w:ind w:hanging="0" w:start="0" w:end="0"/>
        <w:jc w:val="center"/>
        <w:rPr>
          <w:rFonts w:ascii="仿宋_GB2312" w:hAnsi="仿宋_GB2312" w:eastAsia="仿宋_GB2312" w:cs="仿宋_GB2312"/>
          <w:b/>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第四章</w:t>
      </w:r>
      <w:r>
        <w:rPr>
          <w:rFonts w:ascii="仿宋_GB2312" w:hAnsi="仿宋_GB2312" w:cs="仿宋_GB2312" w:hint="eastAsia" w:eastAsia="仿宋_GB2312"/>
          <w:b/>
          <w:i w:val="false"/>
          <w:color w:val="000000"/>
          <w:spacing w:val="0"/>
          <w:position w:val="0"/>
          <w:sz w:val="32"/>
          <w:szCs w:val="32"/>
          <w:vertAlign w:val="baseline"/>
        </w:rPr>
        <w:t xml:space="preserve">  </w:t>
      </w:r>
      <w:r>
        <w:rPr>
          <w:rFonts w:ascii="仿宋_GB2312" w:hAnsi="仿宋_GB2312" w:cs="仿宋_GB2312" w:eastAsia="仿宋_GB2312"/>
          <w:b/>
          <w:i w:val="false"/>
          <w:color w:val="000000"/>
          <w:spacing w:val="0"/>
          <w:position w:val="0"/>
          <w:sz w:val="32"/>
          <w:szCs w:val="32"/>
          <w:vertAlign w:val="baseline"/>
        </w:rPr>
        <w:t>法律责任</w:t>
      </w:r>
    </w:p>
    <w:p>
      <w:pPr>
        <w:pStyle w:val="Normal"/>
        <w:numPr>
          <w:ilvl w:val="0"/>
          <w:numId w:val="0"/>
        </w:numPr>
        <w:autoSpaceDE w:val="true"/>
        <w:snapToGrid w:val="true"/>
        <w:spacing w:lineRule="auto" w:line="240" w:before="0" w:after="0"/>
        <w:ind w:hanging="0" w:start="0" w:end="0"/>
        <w:jc w:val="start"/>
        <w:rPr>
          <w:rFonts w:ascii="仿宋_GB2312" w:hAnsi="仿宋_GB2312" w:eastAsia="仿宋_GB2312" w:cs="仿宋_GB2312"/>
          <w:b w:val="false"/>
          <w:i w:val="false"/>
          <w:color w:val="000000"/>
          <w:spacing w:val="0"/>
          <w:position w:val="0"/>
          <w:sz w:val="32"/>
          <w:szCs w:val="32"/>
          <w:vertAlign w:val="baseline"/>
        </w:rPr>
      </w:pPr>
      <w:r>
        <w:rPr>
          <w:rFonts w:eastAsia="仿宋_GB2312" w:cs="仿宋_GB2312" w:ascii="仿宋_GB2312" w:hAnsi="仿宋_GB2312"/>
          <w:b w:val="false"/>
          <w:i w:val="false"/>
          <w:color w:val="000000"/>
          <w:spacing w:val="0"/>
          <w:position w:val="0"/>
          <w:sz w:val="32"/>
          <w:szCs w:val="32"/>
          <w:vertAlign w:val="baseline"/>
        </w:rPr>
      </w:r>
    </w:p>
    <w:p>
      <w:pPr>
        <w:pStyle w:val="Normal"/>
        <w:numPr>
          <w:ilvl w:val="0"/>
          <w:numId w:val="0"/>
        </w:numPr>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第二十四条</w:t>
      </w:r>
      <w:r>
        <w:rPr>
          <w:rFonts w:ascii="仿宋_GB2312" w:hAnsi="仿宋_GB2312" w:cs="仿宋_GB2312" w:eastAsia="仿宋_GB2312"/>
          <w:b w:val="false"/>
          <w:i w:val="false"/>
          <w:color w:val="000000"/>
          <w:spacing w:val="0"/>
          <w:position w:val="0"/>
          <w:sz w:val="32"/>
          <w:szCs w:val="32"/>
          <w:vertAlign w:val="baseline"/>
        </w:rPr>
        <w:t xml:space="preserve"> 违反本条例规定，法律、行政法规以及本省人民代表大会及其常务委员会制定的地方性法规已有法律责任规定的，从其规定。</w:t>
      </w:r>
    </w:p>
    <w:p>
      <w:pPr>
        <w:pStyle w:val="Normal"/>
        <w:numPr>
          <w:ilvl w:val="0"/>
          <w:numId w:val="0"/>
        </w:numPr>
        <w:autoSpaceDE w:val="true"/>
        <w:snapToGrid w:val="true"/>
        <w:spacing w:lineRule="auto" w:line="240" w:before="0" w:after="0"/>
        <w:ind w:firstLine="640" w:start="0" w:end="0"/>
        <w:jc w:val="both"/>
        <w:rPr>
          <w:rFonts w:ascii="仿宋_GB2312" w:hAnsi="仿宋_GB2312" w:eastAsia="仿宋_GB2312" w:cs="仿宋_GB2312"/>
          <w:b w:val="false"/>
          <w:i w:val="false"/>
          <w:color w:val="000000"/>
          <w:spacing w:val="0"/>
          <w:w w:val="9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第二十五条</w:t>
      </w:r>
      <w:r>
        <w:rPr>
          <w:rFonts w:ascii="仿宋_GB2312" w:hAnsi="仿宋_GB2312" w:cs="仿宋_GB2312" w:eastAsia="仿宋_GB2312"/>
          <w:b w:val="false"/>
          <w:i w:val="false"/>
          <w:color w:val="000000"/>
          <w:spacing w:val="0"/>
          <w:position w:val="0"/>
          <w:sz w:val="32"/>
          <w:szCs w:val="32"/>
          <w:vertAlign w:val="baseline"/>
        </w:rPr>
        <w:t xml:space="preserve"> 国家机关及其工作人员对在湿地保护管</w:t>
      </w:r>
      <w:r>
        <w:rPr>
          <w:rFonts w:ascii="仿宋_GB2312" w:hAnsi="仿宋_GB2312" w:cs="仿宋_GB2312" w:eastAsia="仿宋_GB2312"/>
          <w:b w:val="false"/>
          <w:i w:val="false"/>
          <w:color w:val="000000"/>
          <w:spacing w:val="0"/>
          <w:w w:val="90"/>
          <w:position w:val="0"/>
          <w:sz w:val="32"/>
          <w:szCs w:val="32"/>
          <w:vertAlign w:val="baseline"/>
        </w:rPr>
        <w:t>理工作中滥用职权、玩忽职守、徇私舞弊，尚不构成犯罪的，依法给予处分；构成犯罪的，依法追究刑事责任。</w:t>
      </w:r>
    </w:p>
    <w:p>
      <w:pPr>
        <w:pStyle w:val="Normal"/>
        <w:numPr>
          <w:ilvl w:val="0"/>
          <w:numId w:val="0"/>
        </w:numPr>
        <w:autoSpaceDE w:val="true"/>
        <w:snapToGrid w:val="true"/>
        <w:spacing w:lineRule="auto" w:line="240" w:before="0" w:after="0"/>
        <w:ind w:firstLine="640" w:start="0" w:end="0"/>
        <w:jc w:val="start"/>
        <w:rPr>
          <w:rFonts w:ascii="仿宋_GB2312" w:hAnsi="仿宋_GB2312" w:eastAsia="仿宋_GB2312" w:cs="仿宋_GB2312"/>
          <w:b w:val="false"/>
          <w:i w:val="false"/>
          <w:color w:val="000000"/>
          <w:spacing w:val="0"/>
          <w:w w:val="90"/>
          <w:position w:val="0"/>
          <w:sz w:val="32"/>
          <w:szCs w:val="32"/>
          <w:vertAlign w:val="baseline"/>
        </w:rPr>
      </w:pPr>
      <w:r>
        <w:rPr>
          <w:rFonts w:eastAsia="仿宋_GB2312" w:cs="仿宋_GB2312" w:ascii="仿宋_GB2312" w:hAnsi="仿宋_GB2312"/>
          <w:b w:val="false"/>
          <w:i w:val="false"/>
          <w:color w:val="000000"/>
          <w:spacing w:val="0"/>
          <w:w w:val="90"/>
          <w:position w:val="0"/>
          <w:sz w:val="32"/>
          <w:szCs w:val="32"/>
          <w:vertAlign w:val="baseline"/>
        </w:rPr>
      </w:r>
    </w:p>
    <w:p>
      <w:pPr>
        <w:pStyle w:val="Normal"/>
        <w:numPr>
          <w:ilvl w:val="0"/>
          <w:numId w:val="1"/>
        </w:numPr>
        <w:autoSpaceDE w:val="true"/>
        <w:bidi w:val="0"/>
        <w:snapToGrid w:val="true"/>
        <w:spacing w:lineRule="auto" w:line="240" w:before="0" w:after="0"/>
        <w:ind w:hanging="0" w:start="0" w:end="0"/>
        <w:jc w:val="center"/>
        <w:rPr>
          <w:rFonts w:ascii="仿宋_GB2312" w:hAnsi="仿宋_GB2312" w:eastAsia="仿宋_GB2312" w:cs="仿宋_GB2312"/>
          <w:b/>
          <w:i w:val="false"/>
          <w:color w:val="000000"/>
          <w:spacing w:val="0"/>
          <w:position w:val="0"/>
          <w:sz w:val="32"/>
          <w:szCs w:val="32"/>
          <w:vertAlign w:val="baseline"/>
        </w:rPr>
      </w:pPr>
      <w:r>
        <w:rPr>
          <w:rFonts w:ascii="仿宋_GB2312" w:hAnsi="仿宋_GB2312" w:cs="仿宋_GB2312" w:eastAsia="仿宋_GB2312"/>
          <w:b/>
          <w:i w:val="false"/>
          <w:color w:val="000000"/>
          <w:spacing w:val="0"/>
          <w:position w:val="0"/>
          <w:sz w:val="32"/>
          <w:szCs w:val="32"/>
          <w:vertAlign w:val="baseline"/>
        </w:rPr>
        <w:t>附则</w:t>
      </w:r>
    </w:p>
    <w:p>
      <w:pPr>
        <w:pStyle w:val="2"/>
        <w:numPr>
          <w:ilvl w:val="0"/>
          <w:numId w:val="0"/>
        </w:numPr>
        <w:ind w:hangingChars="0" w:hanging="0" w:start="0"/>
        <w:jc w:val="start"/>
        <w:rPr>
          <w:rFonts w:ascii="仿宋_GB2312" w:hAnsi="仿宋_GB2312" w:eastAsia="宋体" w:cs="仿宋_GB2312" w:hint="eastAsia"/>
          <w:b/>
          <w:i w:val="false"/>
          <w:color w:val="000000"/>
          <w:spacing w:val="0"/>
          <w:position w:val="0"/>
          <w:sz w:val="32"/>
          <w:szCs w:val="32"/>
          <w:vertAlign w:val="baseline"/>
        </w:rPr>
      </w:pPr>
      <w:r>
        <w:rPr>
          <w:rFonts w:eastAsia="宋体" w:cs="仿宋_GB2312" w:hint="eastAsia" w:ascii="仿宋_GB2312" w:hAnsi="仿宋_GB2312"/>
          <w:b/>
          <w:i w:val="false"/>
          <w:color w:val="000000"/>
          <w:spacing w:val="0"/>
          <w:position w:val="0"/>
          <w:sz w:val="32"/>
          <w:szCs w:val="32"/>
          <w:vertAlign w:val="baseline"/>
        </w:rPr>
      </w:r>
    </w:p>
    <w:p>
      <w:pPr>
        <w:pStyle w:val="Normal"/>
        <w:numPr>
          <w:ilvl w:val="0"/>
          <w:numId w:val="0"/>
        </w:numPr>
        <w:autoSpaceDE w:val="true"/>
        <w:snapToGrid w:val="true"/>
        <w:spacing w:lineRule="auto" w:line="240" w:before="0" w:after="0"/>
        <w:ind w:firstLine="640" w:start="0" w:end="0"/>
        <w:jc w:val="start"/>
        <w:rPr/>
      </w:pPr>
      <w:r>
        <w:rPr>
          <w:rFonts w:ascii="仿宋_GB2312" w:hAnsi="仿宋_GB2312" w:cs="仿宋_GB2312" w:eastAsia="仿宋_GB2312"/>
          <w:b/>
          <w:i w:val="false"/>
          <w:color w:val="000000"/>
          <w:spacing w:val="0"/>
          <w:position w:val="0"/>
          <w:sz w:val="32"/>
          <w:szCs w:val="32"/>
          <w:vertAlign w:val="baseline"/>
        </w:rPr>
        <w:t>第二十六条</w:t>
      </w:r>
      <w:r>
        <w:rPr>
          <w:rFonts w:ascii="仿宋_GB2312" w:hAnsi="仿宋_GB2312" w:cs="仿宋_GB2312" w:eastAsia="仿宋_GB2312"/>
          <w:b w:val="false"/>
          <w:i w:val="false"/>
          <w:color w:val="000000"/>
          <w:spacing w:val="0"/>
          <w:position w:val="0"/>
          <w:sz w:val="32"/>
          <w:szCs w:val="32"/>
          <w:vertAlign w:val="baseline"/>
        </w:rPr>
        <w:t xml:space="preserve"> 本条例自</w:t>
      </w:r>
      <w:r>
        <w:rPr>
          <w:rFonts w:eastAsia="仿宋_GB2312" w:cs="仿宋_GB2312" w:ascii="仿宋_GB2312" w:hAnsi="仿宋_GB2312"/>
          <w:b w:val="false"/>
          <w:i w:val="false"/>
          <w:color w:val="000000"/>
          <w:spacing w:val="0"/>
          <w:position w:val="0"/>
          <w:sz w:val="32"/>
          <w:szCs w:val="32"/>
          <w:vertAlign w:val="baseline"/>
        </w:rPr>
        <w:t>2021</w:t>
      </w:r>
      <w:r>
        <w:rPr>
          <w:rFonts w:ascii="仿宋_GB2312" w:hAnsi="仿宋_GB2312" w:cs="仿宋_GB2312" w:eastAsia="仿宋_GB2312"/>
          <w:b w:val="false"/>
          <w:i w:val="false"/>
          <w:color w:val="000000"/>
          <w:spacing w:val="0"/>
          <w:position w:val="0"/>
          <w:sz w:val="32"/>
          <w:szCs w:val="32"/>
          <w:vertAlign w:val="baseline"/>
        </w:rPr>
        <w:t>年</w:t>
      </w:r>
      <w:r>
        <w:rPr>
          <w:rFonts w:eastAsia="仿宋_GB2312" w:cs="仿宋_GB2312" w:ascii="仿宋_GB2312" w:hAnsi="仿宋_GB2312"/>
          <w:b w:val="false"/>
          <w:i w:val="false"/>
          <w:color w:val="000000"/>
          <w:spacing w:val="0"/>
          <w:position w:val="0"/>
          <w:sz w:val="32"/>
          <w:szCs w:val="32"/>
          <w:vertAlign w:val="baseline"/>
        </w:rPr>
        <w:t>10</w:t>
      </w:r>
      <w:r>
        <w:rPr>
          <w:rFonts w:ascii="仿宋_GB2312" w:hAnsi="仿宋_GB2312" w:cs="仿宋_GB2312" w:eastAsia="仿宋_GB2312"/>
          <w:b w:val="false"/>
          <w:i w:val="false"/>
          <w:color w:val="000000"/>
          <w:spacing w:val="0"/>
          <w:position w:val="0"/>
          <w:sz w:val="32"/>
          <w:szCs w:val="32"/>
          <w:vertAlign w:val="baseline"/>
        </w:rPr>
        <w:t>月</w:t>
      </w:r>
      <w:r>
        <w:rPr>
          <w:rFonts w:eastAsia="仿宋_GB2312" w:cs="仿宋_GB2312" w:ascii="仿宋_GB2312" w:hAnsi="仿宋_GB2312"/>
          <w:b w:val="false"/>
          <w:i w:val="false"/>
          <w:color w:val="000000"/>
          <w:spacing w:val="0"/>
          <w:position w:val="0"/>
          <w:sz w:val="32"/>
          <w:szCs w:val="32"/>
          <w:vertAlign w:val="baseline"/>
        </w:rPr>
        <w:t>1</w:t>
      </w:r>
      <w:r>
        <w:rPr>
          <w:rFonts w:ascii="仿宋_GB2312" w:hAnsi="仿宋_GB2312" w:cs="仿宋_GB2312" w:eastAsia="仿宋_GB2312"/>
          <w:b w:val="false"/>
          <w:i w:val="false"/>
          <w:color w:val="000000"/>
          <w:spacing w:val="0"/>
          <w:position w:val="0"/>
          <w:sz w:val="32"/>
          <w:szCs w:val="32"/>
          <w:vertAlign w:val="baseline"/>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6"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5</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5</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黑体"/>
      <w:color w:val="auto"/>
      <w:kern w:val="2"/>
      <w:sz w:val="21"/>
      <w:szCs w:val="22"/>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sz w:val="24"/>
    </w:rPr>
  </w:style>
  <w:style w:type="paragraph" w:styleId="2">
    <w:name w:val="正文首行缩进 2"/>
    <w:basedOn w:val="BodyTextIndent"/>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jiawei</cp:lastModifiedBy>
  <dcterms:modified xsi:type="dcterms:W3CDTF">2021-10-19T14:52:32Z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98C7BBC45BEC4B2CA912D1D97B98340C</vt:lpwstr>
  </property>
  <property fmtid="{D5CDD505-2E9C-101B-9397-08002B2CF9AE}" pid="3" name="KSOProductBuildVer">
    <vt:lpwstr>2052-11.1.0.10700</vt:lpwstr>
  </property>
</Properties>
</file>