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bidi w:val="0"/>
        <w:snapToGrid w:val="true"/>
        <w:spacing w:lineRule="exact" w:line="570"/>
        <w:jc w:val="center"/>
        <w:rPr>
          <w:rFonts w:ascii="方正小标宋简体" w:hAnsi="方正小标宋简体" w:eastAsia="方正小标宋简体" w:cs="方正小标宋简体" w:hint="eastAsia"/>
          <w:color w:val="000000"/>
          <w:sz w:val="40"/>
          <w:szCs w:val="40"/>
        </w:rPr>
      </w:pPr>
      <w:r>
        <w:rPr>
          <w:rFonts w:eastAsia="方正小标宋简体" w:cs="方正小标宋简体" w:hint="eastAsia" w:ascii="方正小标宋简体" w:hAnsi="方正小标宋简体"/>
          <w:color w:val="000000"/>
          <w:sz w:val="40"/>
          <w:szCs w:val="40"/>
        </w:rPr>
      </w:r>
    </w:p>
    <w:p>
      <w:pPr>
        <w:pStyle w:val="Normal"/>
        <w:keepNext w:val="false"/>
        <w:keepLines w:val="false"/>
        <w:pageBreakBefore w:val="false"/>
        <w:widowControl w:val="false"/>
        <w:kinsoku w:val="true"/>
        <w:overflowPunct w:val="true"/>
        <w:bidi w:val="0"/>
        <w:snapToGrid w:val="true"/>
        <w:spacing w:lineRule="exact" w:line="570"/>
        <w:jc w:val="center"/>
        <w:rPr>
          <w:rFonts w:ascii="方正小标宋简体" w:hAnsi="方正小标宋简体" w:eastAsia="方正小标宋简体" w:cs="方正小标宋简体" w:hint="eastAsia"/>
          <w:color w:val="000000"/>
          <w:sz w:val="40"/>
          <w:szCs w:val="40"/>
        </w:rPr>
      </w:pPr>
      <w:r>
        <w:rPr>
          <w:rFonts w:ascii="方正小标宋简体" w:hAnsi="方正小标宋简体" w:cs="方正小标宋简体" w:hint="eastAsia" w:eastAsia="方正小标宋简体"/>
          <w:color w:val="000000"/>
          <w:sz w:val="40"/>
          <w:szCs w:val="40"/>
        </w:rPr>
        <w:t>吕梁市禁牧休牧条例</w:t>
      </w:r>
    </w:p>
    <w:p>
      <w:pPr>
        <w:pStyle w:val="Style15"/>
        <w:keepNext w:val="false"/>
        <w:keepLines w:val="false"/>
        <w:pageBreakBefore w:val="false"/>
        <w:widowControl w:val="false"/>
        <w:kinsoku w:val="true"/>
        <w:overflowPunct w:val="true"/>
        <w:autoSpaceDE w:val="false"/>
        <w:bidi w:val="0"/>
        <w:snapToGrid w:val="true"/>
        <w:spacing w:lineRule="exact" w:line="570"/>
        <w:jc w:val="start"/>
        <w:textAlignment w:val="center"/>
        <w:rPr>
          <w:rFonts w:ascii="楷体" w:hAnsi="楷体" w:eastAsia="楷体" w:cs="楷体" w:hint="eastAsia"/>
          <w:color w:val="000000"/>
          <w:sz w:val="32"/>
          <w:szCs w:val="32"/>
        </w:rPr>
      </w:pPr>
      <w:r>
        <w:rPr>
          <w:rFonts w:eastAsia="楷体" w:cs="楷体" w:hint="eastAsia" w:ascii="楷体" w:hAnsi="楷体"/>
          <w:color w:val="000000"/>
          <w:sz w:val="32"/>
          <w:szCs w:val="32"/>
        </w:rPr>
      </w:r>
    </w:p>
    <w:p>
      <w:pPr>
        <w:pStyle w:val="Style15"/>
        <w:keepNext w:val="false"/>
        <w:keepLines w:val="false"/>
        <w:pageBreakBefore w:val="false"/>
        <w:widowControl w:val="false"/>
        <w:kinsoku w:val="true"/>
        <w:overflowPunct w:val="true"/>
        <w:autoSpaceDE w:val="false"/>
        <w:bidi w:val="0"/>
        <w:snapToGrid w:val="true"/>
        <w:spacing w:lineRule="exact" w:line="570"/>
        <w:ind w:firstLineChars="200" w:startChars="0" w:start="0" w:endChars="0" w:end="0"/>
        <w:jc w:val="start"/>
        <w:textAlignment w:val="center"/>
        <w:rPr>
          <w:rFonts w:ascii="楷体" w:hAnsi="楷体" w:eastAsia="楷体" w:cs="楷体" w:hint="eastAsia"/>
          <w:color w:val="000000"/>
          <w:sz w:val="32"/>
          <w:szCs w:val="32"/>
        </w:rPr>
      </w:pPr>
      <w:r>
        <w:rPr>
          <w:rFonts w:ascii="楷体" w:hAnsi="楷体" w:cs="楷体" w:eastAsia="楷体"/>
          <w:color w:val="000000"/>
          <w:sz w:val="32"/>
          <w:szCs w:val="32"/>
        </w:rPr>
        <w:t>（</w:t>
      </w:r>
      <w:r>
        <w:rPr>
          <w:rFonts w:eastAsia="楷体" w:cs="楷体" w:ascii="楷体" w:hAnsi="楷体"/>
          <w:color w:val="000000"/>
          <w:sz w:val="32"/>
          <w:szCs w:val="32"/>
        </w:rPr>
        <w:t>2021</w:t>
      </w:r>
      <w:r>
        <w:rPr>
          <w:rFonts w:ascii="楷体" w:hAnsi="楷体" w:cs="楷体" w:hint="eastAsia" w:eastAsia="楷体"/>
          <w:color w:val="000000"/>
          <w:sz w:val="32"/>
          <w:szCs w:val="32"/>
        </w:rPr>
        <w:t>年</w:t>
      </w:r>
      <w:r>
        <w:rPr>
          <w:rFonts w:eastAsia="楷体" w:cs="楷体" w:ascii="楷体" w:hAnsi="楷体"/>
          <w:color w:val="000000"/>
          <w:sz w:val="32"/>
          <w:szCs w:val="32"/>
        </w:rPr>
        <w:t>12</w:t>
      </w:r>
      <w:r>
        <w:rPr>
          <w:rFonts w:ascii="楷体" w:hAnsi="楷体" w:cs="楷体" w:hint="eastAsia" w:eastAsia="楷体"/>
          <w:color w:val="000000"/>
          <w:sz w:val="32"/>
          <w:szCs w:val="32"/>
        </w:rPr>
        <w:t>月</w:t>
      </w:r>
      <w:r>
        <w:rPr>
          <w:rFonts w:eastAsia="楷体" w:cs="楷体" w:ascii="楷体" w:hAnsi="楷体"/>
          <w:color w:val="000000"/>
          <w:sz w:val="32"/>
          <w:szCs w:val="32"/>
        </w:rPr>
        <w:t>29</w:t>
      </w:r>
      <w:r>
        <w:rPr>
          <w:rFonts w:ascii="楷体" w:hAnsi="楷体" w:cs="楷体" w:hint="eastAsia" w:eastAsia="楷体"/>
          <w:color w:val="000000"/>
          <w:sz w:val="32"/>
          <w:szCs w:val="32"/>
        </w:rPr>
        <w:t>日吕梁市第三届人民代表大会常</w:t>
      </w:r>
    </w:p>
    <w:p>
      <w:pPr>
        <w:pStyle w:val="Style15"/>
        <w:keepNext w:val="false"/>
        <w:keepLines w:val="false"/>
        <w:pageBreakBefore w:val="false"/>
        <w:widowControl w:val="false"/>
        <w:kinsoku w:val="true"/>
        <w:overflowPunct w:val="true"/>
        <w:autoSpaceDE w:val="false"/>
        <w:bidi w:val="0"/>
        <w:snapToGrid w:val="true"/>
        <w:spacing w:lineRule="exact" w:line="570"/>
        <w:ind w:firstLineChars="200" w:startChars="0" w:start="0" w:endChars="0" w:end="0"/>
        <w:jc w:val="start"/>
        <w:textAlignment w:val="center"/>
        <w:rPr>
          <w:rFonts w:ascii="楷体" w:hAnsi="楷体" w:eastAsia="楷体" w:cs="楷体" w:hint="eastAsia"/>
          <w:color w:val="000000"/>
          <w:sz w:val="32"/>
          <w:szCs w:val="32"/>
          <w:lang w:val="en-US"/>
        </w:rPr>
      </w:pPr>
      <w:r>
        <w:rPr>
          <w:rFonts w:ascii="楷体" w:hAnsi="楷体" w:cs="楷体" w:hint="eastAsia" w:eastAsia="楷体"/>
          <w:color w:val="000000"/>
          <w:sz w:val="32"/>
          <w:szCs w:val="32"/>
        </w:rPr>
        <w:t>务委员会第五十八次会议</w:t>
      </w:r>
      <w:r>
        <w:rPr>
          <w:rFonts w:ascii="楷体" w:hAnsi="楷体" w:cs="楷体" w:eastAsia="楷体"/>
          <w:color w:val="000000"/>
          <w:sz w:val="32"/>
          <w:szCs w:val="32"/>
        </w:rPr>
        <w:t>通过</w:t>
      </w:r>
      <w:r>
        <w:rPr>
          <w:rFonts w:ascii="楷体" w:hAnsi="楷体" w:cs="楷体" w:hint="eastAsia" w:eastAsia="楷体"/>
          <w:color w:val="000000"/>
          <w:sz w:val="32"/>
          <w:szCs w:val="32"/>
          <w:lang w:val="en-US"/>
        </w:rPr>
        <w:t xml:space="preserve"> </w:t>
      </w:r>
      <w:r>
        <w:rPr>
          <w:rFonts w:eastAsia="楷体" w:cs="楷体" w:hint="eastAsia" w:ascii="楷体" w:hAnsi="楷体"/>
          <w:color w:val="000000"/>
          <w:sz w:val="32"/>
          <w:szCs w:val="32"/>
          <w:lang w:val="en-US"/>
        </w:rPr>
        <w:t>2022</w:t>
      </w:r>
      <w:r>
        <w:rPr>
          <w:rFonts w:ascii="楷体" w:hAnsi="楷体" w:cs="楷体" w:hint="eastAsia" w:eastAsia="楷体"/>
          <w:color w:val="000000"/>
          <w:sz w:val="32"/>
          <w:szCs w:val="32"/>
          <w:lang w:val="en-US"/>
        </w:rPr>
        <w:t>年</w:t>
      </w:r>
      <w:r>
        <w:rPr>
          <w:rFonts w:eastAsia="楷体" w:cs="楷体" w:hint="eastAsia" w:ascii="楷体" w:hAnsi="楷体"/>
          <w:color w:val="000000"/>
          <w:sz w:val="32"/>
          <w:szCs w:val="32"/>
          <w:lang w:val="en-US"/>
        </w:rPr>
        <w:t>1</w:t>
      </w:r>
      <w:r>
        <w:rPr>
          <w:rFonts w:ascii="楷体" w:hAnsi="楷体" w:cs="楷体" w:hint="eastAsia" w:eastAsia="楷体"/>
          <w:color w:val="000000"/>
          <w:sz w:val="32"/>
          <w:szCs w:val="32"/>
          <w:lang w:val="en-US"/>
        </w:rPr>
        <w:t>月</w:t>
      </w:r>
      <w:r>
        <w:rPr>
          <w:rFonts w:eastAsia="楷体" w:cs="楷体" w:hint="eastAsia" w:ascii="楷体" w:hAnsi="楷体"/>
          <w:color w:val="000000"/>
          <w:sz w:val="32"/>
          <w:szCs w:val="32"/>
          <w:lang w:val="en-US"/>
        </w:rPr>
        <w:t>15</w:t>
      </w:r>
      <w:r>
        <w:rPr>
          <w:rFonts w:ascii="楷体" w:hAnsi="楷体" w:cs="楷体" w:hint="eastAsia" w:eastAsia="楷体"/>
          <w:color w:val="000000"/>
          <w:sz w:val="32"/>
          <w:szCs w:val="32"/>
          <w:lang w:val="en-US"/>
        </w:rPr>
        <w:t>日山</w:t>
      </w:r>
    </w:p>
    <w:p>
      <w:pPr>
        <w:pStyle w:val="Style15"/>
        <w:keepNext w:val="false"/>
        <w:keepLines w:val="false"/>
        <w:pageBreakBefore w:val="false"/>
        <w:widowControl w:val="false"/>
        <w:kinsoku w:val="true"/>
        <w:overflowPunct w:val="true"/>
        <w:autoSpaceDE w:val="false"/>
        <w:bidi w:val="0"/>
        <w:snapToGrid w:val="true"/>
        <w:spacing w:lineRule="exact" w:line="570"/>
        <w:ind w:firstLineChars="200" w:startChars="0" w:start="0" w:endChars="0" w:end="0"/>
        <w:jc w:val="start"/>
        <w:textAlignment w:val="center"/>
        <w:rPr>
          <w:rFonts w:ascii="楷体" w:hAnsi="楷体" w:eastAsia="楷体" w:cs="楷体" w:hint="eastAsia"/>
          <w:color w:val="000000"/>
          <w:sz w:val="32"/>
          <w:szCs w:val="32"/>
          <w:lang w:val="en-US"/>
        </w:rPr>
      </w:pPr>
      <w:r>
        <w:rPr>
          <w:rFonts w:ascii="楷体" w:hAnsi="楷体" w:cs="楷体" w:hint="eastAsia" w:eastAsia="楷体"/>
          <w:color w:val="000000"/>
          <w:sz w:val="32"/>
          <w:szCs w:val="32"/>
          <w:lang w:val="en-US"/>
        </w:rPr>
        <w:t>西省第十三届人民代表大会常务委员会第三十三</w:t>
      </w:r>
    </w:p>
    <w:p>
      <w:pPr>
        <w:pStyle w:val="Style15"/>
        <w:keepNext w:val="false"/>
        <w:keepLines w:val="false"/>
        <w:pageBreakBefore w:val="false"/>
        <w:widowControl w:val="false"/>
        <w:kinsoku w:val="true"/>
        <w:overflowPunct w:val="true"/>
        <w:autoSpaceDE w:val="false"/>
        <w:bidi w:val="0"/>
        <w:snapToGrid w:val="true"/>
        <w:spacing w:lineRule="exact" w:line="570"/>
        <w:ind w:firstLineChars="200" w:startChars="0" w:start="0" w:endChars="0" w:end="0"/>
        <w:jc w:val="start"/>
        <w:textAlignment w:val="center"/>
        <w:rPr>
          <w:color w:val="000000"/>
        </w:rPr>
      </w:pPr>
      <w:r>
        <w:rPr>
          <w:rFonts w:ascii="楷体" w:hAnsi="楷体" w:cs="楷体" w:hint="eastAsia" w:eastAsia="楷体"/>
          <w:color w:val="000000"/>
          <w:sz w:val="32"/>
          <w:szCs w:val="32"/>
          <w:lang w:val="en-US"/>
        </w:rPr>
        <w:t>次会议批准</w:t>
      </w:r>
      <w:r>
        <w:rPr>
          <w:rFonts w:ascii="楷体" w:hAnsi="楷体" w:cs="楷体" w:eastAsia="楷体"/>
          <w:color w:val="000000"/>
          <w:sz w:val="32"/>
          <w:szCs w:val="32"/>
        </w:rPr>
        <w:t>）</w:t>
      </w:r>
    </w:p>
    <w:p>
      <w:pPr>
        <w:pStyle w:val="Normal"/>
        <w:keepNext w:val="false"/>
        <w:keepLines w:val="false"/>
        <w:pageBreakBefore w:val="false"/>
        <w:widowControl w:val="false"/>
        <w:kinsoku w:val="true"/>
        <w:overflowPunct w:val="true"/>
        <w:bidi w:val="0"/>
        <w:snapToGrid w:val="true"/>
        <w:spacing w:lineRule="exact" w:line="570"/>
        <w:jc w:val="both"/>
        <w:rPr>
          <w:rStyle w:val="Strong"/>
          <w:rFonts w:ascii="楷体" w:hAnsi="楷体" w:eastAsia="楷体" w:cs="楷体" w:hint="eastAsia"/>
          <w:b w:val="false"/>
          <w:color w:val="000000"/>
          <w:sz w:val="36"/>
          <w:szCs w:val="36"/>
        </w:rPr>
      </w:pPr>
      <w:r>
        <w:rPr>
          <w:color w:val="000000"/>
        </w:rPr>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第一条</w:t>
      </w:r>
      <w:r>
        <w:rPr>
          <w:rFonts w:ascii="黑体" w:hAnsi="黑体" w:cs="黑体" w:hint="eastAsia" w:eastAsia="黑体"/>
          <w:color w:val="000000"/>
          <w:spacing w:val="0"/>
          <w:sz w:val="32"/>
          <w:szCs w:val="32"/>
        </w:rPr>
        <w:t xml:space="preserve">  </w:t>
      </w:r>
      <w:r>
        <w:rPr>
          <w:rFonts w:ascii="仿宋_GB2312;仿宋" w:hAnsi="仿宋_GB2312;仿宋" w:cs="仿宋_GB2312;仿宋" w:hint="eastAsia" w:eastAsia="仿宋_GB2312;仿宋"/>
          <w:color w:val="000000"/>
          <w:sz w:val="32"/>
          <w:szCs w:val="32"/>
        </w:rPr>
        <w:t>为了保护和培育林草资源，巩固绿化成果，维护生态安全，促进经济社会和生态环境持续协调发展，根据《中华人民共和国森林法》、《中华人民共和国草原法》等法律、法规，结合本市实际，制定本条例。</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第二条</w:t>
      </w:r>
      <w:r>
        <w:rPr>
          <w:rFonts w:ascii="黑体" w:hAnsi="黑体" w:cs="黑体" w:hint="eastAsia" w:eastAsia="黑体"/>
          <w:color w:val="000000"/>
          <w:spacing w:val="0"/>
          <w:sz w:val="32"/>
          <w:szCs w:val="32"/>
        </w:rPr>
        <w:t xml:space="preserve">  </w:t>
      </w:r>
      <w:r>
        <w:rPr>
          <w:rFonts w:ascii="仿宋_GB2312;仿宋" w:hAnsi="仿宋_GB2312;仿宋" w:cs="仿宋_GB2312;仿宋" w:hint="eastAsia" w:eastAsia="仿宋_GB2312;仿宋"/>
          <w:color w:val="000000"/>
          <w:sz w:val="32"/>
          <w:szCs w:val="32"/>
        </w:rPr>
        <w:t>本市行政区域内的禁牧休牧及相关管理活动适用本条例。</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本条例所称禁牧是指在划定的区域内实行一年以上全面禁止放养羊、牛、马等草食性牲畜的生态管护措施；休牧是指在划定的区域内实行季节性禁止放养羊、牛、马等草食性牲畜的生态管护措施。</w:t>
      </w:r>
      <w:bookmarkStart w:id="0" w:name="tiao2_kuan1"/>
      <w:bookmarkEnd w:id="0"/>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第三条</w:t>
      </w:r>
      <w:r>
        <w:rPr>
          <w:rFonts w:ascii="黑体" w:hAnsi="黑体" w:cs="黑体" w:hint="eastAsia" w:eastAsia="黑体"/>
          <w:color w:val="000000"/>
          <w:spacing w:val="0"/>
          <w:sz w:val="32"/>
          <w:szCs w:val="32"/>
        </w:rPr>
        <w:t xml:space="preserve">  </w:t>
      </w:r>
      <w:r>
        <w:rPr>
          <w:rFonts w:ascii="仿宋_GB2312;仿宋" w:hAnsi="仿宋_GB2312;仿宋" w:cs="仿宋_GB2312;仿宋" w:hint="eastAsia" w:eastAsia="仿宋_GB2312;仿宋"/>
          <w:color w:val="000000"/>
          <w:sz w:val="32"/>
          <w:szCs w:val="32"/>
        </w:rPr>
        <w:t>禁牧休牧应当遵循统筹规划、保护优先、因地制宜、严格监管、兼顾民生的原则。</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第四条</w:t>
      </w:r>
      <w:r>
        <w:rPr>
          <w:rFonts w:ascii="仿宋_GB2312;仿宋" w:hAnsi="仿宋_GB2312;仿宋" w:cs="仿宋_GB2312;仿宋" w:hint="eastAsia" w:eastAsia="仿宋_GB2312;仿宋"/>
          <w:color w:val="000000"/>
          <w:spacing w:val="0"/>
          <w:sz w:val="32"/>
          <w:szCs w:val="32"/>
        </w:rPr>
        <w:t xml:space="preserve">  </w:t>
      </w:r>
      <w:r>
        <w:rPr>
          <w:rFonts w:ascii="仿宋_GB2312;仿宋" w:hAnsi="仿宋_GB2312;仿宋" w:cs="仿宋_GB2312;仿宋" w:hint="eastAsia" w:eastAsia="仿宋_GB2312;仿宋"/>
          <w:color w:val="000000"/>
          <w:sz w:val="32"/>
          <w:szCs w:val="32"/>
        </w:rPr>
        <w:t>市、县（市、区）人民政府负责本行政区域内的禁牧休牧工作，建立健全目标考核机制和责任追究机制，将禁牧休牧工作纳入国民经济和社会发展规划，所需经费列入本级财政预算。</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相邻县（市、区）人民政府应当建立禁牧休牧工作协调联动机制，实现信息共享、联防联治。</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第五条</w:t>
      </w:r>
      <w:r>
        <w:rPr>
          <w:rFonts w:ascii="黑体" w:hAnsi="黑体" w:cs="黑体" w:hint="eastAsia" w:eastAsia="黑体"/>
          <w:color w:val="000000"/>
          <w:spacing w:val="0"/>
          <w:sz w:val="32"/>
          <w:szCs w:val="32"/>
        </w:rPr>
        <w:t xml:space="preserve">  </w:t>
      </w:r>
      <w:r>
        <w:rPr>
          <w:rFonts w:ascii="仿宋_GB2312;仿宋" w:hAnsi="仿宋_GB2312;仿宋" w:cs="仿宋_GB2312;仿宋" w:hint="eastAsia" w:eastAsia="仿宋_GB2312;仿宋"/>
          <w:color w:val="000000"/>
          <w:sz w:val="32"/>
          <w:szCs w:val="32"/>
        </w:rPr>
        <w:t>市、县（市、区）人民政府林草主管部门负责本行政区域内的禁牧休牧监督管理工作。</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市、县（市、区）人民政府</w:t>
      </w:r>
      <w:r>
        <w:rPr>
          <w:rFonts w:ascii="仿宋_GB2312;仿宋" w:hAnsi="仿宋_GB2312;仿宋" w:cs="仿宋_GB2312;仿宋" w:eastAsia="仿宋_GB2312;仿宋"/>
          <w:color w:val="000000"/>
          <w:sz w:val="32"/>
          <w:szCs w:val="32"/>
        </w:rPr>
        <w:t>畜牧、</w:t>
      </w:r>
      <w:r>
        <w:rPr>
          <w:rFonts w:ascii="仿宋_GB2312;仿宋" w:hAnsi="仿宋_GB2312;仿宋" w:cs="仿宋_GB2312;仿宋" w:hint="eastAsia" w:eastAsia="仿宋_GB2312;仿宋"/>
          <w:color w:val="000000"/>
          <w:sz w:val="32"/>
          <w:szCs w:val="32"/>
        </w:rPr>
        <w:t>财政、规划、生态环境、发展和改革、公安</w:t>
      </w:r>
      <w:r>
        <w:rPr>
          <w:rFonts w:ascii="仿宋_GB2312;仿宋" w:hAnsi="仿宋_GB2312;仿宋" w:cs="仿宋_GB2312;仿宋" w:eastAsia="仿宋_GB2312;仿宋"/>
          <w:color w:val="000000"/>
          <w:sz w:val="32"/>
          <w:szCs w:val="32"/>
        </w:rPr>
        <w:t>、</w:t>
      </w:r>
      <w:r>
        <w:rPr>
          <w:rFonts w:ascii="仿宋_GB2312;仿宋" w:hAnsi="仿宋_GB2312;仿宋" w:cs="仿宋_GB2312;仿宋" w:hint="eastAsia" w:eastAsia="仿宋_GB2312;仿宋"/>
          <w:color w:val="000000"/>
          <w:sz w:val="32"/>
          <w:szCs w:val="32"/>
        </w:rPr>
        <w:t>水利等部门按照各自职责，负责禁牧休牧的相关工作。</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乡（镇）人民政府、街道办事处负责</w:t>
      </w:r>
      <w:r>
        <w:rPr>
          <w:rFonts w:ascii="仿宋_GB2312;仿宋" w:hAnsi="仿宋_GB2312;仿宋" w:cs="仿宋_GB2312;仿宋" w:hint="eastAsia" w:eastAsia="仿宋_GB2312;仿宋"/>
          <w:color w:val="000000"/>
          <w:sz w:val="32"/>
          <w:szCs w:val="32"/>
          <w:u w:val="none"/>
        </w:rPr>
        <w:t>组织实施</w:t>
      </w:r>
      <w:r>
        <w:rPr>
          <w:rFonts w:ascii="仿宋_GB2312;仿宋" w:hAnsi="仿宋_GB2312;仿宋" w:cs="仿宋_GB2312;仿宋" w:hint="eastAsia" w:eastAsia="仿宋_GB2312;仿宋"/>
          <w:color w:val="000000"/>
          <w:sz w:val="32"/>
          <w:szCs w:val="32"/>
        </w:rPr>
        <w:t>辖区内的禁牧休牧工作。</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村（居）民委员会应当协助乡（镇）人民政府、街道办事处做好禁牧休牧相关工作，引导村（居）民合理利用自然资源，强化自我约束和管理。</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第六条</w:t>
      </w:r>
      <w:r>
        <w:rPr>
          <w:rFonts w:ascii="黑体" w:hAnsi="黑体" w:cs="黑体" w:hint="eastAsia" w:eastAsia="黑体"/>
          <w:color w:val="000000"/>
          <w:spacing w:val="0"/>
          <w:sz w:val="32"/>
          <w:szCs w:val="32"/>
        </w:rPr>
        <w:t xml:space="preserve">  </w:t>
      </w:r>
      <w:r>
        <w:rPr>
          <w:rFonts w:ascii="仿宋_GB2312;仿宋" w:hAnsi="仿宋_GB2312;仿宋" w:cs="仿宋_GB2312;仿宋" w:hint="eastAsia" w:eastAsia="仿宋_GB2312;仿宋"/>
          <w:color w:val="000000"/>
          <w:sz w:val="32"/>
          <w:szCs w:val="32"/>
        </w:rPr>
        <w:t>任何单位和个人都有权对违反本条例规定的行为进行投诉和举报。</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rPr>
        <w:t>市、县（市、区）人民政府林草主管部门、乡（镇）人民政府、街道办事处</w:t>
      </w:r>
      <w:r>
        <w:rPr>
          <w:rFonts w:ascii="仿宋_GB2312;仿宋" w:hAnsi="仿宋_GB2312;仿宋" w:cs="仿宋_GB2312;仿宋" w:hint="eastAsia" w:eastAsia="仿宋_GB2312;仿宋"/>
          <w:color w:val="000000"/>
          <w:sz w:val="32"/>
          <w:szCs w:val="32"/>
          <w:u w:val="none"/>
        </w:rPr>
        <w:t>应当公布投诉举报方式，对接到的投诉举报及时处理。</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第七条</w:t>
      </w:r>
      <w:r>
        <w:rPr>
          <w:rFonts w:ascii="黑体" w:hAnsi="黑体" w:cs="黑体" w:hint="eastAsia" w:eastAsia="黑体"/>
          <w:color w:val="000000"/>
          <w:spacing w:val="0"/>
          <w:sz w:val="32"/>
          <w:szCs w:val="32"/>
        </w:rPr>
        <w:t xml:space="preserve">  </w:t>
      </w:r>
      <w:r>
        <w:rPr>
          <w:rFonts w:ascii="仿宋_GB2312;仿宋" w:hAnsi="仿宋_GB2312;仿宋" w:cs="仿宋_GB2312;仿宋" w:hint="eastAsia" w:eastAsia="仿宋_GB2312;仿宋"/>
          <w:color w:val="000000"/>
          <w:sz w:val="32"/>
          <w:szCs w:val="32"/>
        </w:rPr>
        <w:t>市、县（市、区）人民政府应当加强禁牧休牧宣传，对禁牧休牧工作中做出显著成绩的单位和个人给予表彰和奖励。</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第八条</w:t>
      </w:r>
      <w:bookmarkStart w:id="1" w:name="tiao_6_kuan_1"/>
      <w:bookmarkEnd w:id="1"/>
      <w:r>
        <w:rPr>
          <w:rFonts w:ascii="黑体" w:hAnsi="黑体" w:cs="黑体" w:hint="eastAsia" w:eastAsia="黑体"/>
          <w:color w:val="000000"/>
          <w:spacing w:val="0"/>
          <w:sz w:val="32"/>
          <w:szCs w:val="32"/>
        </w:rPr>
        <w:t xml:space="preserve">  </w:t>
      </w:r>
      <w:r>
        <w:rPr>
          <w:rFonts w:ascii="仿宋_GB2312;仿宋" w:hAnsi="仿宋_GB2312;仿宋" w:cs="仿宋_GB2312;仿宋" w:hint="eastAsia" w:eastAsia="仿宋_GB2312;仿宋"/>
          <w:color w:val="000000"/>
          <w:sz w:val="32"/>
          <w:szCs w:val="32"/>
        </w:rPr>
        <w:t>本市在下列区域实行禁牧：</w:t>
      </w:r>
      <w:bookmarkStart w:id="2" w:name="tiao6_kuan1"/>
      <w:bookmarkEnd w:id="2"/>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rPr>
          <w:rFonts w:ascii="仿宋_GB2312;仿宋" w:hAnsi="仿宋_GB2312;仿宋" w:eastAsia="仿宋_GB2312;仿宋" w:cs="仿宋_GB2312;仿宋" w:hint="eastAsia"/>
          <w:color w:val="000000"/>
          <w:sz w:val="32"/>
          <w:szCs w:val="32"/>
        </w:rPr>
      </w:pPr>
      <w:bookmarkStart w:id="3" w:name="tiao_6_kuan_1_xiang_1"/>
      <w:bookmarkEnd w:id="3"/>
      <w:r>
        <w:rPr>
          <w:rFonts w:ascii="仿宋_GB2312;仿宋" w:hAnsi="仿宋_GB2312;仿宋" w:cs="仿宋_GB2312;仿宋" w:hint="eastAsia" w:eastAsia="仿宋_GB2312;仿宋"/>
          <w:color w:val="000000"/>
          <w:sz w:val="32"/>
          <w:szCs w:val="32"/>
        </w:rPr>
        <w:t>（一）新造林地、未成林地、幼林地、特种用途林地和封山育林区；</w:t>
      </w:r>
      <w:bookmarkStart w:id="4" w:name="tiao6_kuan1_xiang1"/>
      <w:bookmarkEnd w:id="4"/>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rPr>
          <w:rFonts w:ascii="仿宋_GB2312;仿宋" w:hAnsi="仿宋_GB2312;仿宋" w:eastAsia="仿宋_GB2312;仿宋" w:cs="仿宋_GB2312;仿宋" w:hint="eastAsia"/>
          <w:color w:val="000000"/>
          <w:sz w:val="32"/>
          <w:szCs w:val="32"/>
        </w:rPr>
      </w:pPr>
      <w:bookmarkStart w:id="5" w:name="tiao_6_kuan_1_xiang_2"/>
      <w:bookmarkEnd w:id="5"/>
      <w:r>
        <w:rPr>
          <w:rFonts w:ascii="仿宋_GB2312;仿宋" w:hAnsi="仿宋_GB2312;仿宋" w:cs="仿宋_GB2312;仿宋" w:hint="eastAsia" w:eastAsia="仿宋_GB2312;仿宋"/>
          <w:color w:val="000000"/>
          <w:sz w:val="32"/>
          <w:szCs w:val="32"/>
        </w:rPr>
        <w:t>（二）严重退化、沙化、盐碱化、水土流失以及生态脆弱区的</w:t>
      </w:r>
      <w:r>
        <w:rPr>
          <w:rFonts w:ascii="仿宋_GB2312;仿宋" w:hAnsi="仿宋_GB2312;仿宋" w:cs="仿宋_GB2312;仿宋" w:hint="eastAsia" w:eastAsia="仿宋_GB2312;仿宋"/>
          <w:color w:val="000000"/>
          <w:sz w:val="32"/>
          <w:szCs w:val="32"/>
          <w:u w:val="none"/>
        </w:rPr>
        <w:t>林地</w:t>
      </w:r>
      <w:r>
        <w:rPr>
          <w:rFonts w:ascii="仿宋_GB2312;仿宋" w:hAnsi="仿宋_GB2312;仿宋" w:cs="仿宋_GB2312;仿宋" w:hint="eastAsia" w:eastAsia="仿宋_GB2312;仿宋"/>
          <w:color w:val="000000"/>
          <w:sz w:val="32"/>
          <w:szCs w:val="32"/>
        </w:rPr>
        <w:t>和草地；</w:t>
      </w:r>
      <w:bookmarkStart w:id="6" w:name="tiao6_kuan1_xiang2"/>
      <w:bookmarkEnd w:id="6"/>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rPr>
          <w:rFonts w:ascii="仿宋_GB2312;仿宋" w:hAnsi="仿宋_GB2312;仿宋" w:eastAsia="仿宋_GB2312;仿宋" w:cs="仿宋_GB2312;仿宋" w:hint="eastAsia"/>
          <w:color w:val="000000"/>
          <w:sz w:val="32"/>
          <w:szCs w:val="32"/>
        </w:rPr>
      </w:pPr>
      <w:bookmarkStart w:id="7" w:name="tiao_6_kuan_1_xiang_3"/>
      <w:bookmarkEnd w:id="7"/>
      <w:r>
        <w:rPr>
          <w:rFonts w:ascii="仿宋_GB2312;仿宋" w:hAnsi="仿宋_GB2312;仿宋" w:cs="仿宋_GB2312;仿宋" w:hint="eastAsia" w:eastAsia="仿宋_GB2312;仿宋"/>
          <w:color w:val="000000"/>
          <w:sz w:val="32"/>
          <w:szCs w:val="32"/>
        </w:rPr>
        <w:t>（三）</w:t>
      </w:r>
      <w:bookmarkStart w:id="8" w:name="tiao6_kuan1_xiang3"/>
      <w:bookmarkStart w:id="9" w:name="tiao_6_kuan_1_xiang_4"/>
      <w:bookmarkEnd w:id="8"/>
      <w:bookmarkEnd w:id="9"/>
      <w:r>
        <w:rPr>
          <w:rFonts w:ascii="仿宋_GB2312;仿宋" w:hAnsi="仿宋_GB2312;仿宋" w:cs="仿宋_GB2312;仿宋" w:hint="eastAsia" w:eastAsia="仿宋_GB2312;仿宋"/>
          <w:color w:val="000000"/>
          <w:sz w:val="32"/>
          <w:szCs w:val="32"/>
        </w:rPr>
        <w:t>自然保护区；</w:t>
      </w:r>
      <w:bookmarkStart w:id="10" w:name="tiao6_kuan1_xiang4"/>
      <w:bookmarkEnd w:id="10"/>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rPr>
          <w:rFonts w:ascii="仿宋_GB2312;仿宋" w:hAnsi="仿宋_GB2312;仿宋" w:eastAsia="仿宋_GB2312;仿宋" w:cs="仿宋_GB2312;仿宋" w:hint="eastAsia"/>
          <w:color w:val="000000"/>
          <w:sz w:val="32"/>
          <w:szCs w:val="32"/>
        </w:rPr>
      </w:pPr>
      <w:bookmarkStart w:id="11" w:name="tiao_6_kuan_1_xiang_5"/>
      <w:bookmarkEnd w:id="11"/>
      <w:r>
        <w:rPr>
          <w:rFonts w:ascii="仿宋_GB2312;仿宋" w:hAnsi="仿宋_GB2312;仿宋" w:cs="仿宋_GB2312;仿宋" w:hint="eastAsia" w:eastAsia="仿宋_GB2312;仿宋"/>
          <w:color w:val="000000"/>
          <w:sz w:val="32"/>
          <w:szCs w:val="32"/>
        </w:rPr>
        <w:t>（四）法律、法规规定禁牧的其他区域。</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第九条</w:t>
      </w:r>
      <w:r>
        <w:rPr>
          <w:rFonts w:ascii="黑体" w:hAnsi="黑体" w:cs="黑体" w:hint="eastAsia" w:eastAsia="黑体"/>
          <w:color w:val="000000"/>
          <w:spacing w:val="0"/>
          <w:sz w:val="32"/>
          <w:szCs w:val="32"/>
        </w:rPr>
        <w:t xml:space="preserve">  </w:t>
      </w:r>
      <w:r>
        <w:rPr>
          <w:rFonts w:ascii="仿宋_GB2312;仿宋" w:hAnsi="仿宋_GB2312;仿宋" w:cs="仿宋_GB2312;仿宋" w:hint="eastAsia" w:eastAsia="仿宋_GB2312;仿宋"/>
          <w:color w:val="000000"/>
          <w:sz w:val="32"/>
          <w:szCs w:val="32"/>
        </w:rPr>
        <w:t>本市区域内禁止放养羊只，禁牧期限由市人民政府规定。</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rPr>
          <w:rFonts w:ascii="黑体" w:hAnsi="黑体" w:eastAsia="黑体" w:cs="黑体" w:hint="eastAsia"/>
          <w:color w:val="000000"/>
          <w:sz w:val="32"/>
          <w:szCs w:val="32"/>
        </w:rPr>
      </w:pPr>
      <w:r>
        <w:rPr>
          <w:rFonts w:ascii="仿宋_GB2312;仿宋" w:hAnsi="仿宋_GB2312;仿宋" w:cs="仿宋_GB2312;仿宋" w:hint="eastAsia" w:eastAsia="仿宋_GB2312;仿宋"/>
          <w:color w:val="000000"/>
          <w:sz w:val="32"/>
          <w:szCs w:val="32"/>
        </w:rPr>
        <w:t>吕梁黑山羊保种基地</w:t>
      </w:r>
      <w:r>
        <w:rPr>
          <w:rFonts w:ascii="仿宋_GB2312;仿宋" w:hAnsi="仿宋_GB2312;仿宋" w:cs="仿宋_GB2312;仿宋" w:eastAsia="仿宋_GB2312;仿宋"/>
          <w:color w:val="000000"/>
          <w:sz w:val="32"/>
          <w:szCs w:val="32"/>
        </w:rPr>
        <w:t>、</w:t>
      </w:r>
      <w:r>
        <w:rPr>
          <w:rFonts w:ascii="仿宋_GB2312;仿宋" w:hAnsi="仿宋_GB2312;仿宋" w:cs="仿宋_GB2312;仿宋" w:hint="eastAsia" w:eastAsia="仿宋_GB2312;仿宋"/>
          <w:color w:val="000000"/>
          <w:sz w:val="32"/>
          <w:szCs w:val="32"/>
        </w:rPr>
        <w:t>具有国家</w:t>
      </w:r>
      <w:r>
        <w:rPr>
          <w:rFonts w:ascii="仿宋_GB2312;仿宋" w:hAnsi="仿宋_GB2312;仿宋" w:cs="仿宋_GB2312;仿宋" w:eastAsia="仿宋_GB2312;仿宋"/>
          <w:color w:val="000000"/>
          <w:sz w:val="32"/>
          <w:szCs w:val="32"/>
        </w:rPr>
        <w:t>农产品</w:t>
      </w:r>
      <w:r>
        <w:rPr>
          <w:rFonts w:ascii="仿宋_GB2312;仿宋" w:hAnsi="仿宋_GB2312;仿宋" w:cs="仿宋_GB2312;仿宋" w:hint="eastAsia" w:eastAsia="仿宋_GB2312;仿宋"/>
          <w:color w:val="000000"/>
          <w:sz w:val="32"/>
          <w:szCs w:val="32"/>
        </w:rPr>
        <w:t>地理标志的中阳柏籽羊肉</w:t>
      </w:r>
      <w:r>
        <w:rPr>
          <w:rFonts w:ascii="仿宋_GB2312;仿宋" w:hAnsi="仿宋_GB2312;仿宋" w:cs="仿宋_GB2312;仿宋" w:eastAsia="仿宋_GB2312;仿宋"/>
          <w:color w:val="000000"/>
          <w:sz w:val="32"/>
          <w:szCs w:val="32"/>
        </w:rPr>
        <w:t>产</w:t>
      </w:r>
      <w:r>
        <w:rPr>
          <w:rFonts w:ascii="仿宋_GB2312;仿宋" w:hAnsi="仿宋_GB2312;仿宋" w:cs="仿宋_GB2312;仿宋" w:hint="eastAsia" w:eastAsia="仿宋_GB2312;仿宋"/>
          <w:color w:val="000000"/>
          <w:sz w:val="32"/>
          <w:szCs w:val="32"/>
        </w:rPr>
        <w:t>地</w:t>
      </w:r>
      <w:r>
        <w:rPr>
          <w:rFonts w:ascii="仿宋_GB2312;仿宋" w:hAnsi="仿宋_GB2312;仿宋" w:cs="仿宋_GB2312;仿宋" w:eastAsia="仿宋_GB2312;仿宋"/>
          <w:color w:val="000000"/>
          <w:sz w:val="32"/>
          <w:szCs w:val="32"/>
          <w:u w:val="none"/>
        </w:rPr>
        <w:t>和基于乡村自然风光旅游点缀需要的景点，</w:t>
      </w:r>
      <w:r>
        <w:rPr>
          <w:rFonts w:ascii="仿宋_GB2312;仿宋" w:hAnsi="仿宋_GB2312;仿宋" w:cs="仿宋_GB2312;仿宋" w:hint="eastAsia" w:eastAsia="仿宋_GB2312;仿宋"/>
          <w:color w:val="000000"/>
          <w:sz w:val="32"/>
          <w:szCs w:val="32"/>
        </w:rPr>
        <w:t>可以在禁牧区域以外由所在县（市、区）人民政府</w:t>
      </w:r>
      <w:r>
        <w:rPr>
          <w:rFonts w:ascii="仿宋_GB2312;仿宋" w:hAnsi="仿宋_GB2312;仿宋" w:cs="仿宋_GB2312;仿宋" w:eastAsia="仿宋_GB2312;仿宋"/>
          <w:color w:val="000000"/>
          <w:sz w:val="32"/>
          <w:szCs w:val="32"/>
        </w:rPr>
        <w:t>林草主管部门划定区域，</w:t>
      </w:r>
      <w:r>
        <w:rPr>
          <w:rFonts w:ascii="仿宋_GB2312;仿宋" w:hAnsi="仿宋_GB2312;仿宋" w:cs="仿宋_GB2312;仿宋" w:hint="eastAsia" w:eastAsia="仿宋_GB2312;仿宋"/>
          <w:color w:val="000000"/>
          <w:sz w:val="32"/>
          <w:szCs w:val="32"/>
        </w:rPr>
        <w:t>核定载畜量，适度放养羊只。</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rPr>
          <w:rFonts w:ascii="黑体" w:hAnsi="黑体" w:eastAsia="黑体" w:cs="黑体" w:hint="eastAsia"/>
          <w:strike/>
          <w:color w:val="000000"/>
          <w:sz w:val="32"/>
          <w:szCs w:val="32"/>
        </w:rPr>
      </w:pPr>
      <w:r>
        <w:rPr>
          <w:rFonts w:ascii="黑体" w:hAnsi="黑体" w:cs="黑体" w:hint="eastAsia" w:eastAsia="黑体"/>
          <w:color w:val="000000"/>
          <w:sz w:val="32"/>
          <w:szCs w:val="32"/>
        </w:rPr>
        <w:t>第</w:t>
      </w:r>
      <w:r>
        <w:rPr>
          <w:rFonts w:ascii="黑体" w:hAnsi="黑体" w:cs="黑体" w:eastAsia="黑体"/>
          <w:color w:val="000000"/>
          <w:sz w:val="32"/>
          <w:szCs w:val="32"/>
        </w:rPr>
        <w:t>十</w:t>
      </w:r>
      <w:r>
        <w:rPr>
          <w:rFonts w:ascii="黑体" w:hAnsi="黑体" w:cs="黑体" w:hint="eastAsia" w:eastAsia="黑体"/>
          <w:color w:val="000000"/>
          <w:sz w:val="32"/>
          <w:szCs w:val="32"/>
        </w:rPr>
        <w:t>条</w:t>
      </w:r>
      <w:r>
        <w:rPr>
          <w:rFonts w:ascii="黑体" w:hAnsi="黑体" w:cs="黑体" w:hint="eastAsia" w:eastAsia="黑体"/>
          <w:color w:val="000000"/>
          <w:spacing w:val="0"/>
          <w:sz w:val="32"/>
          <w:szCs w:val="32"/>
        </w:rPr>
        <w:t xml:space="preserve">  </w:t>
      </w:r>
      <w:r>
        <w:rPr>
          <w:rFonts w:ascii="仿宋_GB2312;仿宋" w:hAnsi="仿宋_GB2312;仿宋" w:cs="仿宋_GB2312;仿宋" w:hint="eastAsia" w:eastAsia="仿宋_GB2312;仿宋"/>
          <w:color w:val="000000"/>
          <w:sz w:val="32"/>
          <w:szCs w:val="32"/>
        </w:rPr>
        <w:t>市人民政府应当根据国土空间规划、生态建设规划、环境保护规划和畜牧产业发展规划等，结合全市不同地域情况，制定禁牧总体规划。</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县（市、 区）人民政府应当根据市人民政府禁牧总体规划，</w:t>
      </w:r>
      <w:r>
        <w:rPr>
          <w:rFonts w:ascii="仿宋_GB2312;仿宋" w:hAnsi="仿宋_GB2312;仿宋" w:cs="仿宋_GB2312;仿宋" w:hint="eastAsia" w:eastAsia="仿宋_GB2312;仿宋"/>
          <w:strike w:val="false"/>
          <w:dstrike w:val="false"/>
          <w:color w:val="000000"/>
          <w:sz w:val="32"/>
          <w:szCs w:val="32"/>
          <w:u w:val="none"/>
        </w:rPr>
        <w:t>组织林草、畜牧等有关部门</w:t>
      </w:r>
      <w:r>
        <w:rPr>
          <w:rFonts w:ascii="仿宋_GB2312;仿宋" w:hAnsi="仿宋_GB2312;仿宋" w:cs="仿宋_GB2312;仿宋" w:hint="eastAsia" w:eastAsia="仿宋_GB2312;仿宋"/>
          <w:strike w:val="false"/>
          <w:dstrike w:val="false"/>
          <w:color w:val="000000"/>
          <w:sz w:val="32"/>
          <w:szCs w:val="32"/>
        </w:rPr>
        <w:t>，</w:t>
      </w:r>
      <w:r>
        <w:rPr>
          <w:rFonts w:ascii="仿宋_GB2312;仿宋" w:hAnsi="仿宋_GB2312;仿宋" w:cs="仿宋_GB2312;仿宋" w:hint="eastAsia" w:eastAsia="仿宋_GB2312;仿宋"/>
          <w:color w:val="000000"/>
          <w:sz w:val="32"/>
          <w:szCs w:val="32"/>
        </w:rPr>
        <w:t>按照以草定畜、草畜平衡的原则，根据林草生长状况科学确定禁牧休牧的具体区域、期限、方式</w:t>
      </w:r>
      <w:r>
        <w:rPr>
          <w:rFonts w:ascii="仿宋_GB2312;仿宋" w:hAnsi="仿宋_GB2312;仿宋" w:cs="仿宋_GB2312;仿宋" w:eastAsia="仿宋_GB2312;仿宋"/>
          <w:color w:val="000000"/>
          <w:sz w:val="32"/>
          <w:szCs w:val="32"/>
        </w:rPr>
        <w:t>，</w:t>
      </w:r>
      <w:r>
        <w:rPr>
          <w:rFonts w:ascii="仿宋_GB2312;仿宋" w:hAnsi="仿宋_GB2312;仿宋" w:cs="仿宋_GB2312;仿宋" w:hint="eastAsia" w:eastAsia="仿宋_GB2312;仿宋"/>
          <w:color w:val="000000"/>
          <w:sz w:val="32"/>
          <w:szCs w:val="32"/>
        </w:rPr>
        <w:t>并向社会公布，实行动态管理。</w:t>
      </w:r>
      <w:bookmarkStart w:id="12" w:name="tiao_8_kuan_2"/>
      <w:bookmarkStart w:id="13" w:name="tiao8_kuan1"/>
      <w:bookmarkEnd w:id="12"/>
      <w:bookmarkEnd w:id="13"/>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第十</w:t>
      </w:r>
      <w:r>
        <w:rPr>
          <w:rFonts w:ascii="黑体" w:hAnsi="黑体" w:cs="黑体" w:eastAsia="黑体"/>
          <w:color w:val="000000"/>
          <w:sz w:val="32"/>
          <w:szCs w:val="32"/>
        </w:rPr>
        <w:t>一</w:t>
      </w:r>
      <w:r>
        <w:rPr>
          <w:rFonts w:ascii="黑体" w:hAnsi="黑体" w:cs="黑体" w:hint="eastAsia" w:eastAsia="黑体"/>
          <w:color w:val="000000"/>
          <w:sz w:val="32"/>
          <w:szCs w:val="32"/>
        </w:rPr>
        <w:t>条</w:t>
      </w:r>
      <w:r>
        <w:rPr>
          <w:rFonts w:ascii="黑体" w:hAnsi="黑体" w:cs="黑体" w:hint="eastAsia" w:eastAsia="黑体"/>
          <w:color w:val="000000"/>
          <w:spacing w:val="0"/>
          <w:sz w:val="32"/>
          <w:szCs w:val="32"/>
        </w:rPr>
        <w:t xml:space="preserve"> </w:t>
      </w:r>
      <w:r>
        <w:rPr>
          <w:rFonts w:ascii="仿宋_GB2312;仿宋" w:hAnsi="仿宋_GB2312;仿宋" w:cs="仿宋_GB2312;仿宋" w:hint="eastAsia" w:eastAsia="仿宋_GB2312;仿宋"/>
          <w:color w:val="000000"/>
          <w:spacing w:val="0"/>
          <w:sz w:val="32"/>
          <w:szCs w:val="32"/>
        </w:rPr>
        <w:t xml:space="preserve"> 县（市、区）人民政府应当在</w:t>
      </w:r>
      <w:r>
        <w:rPr>
          <w:rFonts w:ascii="仿宋_GB2312;仿宋" w:hAnsi="仿宋_GB2312;仿宋" w:cs="仿宋_GB2312;仿宋" w:hint="eastAsia" w:eastAsia="仿宋_GB2312;仿宋"/>
          <w:color w:val="000000"/>
          <w:sz w:val="32"/>
          <w:szCs w:val="32"/>
        </w:rPr>
        <w:t>禁牧休牧区域的主要出入口、人畜活动频繁区域设立界桩、标牌等禁牧休牧标志。</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禁止擅自移动或者损毁界桩、标牌等禁牧休牧标志。</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rPr>
          <w:rFonts w:ascii="仿宋_GB2312;仿宋" w:hAnsi="仿宋_GB2312;仿宋" w:eastAsia="仿宋_GB2312;仿宋" w:cs="仿宋_GB2312;仿宋" w:hint="eastAsia"/>
          <w:color w:val="000000"/>
          <w:sz w:val="32"/>
          <w:szCs w:val="32"/>
          <w:highlight w:val="red"/>
        </w:rPr>
      </w:pPr>
      <w:r>
        <w:rPr>
          <w:rFonts w:ascii="黑体" w:hAnsi="黑体" w:cs="黑体" w:hint="eastAsia" w:eastAsia="黑体"/>
          <w:color w:val="000000"/>
          <w:sz w:val="32"/>
          <w:szCs w:val="32"/>
        </w:rPr>
        <w:t>第十</w:t>
      </w:r>
      <w:r>
        <w:rPr>
          <w:rFonts w:ascii="黑体" w:hAnsi="黑体" w:cs="黑体" w:eastAsia="黑体"/>
          <w:color w:val="000000"/>
          <w:sz w:val="32"/>
          <w:szCs w:val="32"/>
        </w:rPr>
        <w:t>二</w:t>
      </w:r>
      <w:r>
        <w:rPr>
          <w:rFonts w:ascii="黑体" w:hAnsi="黑体" w:cs="黑体" w:hint="eastAsia" w:eastAsia="黑体"/>
          <w:color w:val="000000"/>
          <w:sz w:val="32"/>
          <w:szCs w:val="32"/>
        </w:rPr>
        <w:t>条</w:t>
      </w:r>
      <w:r>
        <w:rPr>
          <w:rFonts w:ascii="黑体" w:hAnsi="黑体" w:cs="黑体" w:hint="eastAsia" w:eastAsia="黑体"/>
          <w:color w:val="000000"/>
          <w:spacing w:val="0"/>
          <w:sz w:val="32"/>
          <w:szCs w:val="32"/>
        </w:rPr>
        <w:t xml:space="preserve">  </w:t>
      </w:r>
      <w:r>
        <w:rPr>
          <w:rFonts w:ascii="仿宋_GB2312;仿宋" w:hAnsi="仿宋_GB2312;仿宋" w:cs="仿宋_GB2312;仿宋" w:hint="eastAsia" w:eastAsia="仿宋_GB2312;仿宋"/>
          <w:color w:val="000000"/>
          <w:sz w:val="32"/>
          <w:szCs w:val="32"/>
        </w:rPr>
        <w:t>禁牧休牧工作应当实行市、县、乡、村四级林长责任制度。</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市、县（市、区）人民政府林草主管部门应当按照“谁所有（经营），谁管护”的原则，确定禁牧休牧区域管护单位或者管护人，制定管护制度，落实管护责任。</w:t>
      </w:r>
      <w:bookmarkStart w:id="14" w:name="tiao9_kuan1"/>
      <w:bookmarkEnd w:id="14"/>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第十</w:t>
      </w:r>
      <w:r>
        <w:rPr>
          <w:rFonts w:ascii="黑体" w:hAnsi="黑体" w:cs="黑体" w:eastAsia="黑体"/>
          <w:color w:val="000000"/>
          <w:sz w:val="32"/>
          <w:szCs w:val="32"/>
        </w:rPr>
        <w:t>三</w:t>
      </w:r>
      <w:r>
        <w:rPr>
          <w:rFonts w:ascii="黑体" w:hAnsi="黑体" w:cs="黑体" w:hint="eastAsia" w:eastAsia="黑体"/>
          <w:color w:val="000000"/>
          <w:sz w:val="32"/>
          <w:szCs w:val="32"/>
        </w:rPr>
        <w:t>条</w:t>
      </w:r>
      <w:r>
        <w:rPr>
          <w:rFonts w:ascii="黑体" w:hAnsi="黑体" w:cs="黑体" w:hint="eastAsia" w:eastAsia="黑体"/>
          <w:color w:val="000000"/>
          <w:spacing w:val="0"/>
          <w:sz w:val="32"/>
          <w:szCs w:val="32"/>
        </w:rPr>
        <w:t xml:space="preserve">  </w:t>
      </w:r>
      <w:r>
        <w:rPr>
          <w:rFonts w:ascii="仿宋_GB2312;仿宋" w:hAnsi="仿宋_GB2312;仿宋" w:cs="仿宋_GB2312;仿宋" w:hint="eastAsia" w:eastAsia="仿宋_GB2312;仿宋"/>
          <w:color w:val="000000"/>
          <w:sz w:val="32"/>
          <w:szCs w:val="32"/>
        </w:rPr>
        <w:t>乡（镇）人民政府、街道办事处应当按照县（市、 区）人民政府</w:t>
      </w:r>
      <w:r>
        <w:rPr>
          <w:rFonts w:ascii="仿宋_GB2312;仿宋" w:hAnsi="仿宋_GB2312;仿宋" w:cs="仿宋_GB2312;仿宋" w:hint="eastAsia" w:eastAsia="仿宋_GB2312;仿宋"/>
          <w:color w:val="000000"/>
          <w:sz w:val="32"/>
          <w:szCs w:val="32"/>
          <w:u w:val="none"/>
        </w:rPr>
        <w:t>林草主管部门</w:t>
      </w:r>
      <w:r>
        <w:rPr>
          <w:rFonts w:ascii="仿宋_GB2312;仿宋" w:hAnsi="仿宋_GB2312;仿宋" w:cs="仿宋_GB2312;仿宋" w:hint="eastAsia" w:eastAsia="仿宋_GB2312;仿宋"/>
          <w:color w:val="000000"/>
          <w:sz w:val="32"/>
          <w:szCs w:val="32"/>
        </w:rPr>
        <w:t>核定的载畜量，确定村、户可以放牧的牲畜数量，并落实禁牧休牧责任。</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乡（镇）人民政府、街道办事处应当对</w:t>
      </w:r>
      <w:r>
        <w:rPr>
          <w:rFonts w:ascii="仿宋_GB2312;仿宋" w:hAnsi="仿宋_GB2312;仿宋" w:cs="仿宋_GB2312;仿宋" w:eastAsia="仿宋_GB2312;仿宋"/>
          <w:color w:val="000000"/>
          <w:sz w:val="32"/>
          <w:szCs w:val="32"/>
          <w:u w:val="none"/>
        </w:rPr>
        <w:t>辖区</w:t>
      </w:r>
      <w:r>
        <w:rPr>
          <w:rFonts w:ascii="仿宋_GB2312;仿宋" w:hAnsi="仿宋_GB2312;仿宋" w:cs="仿宋_GB2312;仿宋" w:hint="eastAsia" w:eastAsia="仿宋_GB2312;仿宋"/>
          <w:color w:val="000000"/>
          <w:sz w:val="32"/>
          <w:szCs w:val="32"/>
          <w:u w:val="none"/>
        </w:rPr>
        <w:t>内</w:t>
      </w:r>
      <w:r>
        <w:rPr>
          <w:rFonts w:ascii="仿宋_GB2312;仿宋" w:hAnsi="仿宋_GB2312;仿宋" w:cs="仿宋_GB2312;仿宋" w:hint="eastAsia" w:eastAsia="仿宋_GB2312;仿宋"/>
          <w:color w:val="000000"/>
          <w:sz w:val="32"/>
          <w:szCs w:val="32"/>
        </w:rPr>
        <w:t>的草食性牲畜存栏数进行全面统计，建立养殖户管理档案，利用信息化手段，推行禁牧休牧日常工作动态管理。</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rPr>
          <w:rFonts w:ascii="仿宋_GB2312;仿宋" w:hAnsi="仿宋_GB2312;仿宋" w:eastAsia="仿宋_GB2312;仿宋" w:cs="仿宋_GB2312;仿宋" w:hint="eastAsia"/>
          <w:color w:val="000000"/>
          <w:sz w:val="32"/>
          <w:szCs w:val="32"/>
          <w:u w:val="none"/>
        </w:rPr>
      </w:pPr>
      <w:r>
        <w:rPr>
          <w:rFonts w:ascii="黑体" w:hAnsi="黑体" w:cs="黑体" w:hint="eastAsia" w:eastAsia="黑体"/>
          <w:color w:val="000000"/>
          <w:sz w:val="32"/>
          <w:szCs w:val="32"/>
        </w:rPr>
        <w:t>第十</w:t>
      </w:r>
      <w:r>
        <w:rPr>
          <w:rFonts w:ascii="黑体" w:hAnsi="黑体" w:cs="黑体" w:eastAsia="黑体"/>
          <w:color w:val="000000"/>
          <w:sz w:val="32"/>
          <w:szCs w:val="32"/>
        </w:rPr>
        <w:t>四</w:t>
      </w:r>
      <w:r>
        <w:rPr>
          <w:rFonts w:ascii="黑体" w:hAnsi="黑体" w:cs="黑体" w:hint="eastAsia" w:eastAsia="黑体"/>
          <w:color w:val="000000"/>
          <w:sz w:val="32"/>
          <w:szCs w:val="32"/>
        </w:rPr>
        <w:t>条　</w:t>
      </w:r>
      <w:r>
        <w:rPr>
          <w:rFonts w:ascii="仿宋_GB2312;仿宋" w:hAnsi="仿宋_GB2312;仿宋" w:cs="仿宋_GB2312;仿宋" w:hint="eastAsia" w:eastAsia="仿宋_GB2312;仿宋"/>
          <w:color w:val="000000"/>
          <w:sz w:val="32"/>
          <w:szCs w:val="32"/>
          <w:u w:val="none"/>
        </w:rPr>
        <w:t>牲畜所有者应当履行禁牧休牧和草畜平衡义务，不得超过核定的载畜量放牧，不得在禁牧区、休牧期放牧。</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第十</w:t>
      </w:r>
      <w:r>
        <w:rPr>
          <w:rFonts w:ascii="黑体" w:hAnsi="黑体" w:cs="黑体" w:eastAsia="黑体"/>
          <w:color w:val="000000"/>
          <w:sz w:val="32"/>
          <w:szCs w:val="32"/>
        </w:rPr>
        <w:t>五</w:t>
      </w:r>
      <w:r>
        <w:rPr>
          <w:rFonts w:ascii="黑体" w:hAnsi="黑体" w:cs="黑体" w:hint="eastAsia" w:eastAsia="黑体"/>
          <w:color w:val="000000"/>
          <w:sz w:val="32"/>
          <w:szCs w:val="32"/>
        </w:rPr>
        <w:t>条</w:t>
      </w:r>
      <w:r>
        <w:rPr>
          <w:rFonts w:ascii="黑体" w:hAnsi="黑体" w:cs="黑体" w:hint="eastAsia" w:eastAsia="黑体"/>
          <w:color w:val="000000"/>
          <w:spacing w:val="0"/>
          <w:sz w:val="32"/>
          <w:szCs w:val="32"/>
        </w:rPr>
        <w:t xml:space="preserve">  </w:t>
      </w:r>
      <w:r>
        <w:rPr>
          <w:rFonts w:ascii="仿宋_GB2312;仿宋" w:hAnsi="仿宋_GB2312;仿宋" w:cs="仿宋_GB2312;仿宋" w:hint="eastAsia" w:eastAsia="仿宋_GB2312;仿宋"/>
          <w:color w:val="000000"/>
          <w:sz w:val="32"/>
          <w:szCs w:val="32"/>
        </w:rPr>
        <w:t>市、县（市、区）人民政府林草主管部门应当建立禁牧休牧巡查制度和情况通报制度，加强监督检查；定期开展对禁牧休牧和草畜平衡效果的监测评估工作。</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rPr>
          <w:rFonts w:ascii="仿宋_GB2312;仿宋" w:hAnsi="仿宋_GB2312;仿宋" w:eastAsia="仿宋_GB2312;仿宋" w:cs="仿宋_GB2312;仿宋" w:hint="eastAsia"/>
          <w:color w:val="000000"/>
          <w:sz w:val="32"/>
          <w:szCs w:val="32"/>
          <w:u w:val="none"/>
        </w:rPr>
      </w:pPr>
      <w:r>
        <w:rPr>
          <w:rFonts w:ascii="黑体" w:hAnsi="黑体" w:cs="黑体" w:hint="eastAsia" w:eastAsia="黑体"/>
          <w:color w:val="000000"/>
          <w:sz w:val="32"/>
          <w:szCs w:val="32"/>
        </w:rPr>
        <w:t>第十</w:t>
      </w:r>
      <w:r>
        <w:rPr>
          <w:rFonts w:ascii="黑体" w:hAnsi="黑体" w:cs="黑体" w:eastAsia="黑体"/>
          <w:color w:val="000000"/>
          <w:sz w:val="32"/>
          <w:szCs w:val="32"/>
        </w:rPr>
        <w:t>六</w:t>
      </w:r>
      <w:r>
        <w:rPr>
          <w:rFonts w:ascii="黑体" w:hAnsi="黑体" w:cs="黑体" w:hint="eastAsia" w:eastAsia="黑体"/>
          <w:color w:val="000000"/>
          <w:sz w:val="32"/>
          <w:szCs w:val="32"/>
        </w:rPr>
        <w:t>条</w:t>
      </w:r>
      <w:r>
        <w:rPr>
          <w:rFonts w:ascii="黑体" w:hAnsi="黑体" w:cs="黑体" w:eastAsia="黑体"/>
          <w:color w:val="000000"/>
          <w:sz w:val="32"/>
          <w:szCs w:val="32"/>
        </w:rPr>
        <w:t xml:space="preserve"> </w:t>
      </w:r>
      <w:r>
        <w:rPr>
          <w:rFonts w:ascii="黑体" w:hAnsi="黑体" w:cs="黑体" w:hint="eastAsia" w:eastAsia="黑体"/>
          <w:color w:val="000000"/>
          <w:sz w:val="32"/>
          <w:szCs w:val="32"/>
        </w:rPr>
        <w:t xml:space="preserve"> </w:t>
      </w:r>
      <w:r>
        <w:rPr>
          <w:rFonts w:ascii="仿宋_GB2312;仿宋" w:hAnsi="仿宋_GB2312;仿宋" w:cs="仿宋_GB2312;仿宋" w:hint="eastAsia" w:eastAsia="仿宋_GB2312;仿宋"/>
          <w:color w:val="000000"/>
          <w:sz w:val="32"/>
          <w:szCs w:val="32"/>
          <w:u w:val="none"/>
        </w:rPr>
        <w:t>市、县（市、区）人民政府应当对在禁牧、休牧区域实施舍饲圈养的养殖户给予资金和技术等方面的补助和扶持。</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rPr>
          <w:rFonts w:ascii="仿宋" w:hAnsi="仿宋" w:eastAsia="仿宋" w:cs="仿宋" w:hint="eastAsia"/>
          <w:color w:val="000000"/>
          <w:sz w:val="32"/>
          <w:szCs w:val="32"/>
        </w:rPr>
      </w:pPr>
      <w:r>
        <w:rPr>
          <w:rFonts w:ascii="黑体" w:hAnsi="黑体" w:cs="黑体" w:hint="eastAsia" w:eastAsia="黑体"/>
          <w:color w:val="000000"/>
          <w:sz w:val="32"/>
          <w:szCs w:val="32"/>
        </w:rPr>
        <w:t>第十</w:t>
      </w:r>
      <w:r>
        <w:rPr>
          <w:rFonts w:ascii="黑体" w:hAnsi="黑体" w:cs="黑体" w:eastAsia="黑体"/>
          <w:color w:val="000000"/>
          <w:sz w:val="32"/>
          <w:szCs w:val="32"/>
        </w:rPr>
        <w:t>七</w:t>
      </w:r>
      <w:r>
        <w:rPr>
          <w:rFonts w:ascii="黑体" w:hAnsi="黑体" w:cs="黑体" w:hint="eastAsia" w:eastAsia="黑体"/>
          <w:color w:val="000000"/>
          <w:sz w:val="32"/>
          <w:szCs w:val="32"/>
        </w:rPr>
        <w:t xml:space="preserve">条  </w:t>
      </w:r>
      <w:r>
        <w:rPr>
          <w:rFonts w:ascii="仿宋" w:hAnsi="仿宋" w:cs="仿宋" w:hint="eastAsia" w:eastAsia="仿宋"/>
          <w:color w:val="000000"/>
          <w:sz w:val="32"/>
          <w:szCs w:val="32"/>
        </w:rPr>
        <w:t>市、县（市、区）人民政府及其有关部门应当加强禁牧休牧区域内农村产业结构调整，引导、扶持适宜当地发展的绿色产业，促进农民增收和当地经济发展。</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rPr>
          <w:rFonts w:ascii="仿宋" w:hAnsi="仿宋" w:eastAsia="仿宋" w:cs="仿宋" w:hint="eastAsia"/>
          <w:color w:val="000000"/>
          <w:sz w:val="32"/>
          <w:szCs w:val="32"/>
        </w:rPr>
      </w:pPr>
      <w:r>
        <w:rPr>
          <w:rFonts w:ascii="黑体" w:hAnsi="黑体" w:cs="黑体" w:hint="eastAsia" w:eastAsia="黑体"/>
          <w:color w:val="000000"/>
          <w:sz w:val="32"/>
          <w:szCs w:val="32"/>
        </w:rPr>
        <w:t>第十</w:t>
      </w:r>
      <w:r>
        <w:rPr>
          <w:rFonts w:ascii="黑体" w:hAnsi="黑体" w:cs="黑体" w:eastAsia="黑体"/>
          <w:color w:val="000000"/>
          <w:sz w:val="32"/>
          <w:szCs w:val="32"/>
        </w:rPr>
        <w:t>八</w:t>
      </w:r>
      <w:r>
        <w:rPr>
          <w:rFonts w:ascii="黑体" w:hAnsi="黑体" w:cs="黑体" w:hint="eastAsia" w:eastAsia="黑体"/>
          <w:color w:val="000000"/>
          <w:sz w:val="32"/>
          <w:szCs w:val="32"/>
        </w:rPr>
        <w:t xml:space="preserve">条  </w:t>
      </w:r>
      <w:r>
        <w:rPr>
          <w:rFonts w:ascii="仿宋" w:hAnsi="仿宋" w:cs="仿宋" w:hint="eastAsia" w:eastAsia="仿宋"/>
          <w:color w:val="000000"/>
          <w:sz w:val="32"/>
          <w:szCs w:val="32"/>
        </w:rPr>
        <w:t>市、县（市、区）人民政府及其有关部门对禁牧休牧后生产、生活有困难的</w:t>
      </w:r>
      <w:r>
        <w:rPr>
          <w:rFonts w:ascii="仿宋_GB2312;仿宋" w:hAnsi="仿宋_GB2312;仿宋" w:cs="仿宋_GB2312;仿宋" w:hint="eastAsia" w:eastAsia="仿宋_GB2312;仿宋"/>
          <w:color w:val="000000"/>
          <w:sz w:val="32"/>
          <w:szCs w:val="32"/>
          <w:u w:val="none"/>
        </w:rPr>
        <w:t>农村低收入人口，</w:t>
      </w:r>
      <w:r>
        <w:rPr>
          <w:rFonts w:ascii="仿宋" w:hAnsi="仿宋" w:cs="仿宋" w:hint="eastAsia" w:eastAsia="仿宋"/>
          <w:color w:val="000000"/>
          <w:sz w:val="32"/>
          <w:szCs w:val="32"/>
        </w:rPr>
        <w:t>应当结合乡村振兴等相关政策，统筹资金在移民搬迁、绿色产业发展等方面给予补助。</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rPr>
          <w:rFonts w:ascii="仿宋" w:hAnsi="仿宋" w:eastAsia="仿宋" w:cs="仿宋" w:hint="eastAsia"/>
          <w:color w:val="000000"/>
          <w:sz w:val="32"/>
          <w:szCs w:val="32"/>
        </w:rPr>
      </w:pPr>
      <w:r>
        <w:rPr>
          <w:rFonts w:ascii="黑体" w:hAnsi="黑体" w:cs="黑体" w:hint="eastAsia" w:eastAsia="黑体"/>
          <w:color w:val="000000"/>
          <w:sz w:val="32"/>
          <w:szCs w:val="32"/>
        </w:rPr>
        <w:t>第十</w:t>
      </w:r>
      <w:r>
        <w:rPr>
          <w:rFonts w:ascii="黑体" w:hAnsi="黑体" w:cs="黑体" w:eastAsia="黑体"/>
          <w:color w:val="000000"/>
          <w:sz w:val="32"/>
          <w:szCs w:val="32"/>
        </w:rPr>
        <w:t>九</w:t>
      </w:r>
      <w:r>
        <w:rPr>
          <w:rFonts w:ascii="黑体" w:hAnsi="黑体" w:cs="黑体" w:hint="eastAsia" w:eastAsia="黑体"/>
          <w:color w:val="000000"/>
          <w:sz w:val="32"/>
          <w:szCs w:val="32"/>
        </w:rPr>
        <w:t>条</w:t>
      </w:r>
      <w:r>
        <w:rPr>
          <w:rFonts w:ascii="黑体" w:hAnsi="黑体" w:cs="黑体" w:hint="eastAsia" w:eastAsia="黑体"/>
          <w:color w:val="000000"/>
          <w:spacing w:val="0"/>
          <w:sz w:val="32"/>
          <w:szCs w:val="32"/>
        </w:rPr>
        <w:t xml:space="preserve">  </w:t>
      </w:r>
      <w:r>
        <w:rPr>
          <w:rFonts w:ascii="仿宋_GB2312;仿宋" w:hAnsi="仿宋_GB2312;仿宋" w:cs="仿宋_GB2312;仿宋" w:hint="eastAsia" w:eastAsia="仿宋_GB2312;仿宋"/>
          <w:color w:val="000000"/>
          <w:sz w:val="32"/>
          <w:szCs w:val="32"/>
        </w:rPr>
        <w:t>违反本条例规定，法律、行政法规以及本省人民代表大会及其常务委员会制定的地方性法规已有法律责任规定的，从其规定。</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rPr>
          <w:rFonts w:ascii="仿宋_GB2312;仿宋" w:hAnsi="仿宋_GB2312;仿宋" w:eastAsia="仿宋_GB2312;仿宋" w:cs="仿宋_GB2312;仿宋" w:hint="eastAsia"/>
          <w:color w:val="000000"/>
          <w:sz w:val="32"/>
          <w:szCs w:val="32"/>
          <w:u w:val="none"/>
        </w:rPr>
      </w:pPr>
      <w:r>
        <w:rPr>
          <w:rFonts w:ascii="黑体" w:hAnsi="黑体" w:cs="黑体" w:hint="eastAsia" w:eastAsia="黑体"/>
          <w:color w:val="000000"/>
          <w:sz w:val="32"/>
          <w:szCs w:val="32"/>
        </w:rPr>
        <w:t>第</w:t>
      </w:r>
      <w:r>
        <w:rPr>
          <w:rFonts w:ascii="黑体" w:hAnsi="黑体" w:cs="黑体" w:eastAsia="黑体"/>
          <w:color w:val="000000"/>
          <w:sz w:val="32"/>
          <w:szCs w:val="32"/>
        </w:rPr>
        <w:t>二十</w:t>
      </w:r>
      <w:r>
        <w:rPr>
          <w:rFonts w:ascii="黑体" w:hAnsi="黑体" w:cs="黑体" w:hint="eastAsia" w:eastAsia="黑体"/>
          <w:color w:val="000000"/>
          <w:sz w:val="32"/>
          <w:szCs w:val="32"/>
        </w:rPr>
        <w:t>条</w:t>
      </w:r>
      <w:r>
        <w:rPr>
          <w:rFonts w:ascii="黑体" w:hAnsi="黑体" w:cs="黑体" w:eastAsia="黑体"/>
          <w:color w:val="000000"/>
          <w:sz w:val="32"/>
          <w:szCs w:val="32"/>
        </w:rPr>
        <w:t xml:space="preserve">  </w:t>
      </w:r>
      <w:r>
        <w:rPr>
          <w:rFonts w:ascii="仿宋_GB2312;仿宋" w:hAnsi="仿宋_GB2312;仿宋" w:cs="仿宋_GB2312;仿宋" w:hint="eastAsia" w:eastAsia="仿宋_GB2312;仿宋"/>
          <w:color w:val="000000"/>
          <w:sz w:val="32"/>
          <w:szCs w:val="32"/>
        </w:rPr>
        <w:t>违反本条例规定，在实行禁牧休牧的区域和期限内放牧的，由市、县（市、区）人民政府林草主管部门责令停止放牧，给予警告，并对牲畜所有者处以每个羊单位十元罚款。</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第二十</w:t>
      </w:r>
      <w:r>
        <w:rPr>
          <w:rFonts w:ascii="黑体" w:hAnsi="黑体" w:cs="黑体" w:eastAsia="黑体"/>
          <w:color w:val="000000"/>
          <w:sz w:val="32"/>
          <w:szCs w:val="32"/>
        </w:rPr>
        <w:t>一</w:t>
      </w:r>
      <w:r>
        <w:rPr>
          <w:rFonts w:ascii="黑体" w:hAnsi="黑体" w:cs="黑体" w:hint="eastAsia" w:eastAsia="黑体"/>
          <w:color w:val="000000"/>
          <w:sz w:val="32"/>
          <w:szCs w:val="32"/>
        </w:rPr>
        <w:t>条</w:t>
      </w:r>
      <w:r>
        <w:rPr>
          <w:rFonts w:ascii="仿宋_GB2312;仿宋" w:hAnsi="仿宋_GB2312;仿宋" w:cs="仿宋_GB2312;仿宋" w:hint="eastAsia" w:eastAsia="仿宋_GB2312;仿宋"/>
          <w:color w:val="000000"/>
          <w:sz w:val="32"/>
          <w:szCs w:val="32"/>
        </w:rPr>
        <w:t xml:space="preserve">  阻碍</w:t>
      </w:r>
      <w:r>
        <w:rPr>
          <w:rFonts w:ascii="仿宋_GB2312;仿宋" w:hAnsi="仿宋_GB2312;仿宋" w:cs="仿宋_GB2312;仿宋" w:hint="eastAsia" w:eastAsia="仿宋_GB2312;仿宋"/>
          <w:color w:val="000000"/>
          <w:sz w:val="32"/>
          <w:szCs w:val="32"/>
          <w:u w:val="none"/>
        </w:rPr>
        <w:t>国家机关</w:t>
      </w:r>
      <w:r>
        <w:rPr>
          <w:rFonts w:ascii="仿宋_GB2312;仿宋" w:hAnsi="仿宋_GB2312;仿宋" w:cs="仿宋_GB2312;仿宋" w:hint="eastAsia" w:eastAsia="仿宋_GB2312;仿宋"/>
          <w:color w:val="000000"/>
          <w:sz w:val="32"/>
          <w:szCs w:val="32"/>
        </w:rPr>
        <w:t>工作人员依法</w:t>
      </w:r>
      <w:r>
        <w:rPr>
          <w:rFonts w:ascii="仿宋_GB2312;仿宋" w:hAnsi="仿宋_GB2312;仿宋" w:cs="仿宋_GB2312;仿宋" w:hint="eastAsia" w:eastAsia="仿宋_GB2312;仿宋"/>
          <w:color w:val="000000"/>
          <w:sz w:val="32"/>
          <w:szCs w:val="32"/>
          <w:u w:val="none"/>
        </w:rPr>
        <w:t>执行公务</w:t>
      </w:r>
      <w:r>
        <w:rPr>
          <w:rFonts w:ascii="仿宋_GB2312;仿宋" w:hAnsi="仿宋_GB2312;仿宋" w:cs="仿宋_GB2312;仿宋" w:hint="eastAsia" w:eastAsia="仿宋_GB2312;仿宋"/>
          <w:color w:val="000000"/>
          <w:sz w:val="32"/>
          <w:szCs w:val="32"/>
        </w:rPr>
        <w:t>的，由公安机关依照《中华人民共和国治安管理处罚法》的规定处理；构成犯罪的，依法追究刑事责任。</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第二十</w:t>
      </w:r>
      <w:r>
        <w:rPr>
          <w:rFonts w:ascii="黑体" w:hAnsi="黑体" w:cs="黑体" w:eastAsia="黑体"/>
          <w:color w:val="000000"/>
          <w:sz w:val="32"/>
          <w:szCs w:val="32"/>
        </w:rPr>
        <w:t>二</w:t>
      </w:r>
      <w:r>
        <w:rPr>
          <w:rFonts w:ascii="黑体" w:hAnsi="黑体" w:cs="黑体" w:hint="eastAsia" w:eastAsia="黑体"/>
          <w:color w:val="000000"/>
          <w:sz w:val="32"/>
          <w:szCs w:val="32"/>
        </w:rPr>
        <w:t>条</w:t>
      </w:r>
      <w:r>
        <w:rPr>
          <w:rFonts w:ascii="黑体" w:hAnsi="黑体" w:cs="黑体" w:hint="eastAsia" w:eastAsia="黑体"/>
          <w:color w:val="000000"/>
          <w:spacing w:val="0"/>
          <w:sz w:val="32"/>
          <w:szCs w:val="32"/>
        </w:rPr>
        <w:t xml:space="preserve">  </w:t>
      </w:r>
      <w:r>
        <w:rPr>
          <w:rFonts w:ascii="仿宋_GB2312;仿宋" w:hAnsi="仿宋_GB2312;仿宋" w:cs="仿宋_GB2312;仿宋" w:hint="eastAsia" w:eastAsia="仿宋_GB2312;仿宋"/>
          <w:color w:val="000000"/>
          <w:sz w:val="32"/>
          <w:szCs w:val="32"/>
        </w:rPr>
        <w:t>国家机关工作人员在禁牧休牧工作中，玩忽职守、滥用职权、徇私舞弊的，依法给予处分；构成犯罪的，依法追究刑事责任。</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第二十</w:t>
      </w:r>
      <w:r>
        <w:rPr>
          <w:rFonts w:ascii="黑体" w:hAnsi="黑体" w:cs="黑体" w:eastAsia="黑体"/>
          <w:color w:val="000000"/>
          <w:sz w:val="32"/>
          <w:szCs w:val="32"/>
        </w:rPr>
        <w:t>三</w:t>
      </w:r>
      <w:r>
        <w:rPr>
          <w:rFonts w:ascii="黑体" w:hAnsi="黑体" w:cs="黑体" w:hint="eastAsia" w:eastAsia="黑体"/>
          <w:color w:val="000000"/>
          <w:sz w:val="32"/>
          <w:szCs w:val="32"/>
        </w:rPr>
        <w:t>条</w:t>
      </w:r>
      <w:r>
        <w:rPr>
          <w:rFonts w:ascii="黑体" w:hAnsi="黑体" w:cs="黑体" w:hint="eastAsia" w:eastAsia="黑体"/>
          <w:color w:val="000000"/>
          <w:spacing w:val="0"/>
          <w:sz w:val="32"/>
          <w:szCs w:val="32"/>
        </w:rPr>
        <w:t xml:space="preserve">  </w:t>
      </w:r>
      <w:r>
        <w:rPr>
          <w:rFonts w:ascii="仿宋_GB2312;仿宋" w:hAnsi="仿宋_GB2312;仿宋" w:cs="仿宋_GB2312;仿宋" w:hint="eastAsia" w:eastAsia="仿宋_GB2312;仿宋"/>
          <w:color w:val="000000"/>
          <w:sz w:val="32"/>
          <w:szCs w:val="32"/>
        </w:rPr>
        <w:t>本条例自</w:t>
      </w:r>
      <w:r>
        <w:rPr>
          <w:rFonts w:eastAsia="仿宋_GB2312;仿宋" w:cs="仿宋_GB2312;仿宋" w:ascii="仿宋_GB2312;仿宋" w:hAnsi="仿宋_GB2312;仿宋"/>
          <w:color w:val="000000"/>
          <w:sz w:val="32"/>
          <w:szCs w:val="32"/>
        </w:rPr>
        <w:t>2022</w:t>
      </w:r>
      <w:r>
        <w:rPr>
          <w:rFonts w:ascii="仿宋_GB2312;仿宋" w:hAnsi="仿宋_GB2312;仿宋" w:cs="仿宋_GB2312;仿宋" w:hint="eastAsia" w:eastAsia="仿宋_GB2312;仿宋"/>
          <w:color w:val="000000"/>
          <w:sz w:val="32"/>
          <w:szCs w:val="32"/>
        </w:rPr>
        <w:t>年</w:t>
      </w:r>
      <w:r>
        <w:rPr>
          <w:rFonts w:eastAsia="仿宋_GB2312;仿宋" w:cs="仿宋_GB2312;仿宋" w:ascii="仿宋_GB2312;仿宋" w:hAnsi="仿宋_GB2312;仿宋"/>
          <w:color w:val="000000"/>
          <w:sz w:val="32"/>
          <w:szCs w:val="32"/>
        </w:rPr>
        <w:t>10</w:t>
      </w:r>
      <w:r>
        <w:rPr>
          <w:rFonts w:ascii="仿宋_GB2312;仿宋" w:hAnsi="仿宋_GB2312;仿宋" w:cs="仿宋_GB2312;仿宋" w:hint="eastAsia" w:eastAsia="仿宋_GB2312;仿宋"/>
          <w:color w:val="000000"/>
          <w:sz w:val="32"/>
          <w:szCs w:val="32"/>
        </w:rPr>
        <w:t>月</w:t>
      </w:r>
      <w:r>
        <w:rPr>
          <w:rFonts w:eastAsia="仿宋_GB2312;仿宋" w:cs="仿宋_GB2312;仿宋" w:ascii="仿宋_GB2312;仿宋" w:hAnsi="仿宋_GB2312;仿宋"/>
          <w:color w:val="000000"/>
          <w:sz w:val="32"/>
          <w:szCs w:val="32"/>
        </w:rPr>
        <w:t>1</w:t>
      </w:r>
      <w:r>
        <w:rPr>
          <w:rFonts w:ascii="仿宋_GB2312;仿宋" w:hAnsi="仿宋_GB2312;仿宋" w:cs="仿宋_GB2312;仿宋" w:hint="eastAsia" w:eastAsia="仿宋_GB2312;仿宋"/>
          <w:color w:val="000000"/>
          <w:sz w:val="32"/>
          <w:szCs w:val="32"/>
        </w:rPr>
        <w:t>日起施行。</w:t>
      </w:r>
    </w:p>
    <w:p>
      <w:pPr>
        <w:pStyle w:val="Normal"/>
        <w:keepNext w:val="false"/>
        <w:keepLines w:val="false"/>
        <w:pageBreakBefore w:val="false"/>
        <w:widowControl w:val="false"/>
        <w:kinsoku w:val="true"/>
        <w:overflowPunct w:val="true"/>
        <w:bidi w:val="0"/>
        <w:snapToGrid w:val="true"/>
        <w:spacing w:lineRule="exact" w:line="570"/>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sectPr>
      <w:type w:val="nextPage"/>
      <w:pgSz w:w="11906" w:h="16838"/>
      <w:pgMar w:left="1587" w:right="1474" w:gutter="0" w:header="0" w:top="2098"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Arial">
    <w:charset w:val="01"/>
    <w:family w:val="swiss"/>
    <w:pitch w:val="default"/>
  </w:font>
  <w:font w:name="Liberation Sans">
    <w:altName w:val="Arial"/>
    <w:charset w:val="01" w:characterSet="utf-8"/>
    <w:family w:val="swiss"/>
    <w:pitch w:val="variable"/>
  </w:font>
  <w:font w:name="方正小标宋简体">
    <w:charset w:val="86"/>
    <w:family w:val="script"/>
    <w:pitch w:val="default"/>
  </w:font>
  <w:font w:name="楷体">
    <w:charset w:val="86"/>
    <w:family w:val="auto"/>
    <w:pitch w:val="default"/>
  </w:font>
  <w:font w:name="黑体">
    <w:charset w:val="86"/>
    <w:family w:val="auto"/>
    <w:pitch w:val="default"/>
  </w:font>
  <w:font w:name="仿宋_GB2312">
    <w:altName w:val="仿宋"/>
    <w:charset w:val="86"/>
    <w:family w:val="auto"/>
    <w:pitch w:val="default"/>
  </w:font>
  <w:font w:name="仿宋">
    <w:charset w:val="86"/>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3"/>
    <w:qFormat/>
    <w:pPr>
      <w:widowControl w:val="false"/>
      <w:bidi w:val="0"/>
      <w:jc w:val="both"/>
    </w:pPr>
    <w:rPr>
      <w:rFonts w:ascii="Calibri" w:hAnsi="Calibri" w:eastAsia="宋体" w:cs="Times New Roman"/>
      <w:color w:val="auto"/>
      <w:kern w:val="2"/>
      <w:sz w:val="21"/>
      <w:szCs w:val="22"/>
      <w:lang w:bidi="ar-SA" w:val="en-US" w:eastAsia="zh-CN"/>
    </w:rPr>
  </w:style>
  <w:style w:type="paragraph" w:styleId="Heading2">
    <w:name w:val="heading 2"/>
    <w:basedOn w:val="Normal"/>
    <w:next w:val="Normal"/>
    <w:qFormat/>
    <w:pPr>
      <w:keepNext w:val="true"/>
      <w:keepLines/>
      <w:numPr>
        <w:ilvl w:val="1"/>
        <w:numId w:val="1"/>
      </w:numPr>
      <w:spacing w:lineRule="exact" w:line="570" w:before="260" w:after="260"/>
      <w:ind w:firstLineChars="200" w:startChars="0" w:start="0" w:endChars="0" w:end="0"/>
      <w:outlineLvl w:val="1"/>
    </w:pPr>
    <w:rPr>
      <w:rFonts w:ascii="Arial" w:hAnsi="Arial" w:eastAsia="黑体" w:cs="Arial"/>
    </w:rPr>
  </w:style>
  <w:style w:type="paragraph" w:styleId="Heading3">
    <w:name w:val="heading 3"/>
    <w:basedOn w:val="Normal"/>
    <w:next w:val="Normal"/>
    <w:qFormat/>
    <w:pPr>
      <w:keepNext w:val="true"/>
      <w:keepLines/>
      <w:numPr>
        <w:ilvl w:val="2"/>
        <w:numId w:val="1"/>
      </w:numPr>
      <w:spacing w:lineRule="exact" w:line="570"/>
      <w:ind w:firstLineChars="200" w:startChars="0" w:start="0" w:endChars="0" w:end="0"/>
      <w:outlineLvl w:val="2"/>
    </w:pPr>
    <w:rPr>
      <w:rFonts w:eastAsia="楷体"/>
    </w:rPr>
  </w:style>
  <w:style w:type="character" w:styleId="Style12">
    <w:name w:val="默认段落字体"/>
    <w:qFormat/>
    <w:rPr/>
  </w:style>
  <w:style w:type="character" w:styleId="3Char">
    <w:name w:val="标题 3 Char"/>
    <w:qFormat/>
    <w:rPr>
      <w:rFonts w:eastAsia="楷体"/>
    </w:rPr>
  </w:style>
  <w:style w:type="character" w:styleId="Strong">
    <w:name w:val="Strong"/>
    <w:basedOn w:val="Style12"/>
    <w:qFormat/>
    <w:rPr>
      <w:b/>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正文缩进"/>
    <w:basedOn w:val="Normal"/>
    <w:qFormat/>
    <w:pPr>
      <w:ind w:firstLineChars="200" w:startChars="0" w:start="0" w:endChars="0" w:end="0"/>
    </w:pPr>
    <w:rPr/>
  </w:style>
  <w:style w:type="paragraph" w:styleId="Style14">
    <w:name w:val="文档结构图"/>
    <w:basedOn w:val="Normal"/>
    <w:qFormat/>
    <w:pPr>
      <w:shd w:fill="000080" w:val="clear"/>
    </w:pPr>
    <w:rPr/>
  </w:style>
  <w:style w:type="paragraph" w:styleId="Style15">
    <w:name w:val="大标"/>
    <w:basedOn w:val="Normal"/>
    <w:qFormat/>
    <w:pPr>
      <w:autoSpaceDE w:val="false"/>
      <w:spacing w:lineRule="atLeast" w:line="600"/>
      <w:textAlignment w:val="center"/>
    </w:pPr>
    <w:rPr>
      <w:rFonts w:ascii="方正小标宋简体" w:hAnsi="方正小标宋简体" w:eastAsia="方正小标宋简体" w:cs="方正小标宋简体"/>
      <w:color w:val="FFF000"/>
      <w:spacing w:val="13"/>
      <w:kern w:val="0"/>
      <w:sz w:val="42"/>
      <w:szCs w:val="42"/>
      <w:lang w:val="zh-CN"/>
    </w:rPr>
  </w:style>
  <w:style w:type="paragraph" w:styleId="Char">
    <w:name w:val="Char"/>
    <w:basedOn w:val="Style14"/>
    <w:qFormat/>
    <w:pPr>
      <w:spacing w:lineRule="exact" w:line="436"/>
      <w:ind w:hanging="0" w:start="357" w:end="0"/>
      <w:jc w:val="start"/>
      <w:outlineLvl w:val="3"/>
    </w:pPr>
    <w:rPr>
      <w:rFonts w:eastAsia="宋体"/>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2020-08-03T09:56:00Z</dcterms:created>
  <dc:creator>a</dc:creator>
  <dc:description/>
  <dc:language>en-US</dc:language>
  <cp:lastModifiedBy>此生无悔</cp:lastModifiedBy>
  <dcterms:modified xsi:type="dcterms:W3CDTF">2022-03-29T11:07:23Z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3F7ED718ADBC40169CBA9CD3A8BE788A</vt:lpwstr>
  </property>
  <property fmtid="{D5CDD505-2E9C-101B-9397-08002B2CF9AE}" pid="3" name="KSOProductBuildVer">
    <vt:lpwstr>2052-11.1.0.11365</vt:lpwstr>
  </property>
</Properties>
</file>