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rFonts w:ascii="黑体" w:hAnsi="黑体" w:eastAsia="黑体" w:cs="黑体"/>
          <w:color w:val="000000"/>
          <w:sz w:val="28"/>
          <w:szCs w:val="28"/>
        </w:rPr>
      </w:pPr>
      <w:r>
        <w:rPr>
          <w:rFonts w:eastAsia="黑体" w:cs="黑体" w:ascii="黑体" w:hAnsi="黑体"/>
          <w:color w:val="000000"/>
          <w:sz w:val="28"/>
          <w:szCs w:val="28"/>
        </w:rPr>
      </w:r>
    </w:p>
    <w:p>
      <w:pPr>
        <w:pStyle w:val="Normal"/>
        <w:snapToGrid w:val="false"/>
        <w:spacing w:lineRule="exact" w:line="600"/>
        <w:rPr>
          <w:rFonts w:ascii="方正小标宋_GBK;微软雅黑" w:hAnsi="方正小标宋_GBK;微软雅黑" w:cs="方正小标宋_GBK;微软雅黑" w:hint="eastAsia"/>
          <w:kern w:val="0"/>
          <w:sz w:val="44"/>
          <w:szCs w:val="44"/>
        </w:rPr>
      </w:pPr>
      <w:r>
        <w:rPr>
          <w:rFonts w:cs="方正小标宋_GBK;微软雅黑" w:hint="eastAsia" w:ascii="方正小标宋_GBK;微软雅黑" w:hAnsi="方正小标宋_GBK;微软雅黑"/>
          <w:kern w:val="0"/>
          <w:sz w:val="44"/>
          <w:szCs w:val="44"/>
        </w:rPr>
        <w:t xml:space="preserve"> </w:t>
      </w:r>
    </w:p>
    <w:p>
      <w:pPr>
        <w:pStyle w:val="Normal"/>
        <w:snapToGrid w:val="false"/>
        <w:spacing w:lineRule="exact" w:line="600"/>
        <w:jc w:val="center"/>
        <w:rPr>
          <w:rFonts w:ascii="方正小标宋_GBK;微软雅黑" w:hAnsi="方正小标宋_GBK;微软雅黑" w:cs="方正小标宋_GBK;微软雅黑" w:hint="eastAsia"/>
          <w:b/>
          <w:bCs/>
          <w:kern w:val="0"/>
          <w:sz w:val="44"/>
          <w:szCs w:val="44"/>
        </w:rPr>
      </w:pPr>
      <w:r>
        <w:rPr>
          <w:rFonts w:ascii="宋体" w:hAnsi="宋体" w:cs="宋体" w:hint="eastAsia"/>
          <w:b/>
          <w:bCs/>
          <w:kern w:val="0"/>
          <w:sz w:val="44"/>
          <w:szCs w:val="44"/>
        </w:rPr>
        <w:t>山西省禁毒条例</w:t>
      </w:r>
    </w:p>
    <w:p>
      <w:pPr>
        <w:pStyle w:val="Normal"/>
        <w:snapToGrid w:val="false"/>
        <w:spacing w:lineRule="exact" w:line="600"/>
        <w:rPr>
          <w:rFonts w:ascii="方正小标宋_GBK;微软雅黑" w:hAnsi="方正小标宋_GBK;微软雅黑" w:cs="方正小标宋_GBK;微软雅黑" w:hint="eastAsia"/>
          <w:kern w:val="0"/>
          <w:sz w:val="44"/>
          <w:szCs w:val="44"/>
        </w:rPr>
      </w:pPr>
      <w:r>
        <w:rPr>
          <w:rFonts w:cs="方正小标宋_GBK;微软雅黑" w:ascii="方正小标宋_GBK;微软雅黑" w:hAnsi="方正小标宋_GBK;微软雅黑"/>
          <w:kern w:val="0"/>
          <w:sz w:val="44"/>
          <w:szCs w:val="44"/>
        </w:rPr>
        <w:t xml:space="preserve"> </w:t>
      </w:r>
    </w:p>
    <w:p>
      <w:pPr>
        <w:pStyle w:val="Normal"/>
        <w:snapToGrid w:val="false"/>
        <w:spacing w:lineRule="exact" w:line="560"/>
        <w:ind w:firstLineChars="200" w:startChars="0" w:start="0" w:endChars="0" w:end="0"/>
        <w:rPr>
          <w:rFonts w:ascii="楷体" w:hAnsi="楷体" w:eastAsia="楷体" w:cs="楷体"/>
          <w:kern w:val="0"/>
          <w:sz w:val="32"/>
          <w:szCs w:val="32"/>
        </w:rPr>
      </w:pPr>
      <w:r>
        <w:rPr>
          <w:rFonts w:eastAsia="楷体" w:cs="楷体" w:hint="eastAsia" w:ascii="楷体" w:hAnsi="楷体"/>
          <w:kern w:val="0"/>
          <w:sz w:val="32"/>
          <w:szCs w:val="32"/>
        </w:rPr>
        <w:t>(1999</w:t>
      </w:r>
      <w:r>
        <w:rPr>
          <w:rFonts w:ascii="楷体" w:hAnsi="楷体" w:cs="楷体" w:hint="eastAsia" w:eastAsia="楷体"/>
          <w:kern w:val="0"/>
          <w:sz w:val="32"/>
          <w:szCs w:val="32"/>
        </w:rPr>
        <w:t>年</w:t>
      </w:r>
      <w:r>
        <w:rPr>
          <w:rFonts w:eastAsia="楷体" w:cs="楷体" w:hint="eastAsia" w:ascii="楷体" w:hAnsi="楷体"/>
          <w:kern w:val="0"/>
          <w:sz w:val="32"/>
          <w:szCs w:val="32"/>
        </w:rPr>
        <w:t>1</w:t>
      </w:r>
      <w:r>
        <w:rPr>
          <w:rFonts w:ascii="楷体" w:hAnsi="楷体" w:cs="楷体" w:hint="eastAsia" w:eastAsia="楷体"/>
          <w:kern w:val="0"/>
          <w:sz w:val="32"/>
          <w:szCs w:val="32"/>
        </w:rPr>
        <w:t>月</w:t>
      </w:r>
      <w:r>
        <w:rPr>
          <w:rFonts w:eastAsia="楷体" w:cs="楷体" w:hint="eastAsia" w:ascii="楷体" w:hAnsi="楷体"/>
          <w:kern w:val="0"/>
          <w:sz w:val="32"/>
          <w:szCs w:val="32"/>
        </w:rPr>
        <w:t>30</w:t>
      </w:r>
      <w:r>
        <w:rPr>
          <w:rFonts w:ascii="楷体" w:hAnsi="楷体" w:cs="楷体" w:hint="eastAsia" w:eastAsia="楷体"/>
          <w:kern w:val="0"/>
          <w:sz w:val="32"/>
          <w:szCs w:val="32"/>
        </w:rPr>
        <w:t>日山西省第九届人民代表大会常务委员会第七次会议通过</w:t>
      </w:r>
    </w:p>
    <w:p>
      <w:pPr>
        <w:pStyle w:val="Normal"/>
        <w:snapToGrid w:val="false"/>
        <w:spacing w:lineRule="exact" w:line="560"/>
        <w:ind w:firstLineChars="200" w:startChars="0" w:start="0" w:endChars="0" w:end="0"/>
        <w:rPr>
          <w:rFonts w:ascii="楷体" w:hAnsi="楷体" w:eastAsia="楷体" w:cs="楷体" w:hint="eastAsia"/>
          <w:kern w:val="0"/>
          <w:sz w:val="32"/>
          <w:szCs w:val="32"/>
        </w:rPr>
      </w:pPr>
      <w:r>
        <w:rPr>
          <w:rFonts w:ascii="楷体" w:hAnsi="楷体" w:cs="楷体" w:hint="eastAsia" w:eastAsia="楷体"/>
          <w:kern w:val="0"/>
          <w:sz w:val="32"/>
          <w:szCs w:val="32"/>
        </w:rPr>
        <w:t>根据</w:t>
      </w:r>
      <w:r>
        <w:rPr>
          <w:rFonts w:eastAsia="楷体" w:cs="楷体" w:hint="eastAsia" w:ascii="楷体" w:hAnsi="楷体"/>
          <w:kern w:val="0"/>
          <w:sz w:val="32"/>
          <w:szCs w:val="32"/>
        </w:rPr>
        <w:t>2010</w:t>
      </w:r>
      <w:r>
        <w:rPr>
          <w:rFonts w:ascii="楷体" w:hAnsi="楷体" w:cs="楷体" w:hint="eastAsia" w:eastAsia="楷体"/>
          <w:kern w:val="0"/>
          <w:sz w:val="32"/>
          <w:szCs w:val="32"/>
        </w:rPr>
        <w:t>年</w:t>
      </w:r>
      <w:r>
        <w:rPr>
          <w:rFonts w:eastAsia="楷体" w:cs="楷体" w:hint="eastAsia" w:ascii="楷体" w:hAnsi="楷体"/>
          <w:kern w:val="0"/>
          <w:sz w:val="32"/>
          <w:szCs w:val="32"/>
        </w:rPr>
        <w:t>11</w:t>
      </w:r>
      <w:r>
        <w:rPr>
          <w:rFonts w:ascii="楷体" w:hAnsi="楷体" w:cs="楷体" w:hint="eastAsia" w:eastAsia="楷体"/>
          <w:kern w:val="0"/>
          <w:sz w:val="32"/>
          <w:szCs w:val="32"/>
        </w:rPr>
        <w:t>月</w:t>
      </w:r>
      <w:r>
        <w:rPr>
          <w:rFonts w:eastAsia="楷体" w:cs="楷体" w:hint="eastAsia" w:ascii="楷体" w:hAnsi="楷体"/>
          <w:kern w:val="0"/>
          <w:sz w:val="32"/>
          <w:szCs w:val="32"/>
        </w:rPr>
        <w:t>26</w:t>
      </w:r>
      <w:r>
        <w:rPr>
          <w:rFonts w:ascii="楷体" w:hAnsi="楷体" w:cs="楷体" w:hint="eastAsia" w:eastAsia="楷体"/>
          <w:kern w:val="0"/>
          <w:sz w:val="32"/>
          <w:szCs w:val="32"/>
        </w:rPr>
        <w:t>日山西省第十一届人民代表大会常务委员会第二十次会议关于修改部分地方性法规的决定修正</w:t>
      </w:r>
    </w:p>
    <w:p>
      <w:pPr>
        <w:pStyle w:val="Normal"/>
        <w:snapToGrid w:val="false"/>
        <w:spacing w:lineRule="exact" w:line="560"/>
        <w:ind w:firstLineChars="200" w:startChars="0" w:start="0" w:endChars="0" w:end="0"/>
        <w:rPr>
          <w:rFonts w:ascii="楷体" w:hAnsi="楷体" w:eastAsia="楷体" w:cs="楷体" w:hint="eastAsia"/>
          <w:kern w:val="0"/>
          <w:sz w:val="32"/>
          <w:szCs w:val="32"/>
        </w:rPr>
      </w:pPr>
      <w:r>
        <w:rPr>
          <w:rFonts w:eastAsia="楷体" w:cs="楷体" w:hint="eastAsia" w:ascii="楷体" w:hAnsi="楷体"/>
          <w:kern w:val="0"/>
          <w:sz w:val="32"/>
          <w:szCs w:val="32"/>
        </w:rPr>
        <w:t>2020</w:t>
      </w:r>
      <w:r>
        <w:rPr>
          <w:rFonts w:ascii="楷体" w:hAnsi="楷体" w:cs="楷体" w:hint="eastAsia" w:eastAsia="楷体"/>
          <w:kern w:val="0"/>
          <w:sz w:val="32"/>
          <w:szCs w:val="32"/>
        </w:rPr>
        <w:t>年</w:t>
      </w:r>
      <w:r>
        <w:rPr>
          <w:rFonts w:eastAsia="楷体" w:cs="楷体" w:hint="eastAsia" w:ascii="楷体" w:hAnsi="楷体"/>
          <w:kern w:val="0"/>
          <w:sz w:val="32"/>
          <w:szCs w:val="32"/>
        </w:rPr>
        <w:t>7</w:t>
      </w:r>
      <w:r>
        <w:rPr>
          <w:rFonts w:ascii="楷体" w:hAnsi="楷体" w:cs="楷体" w:hint="eastAsia" w:eastAsia="楷体"/>
          <w:kern w:val="0"/>
          <w:sz w:val="32"/>
          <w:szCs w:val="32"/>
        </w:rPr>
        <w:t>月</w:t>
      </w:r>
      <w:r>
        <w:rPr>
          <w:rFonts w:eastAsia="楷体" w:cs="楷体" w:hint="eastAsia" w:ascii="楷体" w:hAnsi="楷体"/>
          <w:kern w:val="0"/>
          <w:sz w:val="32"/>
          <w:szCs w:val="32"/>
        </w:rPr>
        <w:t>31</w:t>
      </w:r>
      <w:r>
        <w:rPr>
          <w:rFonts w:ascii="楷体" w:hAnsi="楷体" w:cs="楷体" w:hint="eastAsia" w:eastAsia="楷体"/>
          <w:kern w:val="0"/>
          <w:sz w:val="32"/>
          <w:szCs w:val="32"/>
        </w:rPr>
        <w:t>日山西省第十三届人民代表大会常务委员会第十九次会议修订</w:t>
      </w:r>
      <w:r>
        <w:rPr>
          <w:rFonts w:eastAsia="楷体" w:cs="楷体" w:hint="eastAsia" w:ascii="楷体" w:hAnsi="楷体"/>
          <w:kern w:val="0"/>
          <w:sz w:val="32"/>
          <w:szCs w:val="32"/>
        </w:rPr>
        <w:t>)</w:t>
      </w:r>
    </w:p>
    <w:p>
      <w:pPr>
        <w:pStyle w:val="Normal"/>
        <w:snapToGrid w:val="false"/>
        <w:spacing w:lineRule="exact" w:line="560"/>
        <w:rPr>
          <w:rFonts w:ascii="楷体" w:hAnsi="楷体" w:eastAsia="楷体" w:cs="楷体" w:hint="eastAsia"/>
          <w:kern w:val="0"/>
          <w:sz w:val="36"/>
          <w:szCs w:val="36"/>
        </w:rPr>
      </w:pPr>
      <w:r>
        <w:rPr>
          <w:rFonts w:eastAsia="楷体" w:cs="楷体" w:hint="eastAsia" w:ascii="楷体" w:hAnsi="楷体"/>
          <w:kern w:val="0"/>
          <w:sz w:val="36"/>
          <w:szCs w:val="36"/>
        </w:rPr>
        <w:t xml:space="preserve"> </w:t>
      </w:r>
    </w:p>
    <w:p>
      <w:pPr>
        <w:pStyle w:val="Normal"/>
        <w:snapToGrid w:val="false"/>
        <w:spacing w:lineRule="exact" w:line="580"/>
        <w:jc w:val="center"/>
        <w:rPr>
          <w:rFonts w:ascii="黑体" w:hAnsi="黑体" w:eastAsia="黑体" w:cs="黑体" w:hint="eastAsia"/>
          <w:kern w:val="0"/>
          <w:sz w:val="32"/>
          <w:szCs w:val="32"/>
        </w:rPr>
      </w:pPr>
      <w:r>
        <w:rPr>
          <w:rFonts w:ascii="黑体" w:hAnsi="黑体" w:cs="黑体" w:hint="eastAsia" w:eastAsia="黑体"/>
          <w:kern w:val="0"/>
          <w:sz w:val="32"/>
          <w:szCs w:val="32"/>
        </w:rPr>
        <w:t>第一章   总   则</w:t>
      </w:r>
    </w:p>
    <w:p>
      <w:pPr>
        <w:pStyle w:val="Normal"/>
        <w:snapToGrid w:val="false"/>
        <w:spacing w:lineRule="exact" w:line="580"/>
        <w:rPr>
          <w:rFonts w:ascii="黑体" w:hAnsi="黑体" w:eastAsia="黑体" w:cs="黑体" w:hint="eastAsia"/>
          <w:kern w:val="0"/>
          <w:sz w:val="32"/>
          <w:szCs w:val="32"/>
        </w:rPr>
      </w:pPr>
      <w:r>
        <w:rPr>
          <w:rFonts w:eastAsia="黑体" w:cs="黑体" w:hint="eastAsia" w:ascii="黑体" w:hAnsi="黑体"/>
          <w:kern w:val="0"/>
          <w:sz w:val="32"/>
          <w:szCs w:val="32"/>
        </w:rPr>
        <w:t xml:space="preserve"> </w:t>
      </w:r>
    </w:p>
    <w:p>
      <w:pPr>
        <w:pStyle w:val="Normal"/>
        <w:snapToGrid w:val="false"/>
        <w:spacing w:lineRule="exact" w:line="580"/>
        <w:ind w:firstLineChars="196"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 xml:space="preserve">第一条  </w:t>
      </w:r>
      <w:r>
        <w:rPr>
          <w:rFonts w:ascii="仿宋" w:hAnsi="仿宋" w:cs="仿宋" w:hint="eastAsia" w:eastAsia="仿宋"/>
          <w:kern w:val="0"/>
          <w:sz w:val="32"/>
          <w:szCs w:val="32"/>
        </w:rPr>
        <w:t>为了预防和惩治毒品违法犯罪行为，保护公民身心健康，维护社会秩序，根据《中华人民共和国禁毒法》等法律、行政法规，结合本省实际，制定本条例。</w:t>
      </w:r>
    </w:p>
    <w:p>
      <w:pPr>
        <w:pStyle w:val="Normal"/>
        <w:snapToGrid w:val="false"/>
        <w:spacing w:lineRule="exact" w:line="580"/>
        <w:ind w:firstLineChars="196"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 xml:space="preserve">第二条  </w:t>
      </w:r>
      <w:r>
        <w:rPr>
          <w:rFonts w:ascii="仿宋" w:hAnsi="仿宋" w:cs="仿宋" w:hint="eastAsia" w:eastAsia="仿宋"/>
          <w:kern w:val="0"/>
          <w:sz w:val="32"/>
          <w:szCs w:val="32"/>
        </w:rPr>
        <w:t>本省行政区域内禁毒宣传教育、毒品和制毒物品管制、戒毒管理、禁毒工作保障等活动适用本条例。</w:t>
      </w:r>
    </w:p>
    <w:p>
      <w:pPr>
        <w:pStyle w:val="Normal"/>
        <w:snapToGrid w:val="false"/>
        <w:spacing w:lineRule="exact" w:line="580"/>
        <w:ind w:firstLineChars="196"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 xml:space="preserve">第三条  </w:t>
      </w:r>
      <w:r>
        <w:rPr>
          <w:rFonts w:ascii="仿宋" w:hAnsi="仿宋" w:cs="仿宋" w:hint="eastAsia" w:eastAsia="仿宋"/>
          <w:kern w:val="0"/>
          <w:sz w:val="32"/>
          <w:szCs w:val="32"/>
        </w:rPr>
        <w:t>禁毒工作实行预防为主，综合治理，禁种、禁制、禁贩、禁吸并举的方针。</w:t>
      </w:r>
    </w:p>
    <w:p>
      <w:pPr>
        <w:pStyle w:val="Normal"/>
        <w:snapToGrid w:val="false"/>
        <w:spacing w:lineRule="exact" w:line="580"/>
        <w:ind w:firstLineChars="196"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禁毒工作坚持教育和惩治相结合的原则，实行政府领导、部门协同、公众参与、社会共治的工作机制。</w:t>
      </w:r>
    </w:p>
    <w:p>
      <w:pPr>
        <w:pStyle w:val="Normal"/>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 xml:space="preserve">第四条  </w:t>
      </w:r>
      <w:r>
        <w:rPr>
          <w:rFonts w:ascii="仿宋" w:hAnsi="仿宋" w:cs="仿宋" w:hint="eastAsia" w:eastAsia="仿宋"/>
          <w:kern w:val="0"/>
          <w:sz w:val="32"/>
          <w:szCs w:val="32"/>
        </w:rPr>
        <w:t>禁毒是全社会的共同责任。国家机关、社会团体、企事业单位以及其他组织和公民，应当依法履行禁毒职责或者义务。</w:t>
      </w:r>
    </w:p>
    <w:p>
      <w:pPr>
        <w:pStyle w:val="Normal"/>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第五条</w:t>
      </w:r>
      <w:r>
        <w:rPr>
          <w:rFonts w:ascii="仿宋" w:hAnsi="仿宋" w:cs="仿宋" w:hint="eastAsia" w:eastAsia="仿宋"/>
          <w:kern w:val="0"/>
          <w:sz w:val="32"/>
          <w:szCs w:val="32"/>
        </w:rPr>
        <w:t xml:space="preserve">  县级以上人民政府应当加强对禁毒工作的领导，将禁毒工作纳入国民经济和社会发展规划；将禁毒工作纳入文明创建、平安创建的考核内容；将禁毒工作经费纳入本级财政预算，加大经费保障力度。</w:t>
      </w:r>
    </w:p>
    <w:p>
      <w:pPr>
        <w:pStyle w:val="Normal"/>
        <w:snapToGrid w:val="false"/>
        <w:spacing w:lineRule="exact" w:line="580"/>
        <w:ind w:firstLineChars="196"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 xml:space="preserve">第六条  </w:t>
      </w:r>
      <w:r>
        <w:rPr>
          <w:rFonts w:ascii="仿宋" w:hAnsi="仿宋" w:cs="仿宋" w:hint="eastAsia" w:eastAsia="仿宋"/>
          <w:kern w:val="0"/>
          <w:sz w:val="32"/>
          <w:szCs w:val="32"/>
        </w:rPr>
        <w:t>县级以上人民政府禁毒委员会负责组织、协调、指导本行政区域内的禁毒工作。</w:t>
      </w:r>
    </w:p>
    <w:p>
      <w:pPr>
        <w:pStyle w:val="Normal"/>
        <w:snapToGrid w:val="false"/>
        <w:spacing w:lineRule="exact" w:line="580"/>
        <w:ind w:firstLineChars="196"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 xml:space="preserve">禁毒委员会设立办公室，负责禁毒委员会日常工作。 </w:t>
      </w:r>
    </w:p>
    <w:p>
      <w:pPr>
        <w:pStyle w:val="Normal"/>
        <w:snapToGrid w:val="false"/>
        <w:spacing w:lineRule="exact" w:line="580"/>
        <w:ind w:firstLineChars="196"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禁毒委员会应当建立成员单位禁毒工作考评激励机制，定期向同级人民政府报告工作。</w:t>
      </w:r>
    </w:p>
    <w:p>
      <w:pPr>
        <w:pStyle w:val="Normal"/>
        <w:snapToGrid w:val="false"/>
        <w:spacing w:lineRule="exact" w:line="580"/>
        <w:ind w:firstLineChars="196"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禁毒委员会成员单位应当按照各自职责开展禁毒工作，并向本级禁毒委员会报告工作。</w:t>
      </w:r>
    </w:p>
    <w:p>
      <w:pPr>
        <w:pStyle w:val="Normal"/>
        <w:snapToGrid w:val="false"/>
        <w:spacing w:lineRule="exact" w:line="580"/>
        <w:ind w:firstLineChars="196" w:startChars="0" w:start="0" w:endChars="0" w:end="0"/>
        <w:rPr>
          <w:rFonts w:ascii="仿宋" w:hAnsi="仿宋" w:eastAsia="仿宋" w:cs="仿宋" w:hint="eastAsia"/>
          <w:color w:val="000000"/>
          <w:kern w:val="0"/>
          <w:sz w:val="32"/>
          <w:szCs w:val="32"/>
        </w:rPr>
      </w:pPr>
      <w:r>
        <w:rPr>
          <w:rFonts w:ascii="黑体" w:hAnsi="黑体" w:cs="黑体" w:hint="eastAsia" w:eastAsia="黑体"/>
          <w:kern w:val="0"/>
          <w:sz w:val="32"/>
          <w:szCs w:val="32"/>
        </w:rPr>
        <w:t xml:space="preserve">第七条  </w:t>
      </w:r>
      <w:r>
        <w:rPr>
          <w:rFonts w:ascii="仿宋" w:hAnsi="仿宋" w:cs="仿宋" w:hint="eastAsia" w:eastAsia="仿宋"/>
          <w:color w:val="000000"/>
          <w:kern w:val="0"/>
          <w:sz w:val="32"/>
          <w:szCs w:val="32"/>
        </w:rPr>
        <w:t>县级以上人民政府应当推动禁毒示范城市创建活动，提升禁毒工作治理水平。</w:t>
      </w:r>
    </w:p>
    <w:p>
      <w:pPr>
        <w:pStyle w:val="Normal"/>
        <w:snapToGrid w:val="false"/>
        <w:spacing w:lineRule="exact" w:line="580"/>
        <w:ind w:firstLineChars="196"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省人民政府应当对毒品问题严重的地区或者禁毒工作不力的地区开展禁毒重点整治。</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黑体" w:hAnsi="黑体" w:cs="Times New Roman" w:hint="eastAsia" w:eastAsia="黑体"/>
          <w:kern w:val="0"/>
          <w:sz w:val="32"/>
          <w:szCs w:val="32"/>
        </w:rPr>
        <w:t xml:space="preserve">第八条  </w:t>
      </w:r>
      <w:r>
        <w:rPr>
          <w:rFonts w:ascii="仿宋" w:hAnsi="仿宋" w:cs="Times New Roman" w:hint="eastAsia" w:eastAsia="仿宋"/>
          <w:kern w:val="0"/>
          <w:sz w:val="32"/>
          <w:szCs w:val="32"/>
        </w:rPr>
        <w:t>本省实施禁毒大数据工程，通过禁毒大数据平台，提升禁毒工作的信息化、科技化、智能化水平。</w:t>
      </w:r>
    </w:p>
    <w:p>
      <w:pPr>
        <w:pStyle w:val="Normal"/>
        <w:snapToGrid w:val="false"/>
        <w:spacing w:lineRule="exact" w:line="580"/>
        <w:ind w:firstLineChars="200" w:startChars="0" w:start="0" w:endChars="0" w:end="0"/>
        <w:rPr>
          <w:rFonts w:ascii="仿宋" w:hAnsi="仿宋" w:eastAsia="仿宋" w:cs="仿宋" w:hint="eastAsia"/>
          <w:color w:val="000000"/>
          <w:kern w:val="0"/>
          <w:sz w:val="32"/>
          <w:szCs w:val="32"/>
        </w:rPr>
      </w:pPr>
      <w:r>
        <w:rPr>
          <w:rFonts w:ascii="黑体" w:hAnsi="黑体" w:cs="黑体" w:hint="eastAsia" w:eastAsia="黑体"/>
          <w:color w:val="000000"/>
          <w:kern w:val="0"/>
          <w:sz w:val="32"/>
          <w:szCs w:val="32"/>
        </w:rPr>
        <w:t>第</w:t>
      </w:r>
      <w:r>
        <w:rPr>
          <w:rFonts w:ascii="黑体" w:hAnsi="黑体" w:cs="黑体" w:hint="eastAsia" w:eastAsia="黑体"/>
          <w:kern w:val="0"/>
          <w:sz w:val="32"/>
          <w:szCs w:val="32"/>
        </w:rPr>
        <w:t>九</w:t>
      </w:r>
      <w:r>
        <w:rPr>
          <w:rFonts w:ascii="黑体" w:hAnsi="黑体" w:cs="黑体" w:hint="eastAsia" w:eastAsia="黑体"/>
          <w:color w:val="000000"/>
          <w:kern w:val="0"/>
          <w:sz w:val="32"/>
          <w:szCs w:val="32"/>
        </w:rPr>
        <w:t xml:space="preserve">条  </w:t>
      </w:r>
      <w:r>
        <w:rPr>
          <w:rFonts w:ascii="仿宋" w:hAnsi="仿宋" w:cs="仿宋" w:hint="eastAsia" w:eastAsia="仿宋"/>
          <w:color w:val="000000"/>
          <w:kern w:val="0"/>
          <w:sz w:val="32"/>
          <w:szCs w:val="32"/>
        </w:rPr>
        <w:t>公安机关应当结合禁毒工作实际，加</w:t>
      </w:r>
      <w:r>
        <w:rPr>
          <w:rFonts w:ascii="仿宋" w:hAnsi="仿宋" w:cs="仿宋" w:hint="eastAsia" w:eastAsia="仿宋"/>
          <w:kern w:val="0"/>
          <w:sz w:val="32"/>
          <w:szCs w:val="32"/>
        </w:rPr>
        <w:t>强区域协作，开展禁毒信息和涉毒线索的收集、使用、交流</w:t>
      </w:r>
      <w:r>
        <w:rPr>
          <w:rFonts w:ascii="仿宋" w:hAnsi="仿宋" w:cs="仿宋" w:hint="eastAsia" w:eastAsia="仿宋"/>
          <w:color w:val="000000"/>
          <w:kern w:val="0"/>
          <w:sz w:val="32"/>
          <w:szCs w:val="32"/>
        </w:rPr>
        <w:t>和研判工作，</w:t>
      </w:r>
      <w:r>
        <w:rPr>
          <w:rFonts w:ascii="仿宋" w:hAnsi="仿宋" w:cs="仿宋" w:hint="eastAsia" w:eastAsia="仿宋"/>
          <w:kern w:val="0"/>
          <w:sz w:val="32"/>
          <w:szCs w:val="32"/>
        </w:rPr>
        <w:t>构建联查联防联控立体化防控体系。</w:t>
      </w:r>
    </w:p>
    <w:p>
      <w:pPr>
        <w:pStyle w:val="Normal"/>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 xml:space="preserve">第十条  </w:t>
      </w:r>
      <w:r>
        <w:rPr>
          <w:rFonts w:ascii="仿宋" w:hAnsi="仿宋" w:cs="仿宋" w:hint="eastAsia" w:eastAsia="仿宋"/>
          <w:kern w:val="0"/>
          <w:sz w:val="32"/>
          <w:szCs w:val="32"/>
        </w:rPr>
        <w:t>县级以上人民政府应当建立毒品违法犯罪行为举报奖励制度，公布举报方式，依法保护和奖励举报人。</w:t>
      </w:r>
    </w:p>
    <w:p>
      <w:pPr>
        <w:pStyle w:val="Normal"/>
        <w:snapToGrid w:val="false"/>
        <w:spacing w:lineRule="exact" w:line="580"/>
        <w:ind w:firstLineChars="200" w:startChars="0" w:start="0" w:endChars="0" w:end="0"/>
        <w:rPr>
          <w:rFonts w:ascii="仿宋" w:hAnsi="仿宋" w:eastAsia="仿宋" w:cs="仿宋" w:hint="eastAsia"/>
          <w:kern w:val="0"/>
          <w:sz w:val="32"/>
          <w:szCs w:val="32"/>
        </w:rPr>
      </w:pPr>
      <w:r>
        <w:rPr>
          <w:rFonts w:cs="仿宋" w:ascii="仿宋_GB2312;仿宋" w:hAnsi="仿宋_GB2312;仿宋"/>
          <w:color w:val="FF0000"/>
          <w:kern w:val="0"/>
          <w:sz w:val="32"/>
          <w:szCs w:val="32"/>
        </w:rPr>
        <w:t xml:space="preserve"> </w:t>
      </w:r>
    </w:p>
    <w:p>
      <w:pPr>
        <w:pStyle w:val="Style15"/>
        <w:shd w:fill="FFFFFF" w:val="clear"/>
        <w:snapToGrid w:val="false"/>
        <w:spacing w:lineRule="exact" w:line="580"/>
        <w:jc w:val="center"/>
        <w:rPr>
          <w:rFonts w:ascii="仿宋" w:hAnsi="仿宋" w:eastAsia="仿宋" w:cs="仿宋" w:hint="eastAsia"/>
          <w:kern w:val="0"/>
          <w:sz w:val="32"/>
          <w:szCs w:val="32"/>
        </w:rPr>
      </w:pPr>
      <w:r>
        <w:rPr>
          <w:rFonts w:ascii="黑体" w:hAnsi="黑体" w:cs="黑体" w:hint="eastAsia" w:eastAsia="黑体"/>
          <w:kern w:val="0"/>
          <w:sz w:val="32"/>
          <w:szCs w:val="32"/>
        </w:rPr>
        <w:t>第二章  禁毒宣传</w:t>
      </w:r>
      <w:r>
        <w:rPr>
          <w:rFonts w:ascii="黑体" w:hAnsi="黑体" w:cs="Times New Roman" w:hint="eastAsia" w:eastAsia="黑体"/>
          <w:kern w:val="0"/>
          <w:sz w:val="32"/>
          <w:szCs w:val="32"/>
        </w:rPr>
        <w:t>教育</w:t>
      </w:r>
    </w:p>
    <w:p>
      <w:pPr>
        <w:pStyle w:val="Style15"/>
        <w:snapToGrid w:val="false"/>
        <w:spacing w:lineRule="exact" w:line="580"/>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t xml:space="preserve"> </w:t>
      </w:r>
    </w:p>
    <w:p>
      <w:pPr>
        <w:pStyle w:val="Style15"/>
        <w:snapToGrid w:val="false"/>
        <w:spacing w:lineRule="exact" w:line="580"/>
        <w:ind w:firstLineChars="200" w:startChars="0" w:start="0" w:endChars="0" w:end="0"/>
        <w:rPr>
          <w:rFonts w:ascii="仿宋" w:hAnsi="仿宋" w:eastAsia="仿宋" w:cs="Times New Roman" w:hint="eastAsia"/>
          <w:kern w:val="0"/>
          <w:sz w:val="32"/>
          <w:szCs w:val="32"/>
        </w:rPr>
      </w:pPr>
      <w:r>
        <w:rPr>
          <w:rFonts w:ascii="黑体" w:hAnsi="黑体" w:cs="黑体" w:hint="eastAsia" w:eastAsia="黑体"/>
          <w:sz w:val="32"/>
          <w:szCs w:val="32"/>
        </w:rPr>
        <w:t>第</w:t>
      </w:r>
      <w:r>
        <w:rPr>
          <w:rFonts w:ascii="黑体" w:hAnsi="黑体" w:cs="Times New Roman" w:hint="eastAsia" w:eastAsia="黑体"/>
          <w:kern w:val="0"/>
          <w:sz w:val="32"/>
          <w:szCs w:val="32"/>
        </w:rPr>
        <w:t>十一</w:t>
      </w:r>
      <w:r>
        <w:rPr>
          <w:rFonts w:ascii="黑体" w:hAnsi="黑体" w:cs="黑体" w:hint="eastAsia" w:eastAsia="黑体"/>
          <w:sz w:val="32"/>
          <w:szCs w:val="32"/>
        </w:rPr>
        <w:t xml:space="preserve">条  </w:t>
      </w:r>
      <w:r>
        <w:rPr>
          <w:rFonts w:ascii="仿宋" w:hAnsi="仿宋" w:cs="仿宋" w:hint="eastAsia" w:eastAsia="仿宋"/>
          <w:kern w:val="0"/>
          <w:sz w:val="32"/>
          <w:szCs w:val="32"/>
        </w:rPr>
        <w:t>各级人民政府应当采取多种形式加强禁毒宣传</w:t>
      </w:r>
      <w:r>
        <w:rPr>
          <w:rFonts w:ascii="仿宋" w:hAnsi="仿宋" w:cs="Times New Roman" w:hint="eastAsia" w:eastAsia="仿宋"/>
          <w:kern w:val="0"/>
          <w:sz w:val="32"/>
          <w:szCs w:val="32"/>
        </w:rPr>
        <w:t>教育</w:t>
      </w:r>
      <w:r>
        <w:rPr>
          <w:rFonts w:ascii="仿宋" w:hAnsi="仿宋" w:cs="仿宋" w:hint="eastAsia" w:eastAsia="仿宋"/>
          <w:kern w:val="0"/>
          <w:sz w:val="32"/>
          <w:szCs w:val="32"/>
        </w:rPr>
        <w:t>工作，普及毒品预防知识，实现禁毒宣传教育全覆</w:t>
      </w:r>
      <w:r>
        <w:rPr>
          <w:rFonts w:ascii="仿宋" w:hAnsi="仿宋" w:cs="Times New Roman" w:hint="eastAsia" w:eastAsia="仿宋"/>
          <w:kern w:val="0"/>
          <w:sz w:val="32"/>
          <w:szCs w:val="32"/>
        </w:rPr>
        <w:t>盖；利用全民禁毒宣传月和国际禁毒日集中开展禁毒宣传活动，创新宣传方式，强化宣传效果。</w:t>
      </w:r>
    </w:p>
    <w:p>
      <w:pPr>
        <w:pStyle w:val="Style15"/>
        <w:snapToGrid w:val="false"/>
        <w:spacing w:lineRule="exact" w:line="580"/>
        <w:ind w:firstLineChars="200" w:startChars="0" w:start="0" w:endChars="0" w:end="0"/>
        <w:rPr>
          <w:rFonts w:ascii="仿宋" w:hAnsi="仿宋" w:eastAsia="仿宋" w:cs="Times New Roman" w:hint="eastAsia"/>
          <w:kern w:val="0"/>
          <w:sz w:val="32"/>
          <w:szCs w:val="32"/>
        </w:rPr>
      </w:pPr>
      <w:r>
        <w:rPr>
          <w:rFonts w:ascii="仿宋" w:hAnsi="仿宋" w:cs="Times New Roman" w:hint="eastAsia" w:eastAsia="仿宋"/>
          <w:kern w:val="0"/>
          <w:sz w:val="32"/>
          <w:szCs w:val="32"/>
        </w:rPr>
        <w:t>村（居）民委员会应当加强对村（居）民和流动人口的禁毒宣传教育，在村规民约、居民公约中规定禁毒的内容。</w:t>
      </w:r>
    </w:p>
    <w:p>
      <w:pPr>
        <w:pStyle w:val="Style15"/>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Times New Roman" w:hint="eastAsia" w:eastAsia="黑体"/>
          <w:kern w:val="0"/>
          <w:sz w:val="32"/>
          <w:szCs w:val="32"/>
        </w:rPr>
        <w:t>第十二条</w:t>
      </w:r>
      <w:r>
        <w:rPr>
          <w:rFonts w:ascii="黑体" w:hAnsi="黑体" w:cs="黑体" w:hint="eastAsia" w:eastAsia="黑体"/>
          <w:sz w:val="32"/>
          <w:szCs w:val="32"/>
        </w:rPr>
        <w:t xml:space="preserve">  </w:t>
      </w:r>
      <w:r>
        <w:rPr>
          <w:rFonts w:ascii="仿宋" w:hAnsi="仿宋" w:cs="Times New Roman" w:hint="eastAsia" w:eastAsia="仿宋"/>
          <w:kern w:val="0"/>
          <w:sz w:val="32"/>
          <w:szCs w:val="32"/>
        </w:rPr>
        <w:t>县级以上人民政府应当建立健全由禁毒委员会组织、成员单位配合、社会各界广泛参与的禁毒宣传和毒品预防教育体系。</w:t>
      </w:r>
    </w:p>
    <w:p>
      <w:pPr>
        <w:pStyle w:val="Normal"/>
        <w:snapToGrid w:val="false"/>
        <w:spacing w:lineRule="exact" w:line="580"/>
        <w:ind w:firstLineChars="196"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禁毒委员会应当组织编写、制作禁毒知识读本、音像制品、互联网宣传产品等。</w:t>
      </w:r>
    </w:p>
    <w:p>
      <w:pPr>
        <w:pStyle w:val="Normal"/>
        <w:snapToGrid w:val="false"/>
        <w:spacing w:lineRule="exact" w:line="580"/>
        <w:ind w:firstLineChars="196"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报刊、广播、电视、电影、互联网等媒体以及即时通讯、移动通讯等信息服务单位应当开展常态化禁毒宣传教育，免费刊登、播放禁毒信息和公益广告。</w:t>
      </w:r>
    </w:p>
    <w:p>
      <w:pPr>
        <w:pStyle w:val="Normal"/>
        <w:snapToGrid w:val="false"/>
        <w:spacing w:lineRule="exact" w:line="580"/>
        <w:ind w:firstLineChars="196"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行政学院、公职人员培训机构应当将禁毒宣传教育列入培训内容。</w:t>
      </w:r>
    </w:p>
    <w:p>
      <w:pPr>
        <w:pStyle w:val="Normal"/>
        <w:snapToGrid w:val="false"/>
        <w:spacing w:lineRule="exact" w:line="580"/>
        <w:ind w:firstLineChars="196"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第十三</w:t>
      </w:r>
      <w:r>
        <w:rPr>
          <w:rFonts w:ascii="黑体" w:hAnsi="黑体" w:cs="黑体" w:hint="eastAsia" w:eastAsia="黑体"/>
          <w:sz w:val="32"/>
          <w:szCs w:val="32"/>
        </w:rPr>
        <w:t xml:space="preserve">条  </w:t>
      </w:r>
      <w:r>
        <w:rPr>
          <w:rFonts w:ascii="仿宋" w:hAnsi="仿宋" w:cs="仿宋" w:hint="eastAsia" w:eastAsia="仿宋"/>
          <w:kern w:val="0"/>
          <w:sz w:val="32"/>
          <w:szCs w:val="32"/>
        </w:rPr>
        <w:t>国家机关、社会团体、企事业单位以及其他组织应当对其工作人员开展禁毒宣传教育。</w:t>
      </w:r>
    </w:p>
    <w:p>
      <w:pPr>
        <w:pStyle w:val="Normal"/>
        <w:snapToGrid w:val="false"/>
        <w:spacing w:lineRule="exact" w:line="580"/>
        <w:ind w:firstLineChars="196"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禁毒教育基地应当以真实案例为内容，面向社会开展禁毒警示教育工作。</w:t>
      </w:r>
    </w:p>
    <w:p>
      <w:pPr>
        <w:pStyle w:val="Normal"/>
        <w:snapToGrid w:val="false"/>
        <w:spacing w:lineRule="exact" w:line="580"/>
        <w:ind w:firstLineChars="196"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货运、客运、矿山、建筑等对公共安全负有重大责任的企业应当对所属从业人员开展针对性禁毒宣传教育。</w:t>
      </w:r>
    </w:p>
    <w:p>
      <w:pPr>
        <w:pStyle w:val="Normal"/>
        <w:snapToGrid w:val="false"/>
        <w:spacing w:lineRule="exact" w:line="580"/>
        <w:ind w:firstLineChars="196"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 xml:space="preserve">第十四条  </w:t>
      </w:r>
      <w:r>
        <w:rPr>
          <w:rFonts w:ascii="仿宋" w:hAnsi="仿宋" w:cs="仿宋" w:hint="eastAsia" w:eastAsia="仿宋"/>
          <w:kern w:val="0"/>
          <w:sz w:val="32"/>
          <w:szCs w:val="32"/>
        </w:rPr>
        <w:t>公共图书馆、阅览室以及综合性文化服务中心等场所应当提供禁毒知识读物，展播禁毒知识内容。</w:t>
      </w:r>
    </w:p>
    <w:p>
      <w:pPr>
        <w:pStyle w:val="Normal"/>
        <w:snapToGrid w:val="false"/>
        <w:spacing w:lineRule="exact" w:line="580"/>
        <w:ind w:firstLineChars="196"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机场、车站、码头、广场、公园、景区、娱乐场所、经营服务场所等公共场所和道路、公共交通工具的经营者、管理者应当根据实际情况设立禁毒警示标语，播放禁毒公益广告，开展多种形式的禁毒宣传教育。</w:t>
      </w:r>
    </w:p>
    <w:p>
      <w:pPr>
        <w:pStyle w:val="Normal"/>
        <w:snapToGrid w:val="false"/>
        <w:spacing w:lineRule="exact" w:line="580"/>
        <w:ind w:firstLineChars="196"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 xml:space="preserve">第十五条  </w:t>
      </w:r>
      <w:r>
        <w:rPr>
          <w:rFonts w:ascii="仿宋" w:hAnsi="仿宋" w:cs="仿宋" w:hint="eastAsia" w:eastAsia="仿宋"/>
          <w:kern w:val="0"/>
          <w:sz w:val="32"/>
          <w:szCs w:val="32"/>
        </w:rPr>
        <w:t>县级以上人民政府教育行政部门应当落实毒品预防教育教学计划，将禁毒知识纳入教学内容，每学期不少于两课时，推动禁毒示范学校创建。</w:t>
      </w:r>
    </w:p>
    <w:p>
      <w:pPr>
        <w:pStyle w:val="Normal"/>
        <w:snapToGrid w:val="false"/>
        <w:spacing w:lineRule="exact" w:line="580"/>
        <w:ind w:firstLineChars="196"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学校应当利用互联网禁毒教育平台以及校园网络、广播、宣传栏、禁毒教育园地等载体，针对不同阶段学生的心理特点和毒品认知能力，分别开展禁毒宣传教育，支持校园社团和志愿者队伍开展禁毒宣传教育，将禁毒教育与法治教育、心理健康教育和公益服务相结合。</w:t>
      </w:r>
    </w:p>
    <w:p>
      <w:pPr>
        <w:pStyle w:val="Normal"/>
        <w:snapToGrid w:val="false"/>
        <w:spacing w:lineRule="exact" w:line="580"/>
        <w:ind w:firstLineChars="196"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发现学生、教职员工在学校有毒品违法犯罪行为的，学校应当及时制止，并向所在地公安机关和教育行政部门报告。</w:t>
      </w:r>
    </w:p>
    <w:p>
      <w:pPr>
        <w:pStyle w:val="Normal"/>
        <w:snapToGrid w:val="false"/>
        <w:spacing w:lineRule="exact" w:line="580"/>
        <w:ind w:firstLineChars="196" w:startChars="0" w:start="0" w:endChars="0" w:end="0"/>
        <w:rPr>
          <w:rFonts w:ascii="仿宋" w:hAnsi="仿宋" w:eastAsia="仿宋" w:cs="仿宋" w:hint="eastAsia"/>
          <w:color w:val="FF0000"/>
          <w:kern w:val="0"/>
          <w:sz w:val="32"/>
          <w:szCs w:val="32"/>
        </w:rPr>
      </w:pPr>
      <w:r>
        <w:rPr>
          <w:rFonts w:ascii="仿宋" w:hAnsi="仿宋" w:cs="仿宋" w:hint="eastAsia" w:eastAsia="仿宋"/>
          <w:kern w:val="0"/>
          <w:sz w:val="32"/>
          <w:szCs w:val="32"/>
        </w:rPr>
        <w:t>未成年人的父母或者其他监护人应当对未成年人进行毒品危害的教育，防止其吸食、注射毒品或者进行其他毒品违法犯罪活动。</w:t>
      </w:r>
    </w:p>
    <w:p>
      <w:pPr>
        <w:pStyle w:val="Style16"/>
        <w:snapToGrid w:val="false"/>
        <w:spacing w:lineRule="exact" w:line="580"/>
        <w:rPr>
          <w:rFonts w:ascii="黑体" w:hAnsi="黑体" w:eastAsia="黑体" w:cs="黑体" w:hint="eastAsia"/>
          <w:kern w:val="0"/>
          <w:sz w:val="32"/>
          <w:szCs w:val="32"/>
        </w:rPr>
      </w:pPr>
      <w:r>
        <w:rPr>
          <w:rFonts w:eastAsia="黑体" w:cs="黑体" w:hint="eastAsia" w:ascii="黑体" w:hAnsi="黑体"/>
          <w:kern w:val="0"/>
          <w:sz w:val="32"/>
          <w:szCs w:val="32"/>
        </w:rPr>
        <w:t xml:space="preserve"> </w:t>
      </w:r>
    </w:p>
    <w:p>
      <w:pPr>
        <w:pStyle w:val="Style16"/>
        <w:snapToGrid w:val="false"/>
        <w:spacing w:lineRule="exact" w:line="580"/>
        <w:jc w:val="center"/>
        <w:rPr>
          <w:rFonts w:ascii="仿宋" w:hAnsi="仿宋" w:eastAsia="仿宋" w:cs="仿宋" w:hint="eastAsia"/>
          <w:kern w:val="0"/>
          <w:sz w:val="32"/>
          <w:szCs w:val="32"/>
        </w:rPr>
      </w:pPr>
      <w:r>
        <w:rPr>
          <w:rFonts w:ascii="黑体" w:hAnsi="黑体" w:cs="黑体" w:hint="eastAsia" w:eastAsia="黑体"/>
          <w:kern w:val="0"/>
          <w:sz w:val="32"/>
          <w:szCs w:val="32"/>
        </w:rPr>
        <w:t>第三章  毒品和制毒物品管制</w:t>
      </w:r>
    </w:p>
    <w:p>
      <w:pPr>
        <w:pStyle w:val="Style16"/>
        <w:snapToGrid w:val="false"/>
        <w:spacing w:lineRule="exact" w:line="580"/>
        <w:ind w:firstLineChars="200" w:startChars="0" w:start="0" w:endChars="0" w:end="0"/>
        <w:rPr>
          <w:rFonts w:ascii="黑体" w:hAnsi="黑体" w:eastAsia="黑体" w:cs="Times New Roman" w:hint="eastAsia"/>
          <w:kern w:val="0"/>
          <w:sz w:val="32"/>
          <w:szCs w:val="32"/>
        </w:rPr>
      </w:pPr>
      <w:r>
        <w:rPr>
          <w:rFonts w:eastAsia="黑体" w:cs="Times New Roman" w:hint="eastAsia" w:ascii="黑体" w:hAnsi="黑体"/>
          <w:kern w:val="0"/>
          <w:sz w:val="32"/>
          <w:szCs w:val="32"/>
        </w:rPr>
        <w:t xml:space="preserve"> </w:t>
      </w:r>
    </w:p>
    <w:p>
      <w:pPr>
        <w:pStyle w:val="Style16"/>
        <w:snapToGrid w:val="false"/>
        <w:spacing w:lineRule="exact" w:line="580"/>
        <w:ind w:firstLineChars="200" w:startChars="0" w:start="0" w:endChars="0" w:end="0"/>
        <w:rPr>
          <w:rFonts w:ascii="仿宋" w:hAnsi="仿宋" w:eastAsia="仿宋" w:cs="仿宋" w:hint="eastAsia"/>
          <w:color w:val="000000"/>
          <w:kern w:val="0"/>
          <w:sz w:val="32"/>
          <w:szCs w:val="32"/>
        </w:rPr>
      </w:pPr>
      <w:r>
        <w:rPr>
          <w:rFonts w:ascii="黑体" w:hAnsi="黑体" w:cs="Times New Roman" w:hint="eastAsia" w:eastAsia="黑体"/>
          <w:kern w:val="0"/>
          <w:sz w:val="32"/>
          <w:szCs w:val="32"/>
        </w:rPr>
        <w:t xml:space="preserve">第十六条  </w:t>
      </w:r>
      <w:r>
        <w:rPr>
          <w:rFonts w:ascii="仿宋" w:hAnsi="仿宋" w:cs="仿宋" w:hint="eastAsia" w:eastAsia="仿宋"/>
          <w:kern w:val="0"/>
          <w:sz w:val="32"/>
          <w:szCs w:val="32"/>
        </w:rPr>
        <w:t>县级以上人民政</w:t>
      </w:r>
      <w:r>
        <w:rPr>
          <w:rFonts w:ascii="仿宋" w:hAnsi="仿宋" w:cs="Times New Roman" w:hint="eastAsia" w:eastAsia="仿宋"/>
          <w:kern w:val="0"/>
          <w:sz w:val="32"/>
          <w:szCs w:val="32"/>
        </w:rPr>
        <w:t>府应当加强毒品和制毒物</w:t>
      </w:r>
      <w:r>
        <w:rPr>
          <w:rFonts w:ascii="仿宋" w:hAnsi="仿宋" w:cs="仿宋" w:hint="eastAsia" w:eastAsia="仿宋"/>
          <w:kern w:val="0"/>
          <w:sz w:val="32"/>
          <w:szCs w:val="32"/>
        </w:rPr>
        <w:t>品的管理。</w:t>
      </w:r>
    </w:p>
    <w:p>
      <w:pPr>
        <w:pStyle w:val="Normal"/>
        <w:snapToGrid w:val="false"/>
        <w:spacing w:lineRule="exact" w:line="580"/>
        <w:ind w:firstLineChars="196"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尚未纳入国家易制毒化学品管理目录，但是易被用作制毒原料或者配剂的化学品的管理办法，由省人民政府制定。</w:t>
      </w:r>
    </w:p>
    <w:p>
      <w:pPr>
        <w:pStyle w:val="Normal"/>
        <w:snapToGrid w:val="false"/>
        <w:spacing w:lineRule="exact" w:line="580"/>
        <w:ind w:firstLineChars="196"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全省毒情监测分析由省禁毒委员会负责组织实施，为毒情评估提供依据。</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仿宋" w:hAnsi="仿宋" w:cs="Times New Roman" w:hint="eastAsia" w:eastAsia="仿宋"/>
          <w:kern w:val="0"/>
          <w:sz w:val="32"/>
          <w:szCs w:val="32"/>
        </w:rPr>
        <w:t>城镇生活污水等涉毒样本采集工作由所在地县级人民政府公安机关负责，住房和城乡建设、生态环境等有关部门应当予以配合。</w:t>
      </w:r>
    </w:p>
    <w:p>
      <w:pPr>
        <w:pStyle w:val="Normal"/>
        <w:snapToGrid w:val="false"/>
        <w:spacing w:lineRule="exact" w:line="580"/>
        <w:ind w:firstLineChars="196"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 xml:space="preserve">第十七条  </w:t>
      </w:r>
      <w:r>
        <w:rPr>
          <w:rFonts w:ascii="仿宋" w:hAnsi="仿宋" w:cs="仿宋" w:hint="eastAsia" w:eastAsia="仿宋"/>
          <w:kern w:val="0"/>
          <w:sz w:val="32"/>
          <w:szCs w:val="32"/>
        </w:rPr>
        <w:t>乡（镇）人民政府、街道办事处，以及村（居）民委员会应当配合有关部门落实毒品和制毒物品管制措施；发现非法种植毒品原植物的，应当及时予以制止、铲除，并向所在地公安机关报告；发现其他毒品违法犯罪线索的，应当及时报告所在地公安机关。</w:t>
      </w:r>
    </w:p>
    <w:p>
      <w:pPr>
        <w:pStyle w:val="Style16"/>
        <w:snapToGrid w:val="false"/>
        <w:spacing w:lineRule="exact" w:line="580"/>
        <w:ind w:firstLineChars="196" w:startChars="0" w:start="0" w:endChars="0" w:end="0"/>
        <w:rPr>
          <w:rFonts w:ascii="仿宋" w:hAnsi="仿宋" w:eastAsia="仿宋" w:cs="仿宋" w:hint="eastAsia"/>
          <w:kern w:val="0"/>
          <w:sz w:val="32"/>
          <w:szCs w:val="32"/>
        </w:rPr>
      </w:pPr>
      <w:r>
        <w:rPr>
          <w:rFonts w:ascii="黑体" w:hAnsi="黑体" w:cs="Times New Roman" w:hint="eastAsia" w:eastAsia="黑体"/>
          <w:kern w:val="0"/>
          <w:sz w:val="32"/>
          <w:szCs w:val="32"/>
        </w:rPr>
        <w:t xml:space="preserve">第十八条  </w:t>
      </w:r>
      <w:r>
        <w:rPr>
          <w:rFonts w:ascii="仿宋" w:hAnsi="仿宋" w:cs="Times New Roman" w:hint="eastAsia" w:eastAsia="仿宋"/>
          <w:kern w:val="0"/>
          <w:sz w:val="32"/>
          <w:szCs w:val="32"/>
        </w:rPr>
        <w:t>禁止在</w:t>
      </w:r>
      <w:r>
        <w:rPr>
          <w:rFonts w:ascii="仿宋" w:hAnsi="仿宋" w:cs="仿宋" w:hint="eastAsia" w:eastAsia="仿宋"/>
          <w:kern w:val="0"/>
          <w:sz w:val="32"/>
          <w:szCs w:val="32"/>
        </w:rPr>
        <w:t>食品中添加</w:t>
      </w:r>
      <w:r>
        <w:rPr>
          <w:rFonts w:ascii="仿宋" w:hAnsi="仿宋" w:cs="宋体" w:hint="eastAsia" w:eastAsia="仿宋"/>
          <w:kern w:val="0"/>
          <w:sz w:val="32"/>
          <w:szCs w:val="32"/>
        </w:rPr>
        <w:t>毒品</w:t>
      </w:r>
      <w:r>
        <w:rPr>
          <w:rFonts w:ascii="仿宋" w:hAnsi="仿宋" w:cs="仿宋" w:hint="eastAsia" w:eastAsia="仿宋"/>
          <w:kern w:val="0"/>
          <w:sz w:val="32"/>
          <w:szCs w:val="32"/>
        </w:rPr>
        <w:t>原植物的根、茎、叶、壳以及种子、幼苗及其制品。</w:t>
      </w:r>
    </w:p>
    <w:p>
      <w:pPr>
        <w:pStyle w:val="Style16"/>
        <w:snapToGrid w:val="false"/>
        <w:spacing w:lineRule="exact" w:line="580"/>
        <w:ind w:firstLineChars="196"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市场监督管理部门应当对食品进行抽样检测或者检验，发现</w:t>
      </w:r>
      <w:r>
        <w:rPr>
          <w:rFonts w:ascii="仿宋" w:hAnsi="仿宋" w:cs="宋体" w:hint="eastAsia" w:eastAsia="仿宋"/>
          <w:kern w:val="0"/>
          <w:sz w:val="32"/>
          <w:szCs w:val="32"/>
        </w:rPr>
        <w:t>毒品</w:t>
      </w:r>
      <w:r>
        <w:rPr>
          <w:rFonts w:ascii="仿宋" w:hAnsi="仿宋" w:cs="仿宋" w:hint="eastAsia" w:eastAsia="仿宋"/>
          <w:kern w:val="0"/>
          <w:sz w:val="32"/>
          <w:szCs w:val="32"/>
        </w:rPr>
        <w:t>原植物的根、茎、叶、壳以及种子、幼苗及其制品</w:t>
      </w:r>
      <w:r>
        <w:rPr>
          <w:rFonts w:ascii="仿宋" w:hAnsi="仿宋" w:cs="宋体" w:hint="eastAsia" w:eastAsia="仿宋"/>
          <w:kern w:val="0"/>
          <w:sz w:val="32"/>
          <w:szCs w:val="32"/>
        </w:rPr>
        <w:t>的，应当通报同级人民政府公安机</w:t>
      </w:r>
      <w:r>
        <w:rPr>
          <w:rFonts w:ascii="仿宋" w:hAnsi="仿宋" w:cs="仿宋" w:hint="eastAsia" w:eastAsia="仿宋"/>
          <w:kern w:val="0"/>
          <w:sz w:val="32"/>
          <w:szCs w:val="32"/>
        </w:rPr>
        <w:t>关。</w:t>
      </w:r>
    </w:p>
    <w:p>
      <w:pPr>
        <w:pStyle w:val="Style16"/>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Times New Roman" w:hint="eastAsia" w:eastAsia="黑体"/>
          <w:kern w:val="0"/>
          <w:sz w:val="32"/>
          <w:szCs w:val="32"/>
        </w:rPr>
        <w:t xml:space="preserve">第十九条  </w:t>
      </w:r>
      <w:r>
        <w:rPr>
          <w:rFonts w:ascii="仿宋" w:hAnsi="仿宋" w:cs="仿宋" w:hint="eastAsia" w:eastAsia="仿宋"/>
          <w:kern w:val="0"/>
          <w:sz w:val="32"/>
          <w:szCs w:val="32"/>
        </w:rPr>
        <w:t>使用易制毒化学品的单位因转产</w:t>
      </w:r>
      <w:r>
        <w:rPr>
          <w:rFonts w:ascii="仿宋" w:hAnsi="仿宋" w:cs="Times New Roman" w:hint="eastAsia" w:eastAsia="仿宋"/>
          <w:kern w:val="0"/>
          <w:sz w:val="32"/>
          <w:szCs w:val="32"/>
        </w:rPr>
        <w:t>或者停产，处理非药品类易制毒化学品的，按照《易制毒化学品管理条例》规定的购销行</w:t>
      </w:r>
      <w:r>
        <w:rPr>
          <w:rFonts w:ascii="仿宋" w:hAnsi="仿宋" w:cs="仿宋" w:hint="eastAsia" w:eastAsia="仿宋"/>
          <w:kern w:val="0"/>
          <w:sz w:val="32"/>
          <w:szCs w:val="32"/>
        </w:rPr>
        <w:t>为管理。</w:t>
      </w:r>
    </w:p>
    <w:p>
      <w:pPr>
        <w:pStyle w:val="Style16"/>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Times New Roman" w:hint="eastAsia" w:eastAsia="黑体"/>
          <w:kern w:val="0"/>
          <w:sz w:val="32"/>
          <w:szCs w:val="32"/>
        </w:rPr>
        <w:t xml:space="preserve">第二十条 </w:t>
      </w:r>
      <w:r>
        <w:rPr>
          <w:rFonts w:ascii="仿宋" w:hAnsi="仿宋" w:cs="仿宋" w:hint="eastAsia" w:eastAsia="仿宋"/>
          <w:kern w:val="0"/>
          <w:sz w:val="32"/>
          <w:szCs w:val="32"/>
        </w:rPr>
        <w:t>出租、转让场所或者设施设备用于化工、医药产品生产、储存的</w:t>
      </w:r>
      <w:r>
        <w:rPr>
          <w:rFonts w:ascii="仿宋" w:hAnsi="仿宋" w:cs="Times New Roman" w:hint="eastAsia" w:eastAsia="仿宋"/>
          <w:kern w:val="0"/>
          <w:sz w:val="32"/>
          <w:szCs w:val="32"/>
        </w:rPr>
        <w:t>，出租者、转让者</w:t>
      </w:r>
      <w:r>
        <w:rPr>
          <w:rFonts w:ascii="仿宋" w:hAnsi="仿宋" w:cs="仿宋" w:hint="eastAsia" w:eastAsia="仿宋"/>
          <w:kern w:val="0"/>
          <w:sz w:val="32"/>
          <w:szCs w:val="32"/>
        </w:rPr>
        <w:t>应当自出租或者转让之日</w:t>
      </w:r>
      <w:r>
        <w:rPr>
          <w:rFonts w:ascii="仿宋" w:hAnsi="仿宋" w:cs="宋体" w:hint="eastAsia" w:eastAsia="仿宋"/>
          <w:kern w:val="0"/>
          <w:sz w:val="32"/>
          <w:szCs w:val="32"/>
        </w:rPr>
        <w:t>起五日内向</w:t>
      </w:r>
      <w:r>
        <w:rPr>
          <w:rFonts w:ascii="仿宋" w:hAnsi="仿宋" w:cs="仿宋" w:hint="eastAsia" w:eastAsia="仿宋"/>
          <w:kern w:val="0"/>
          <w:sz w:val="32"/>
          <w:szCs w:val="32"/>
        </w:rPr>
        <w:t>所在地公安机关报告。</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仿宋" w:hAnsi="仿宋" w:cs="仿宋" w:hint="eastAsia" w:eastAsia="仿宋"/>
          <w:kern w:val="0"/>
          <w:sz w:val="32"/>
          <w:szCs w:val="32"/>
        </w:rPr>
        <w:t>物业服务企业和房屋出租人、管理人发现承租人在出租房屋内</w:t>
      </w:r>
      <w:r>
        <w:rPr>
          <w:rFonts w:ascii="仿宋" w:hAnsi="仿宋" w:cs="Times New Roman" w:hint="eastAsia" w:eastAsia="仿宋"/>
          <w:kern w:val="0"/>
          <w:sz w:val="32"/>
          <w:szCs w:val="32"/>
        </w:rPr>
        <w:t>有毒品违法犯罪行为的，应当及时报告所在地公安机关并配合调查取证。</w:t>
      </w:r>
    </w:p>
    <w:p>
      <w:pPr>
        <w:pStyle w:val="Style16"/>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Times New Roman" w:hint="eastAsia" w:eastAsia="黑体"/>
          <w:kern w:val="0"/>
          <w:sz w:val="32"/>
          <w:szCs w:val="32"/>
        </w:rPr>
        <w:t xml:space="preserve">第二十一条  </w:t>
      </w:r>
      <w:r>
        <w:rPr>
          <w:rFonts w:ascii="仿宋" w:hAnsi="仿宋" w:cs="仿宋" w:hint="eastAsia" w:eastAsia="仿宋"/>
          <w:kern w:val="0"/>
          <w:sz w:val="32"/>
          <w:szCs w:val="32"/>
        </w:rPr>
        <w:t>任何单位和个人不得研发、生产、经营、购买、进出口新精神活性物质。</w:t>
      </w:r>
    </w:p>
    <w:p>
      <w:pPr>
        <w:pStyle w:val="Normal"/>
        <w:snapToGrid w:val="false"/>
        <w:spacing w:lineRule="exact" w:line="580"/>
        <w:ind w:firstLineChars="196" w:startChars="0" w:start="0" w:endChars="0" w:end="0"/>
        <w:rPr>
          <w:rFonts w:ascii="仿宋" w:hAnsi="仿宋" w:eastAsia="仿宋" w:cs="仿宋" w:hint="eastAsia"/>
          <w:color w:val="000000"/>
          <w:kern w:val="0"/>
          <w:sz w:val="32"/>
          <w:szCs w:val="32"/>
        </w:rPr>
      </w:pPr>
      <w:r>
        <w:rPr>
          <w:rFonts w:ascii="仿宋" w:hAnsi="仿宋" w:cs="仿宋" w:hint="eastAsia" w:eastAsia="仿宋"/>
          <w:kern w:val="0"/>
          <w:sz w:val="32"/>
          <w:szCs w:val="32"/>
        </w:rPr>
        <w:t>对具备新精神活性物质研发制造能力的企业和人员，公安机关应当会同同级人民政府市场监督管理部门建立本辖区信息库；加</w:t>
      </w:r>
      <w:r>
        <w:rPr>
          <w:rFonts w:ascii="仿宋" w:hAnsi="仿宋" w:cs="仿宋" w:hint="eastAsia" w:eastAsia="仿宋"/>
          <w:color w:val="000000"/>
          <w:kern w:val="0"/>
          <w:sz w:val="32"/>
          <w:szCs w:val="32"/>
        </w:rPr>
        <w:t>强可用于新精神活性物质定性分析的检测仪器的管理，建立健全委托测试谱图实名登记和谱图报备制度。</w:t>
      </w:r>
    </w:p>
    <w:p>
      <w:pPr>
        <w:pStyle w:val="Style16"/>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用于新精神活性物质定性分析的检测仪器持有者接受委托检测的，应当在完成检测后二十四小时内将检测结</w:t>
      </w:r>
      <w:r>
        <w:rPr>
          <w:rFonts w:ascii="仿宋" w:hAnsi="仿宋" w:cs="Times New Roman" w:hint="eastAsia" w:eastAsia="仿宋"/>
          <w:kern w:val="0"/>
          <w:sz w:val="32"/>
          <w:szCs w:val="32"/>
        </w:rPr>
        <w:t>果和</w:t>
      </w:r>
      <w:r>
        <w:rPr>
          <w:rFonts w:ascii="仿宋" w:hAnsi="仿宋" w:cs="仿宋" w:hint="eastAsia" w:eastAsia="仿宋"/>
          <w:kern w:val="0"/>
          <w:sz w:val="32"/>
          <w:szCs w:val="32"/>
        </w:rPr>
        <w:t>委托人信息报送所在地县</w:t>
      </w:r>
      <w:r>
        <w:rPr>
          <w:rFonts w:ascii="仿宋" w:hAnsi="仿宋" w:cs="宋体" w:hint="eastAsia" w:eastAsia="仿宋"/>
          <w:kern w:val="0"/>
          <w:sz w:val="32"/>
          <w:szCs w:val="32"/>
        </w:rPr>
        <w:t>级人民政府公安</w:t>
      </w:r>
      <w:r>
        <w:rPr>
          <w:rFonts w:ascii="仿宋" w:hAnsi="仿宋" w:cs="仿宋" w:hint="eastAsia" w:eastAsia="仿宋"/>
          <w:kern w:val="0"/>
          <w:sz w:val="32"/>
          <w:szCs w:val="32"/>
        </w:rPr>
        <w:t>机关备案。</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仿宋" w:hAnsi="仿宋" w:cs="Times New Roman" w:hint="eastAsia" w:eastAsia="仿宋"/>
          <w:kern w:val="0"/>
          <w:sz w:val="32"/>
          <w:szCs w:val="32"/>
        </w:rPr>
        <w:t>禁毒委员会应当建立健全新精神活性物质情况通报和联合监督检查制度。</w:t>
      </w:r>
    </w:p>
    <w:p>
      <w:pPr>
        <w:pStyle w:val="Style16"/>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Times New Roman" w:hint="eastAsia" w:eastAsia="黑体"/>
          <w:kern w:val="0"/>
          <w:sz w:val="32"/>
          <w:szCs w:val="32"/>
        </w:rPr>
        <w:t xml:space="preserve">第二十二条  </w:t>
      </w:r>
      <w:r>
        <w:rPr>
          <w:rFonts w:ascii="仿宋" w:hAnsi="仿宋" w:cs="仿宋" w:hint="eastAsia" w:eastAsia="仿宋"/>
          <w:kern w:val="0"/>
          <w:sz w:val="32"/>
          <w:szCs w:val="32"/>
        </w:rPr>
        <w:t>货运和邮政、快递等物流运营单位应当配备必要的技术装备和设施，查验客户身份，对运输、寄递物品进行开箱验视，防止非法运输、寄递毒品、易制毒化学品，并按照国家规定的期限留存物流提取单据、寄递详情单和相应的电子信息</w:t>
      </w:r>
      <w:r>
        <w:rPr>
          <w:rFonts w:ascii="仿宋" w:hAnsi="仿宋" w:cs="Times New Roman" w:hint="eastAsia" w:eastAsia="仿宋"/>
          <w:kern w:val="0"/>
          <w:sz w:val="32"/>
          <w:szCs w:val="32"/>
        </w:rPr>
        <w:t>档案；发现委托运输、寄递疑似毒品、易制毒化学品的，应当及时报告所在地公安机关</w:t>
      </w:r>
      <w:r>
        <w:rPr>
          <w:rFonts w:ascii="仿宋" w:hAnsi="仿宋" w:cs="仿宋" w:hint="eastAsia" w:eastAsia="仿宋"/>
          <w:kern w:val="0"/>
          <w:sz w:val="32"/>
          <w:szCs w:val="32"/>
        </w:rPr>
        <w:t>并配合调查取证。</w:t>
      </w:r>
    </w:p>
    <w:p>
      <w:pPr>
        <w:pStyle w:val="Style16"/>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Times New Roman" w:hint="eastAsia" w:eastAsia="黑体"/>
          <w:kern w:val="0"/>
          <w:sz w:val="32"/>
          <w:szCs w:val="32"/>
        </w:rPr>
        <w:t xml:space="preserve">第二十三条  </w:t>
      </w:r>
      <w:r>
        <w:rPr>
          <w:rFonts w:ascii="仿宋" w:hAnsi="仿宋" w:cs="仿宋" w:hint="eastAsia" w:eastAsia="仿宋"/>
          <w:kern w:val="0"/>
          <w:sz w:val="32"/>
          <w:szCs w:val="32"/>
        </w:rPr>
        <w:t>公安机关根据查缉毒品和易制毒化学品的需要，可以在交通要道、物流集散地、机场、车站、码头以及寄递分拣等场所，设立毒品和易制毒化学品检查站点，开展毒品查缉和易制毒化学品检查工作，相关单位和个人应当予以配合。</w:t>
      </w:r>
    </w:p>
    <w:p>
      <w:pPr>
        <w:pStyle w:val="Normal"/>
        <w:snapToGrid w:val="false"/>
        <w:spacing w:lineRule="exact" w:line="580"/>
        <w:ind w:firstLineChars="196" w:startChars="0" w:start="0" w:endChars="0" w:end="0"/>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省际、市际公安检查站应当将毒品和易制毒化学品检查纳入日常检查工作。</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黑体" w:hAnsi="黑体" w:cs="Times New Roman" w:hint="eastAsia" w:eastAsia="黑体"/>
          <w:kern w:val="0"/>
          <w:sz w:val="32"/>
          <w:szCs w:val="32"/>
        </w:rPr>
        <w:t xml:space="preserve">第二十四条  </w:t>
      </w:r>
      <w:r>
        <w:rPr>
          <w:rFonts w:ascii="仿宋" w:hAnsi="仿宋" w:cs="Times New Roman" w:hint="eastAsia" w:eastAsia="仿宋"/>
          <w:kern w:val="0"/>
          <w:sz w:val="32"/>
          <w:szCs w:val="32"/>
        </w:rPr>
        <w:t>文化旅游、市场监督管理、行政审批服务管理等部门应当配合公安机关对娱乐场所的投资人、拟任的法定代表人和其他负责人进行涉毒背景审查。</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仿宋" w:hAnsi="仿宋" w:cs="Times New Roman" w:hint="eastAsia" w:eastAsia="仿宋"/>
          <w:kern w:val="0"/>
          <w:sz w:val="32"/>
          <w:szCs w:val="32"/>
        </w:rPr>
        <w:t>公安机关应当与娱乐场所和经营服务场所签订禁毒责任书，并对其法定代表人、从业人员进行吸毒筛查和禁毒培训教育。</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仿宋" w:hAnsi="仿宋" w:cs="Times New Roman" w:hint="eastAsia" w:eastAsia="仿宋"/>
          <w:kern w:val="0"/>
          <w:sz w:val="32"/>
          <w:szCs w:val="32"/>
        </w:rPr>
        <w:t>娱乐场所和经营服务场所的经营者应当建立巡查制度，发现涉嫌毒品违法犯罪行为的，应当及时报告所在地公安机关并配合调查取证。</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黑体" w:hAnsi="黑体" w:cs="黑体" w:hint="eastAsia" w:eastAsia="黑体"/>
          <w:b w:val="false"/>
          <w:bCs w:val="false"/>
          <w:kern w:val="0"/>
          <w:sz w:val="32"/>
          <w:szCs w:val="32"/>
        </w:rPr>
        <w:t>第二十五条</w:t>
      </w:r>
      <w:r>
        <w:rPr>
          <w:rFonts w:ascii="仿宋" w:hAnsi="仿宋" w:cs="Times New Roman" w:hint="eastAsia" w:eastAsia="仿宋"/>
          <w:kern w:val="0"/>
          <w:sz w:val="32"/>
          <w:szCs w:val="32"/>
        </w:rPr>
        <w:t xml:space="preserve">  交通运输经营单位应当建立健全驾驶人员吸毒筛查制度，定期组织本单位人员吸毒检测，并主动接受公安机关的监督检查；发现驾驶人员有吸毒行为的，应当停止其驾驶行为，并向所在地公安</w:t>
      </w:r>
      <w:r>
        <w:rPr>
          <w:rFonts w:ascii="仿宋" w:hAnsi="仿宋" w:cs="仿宋" w:hint="eastAsia" w:eastAsia="仿宋"/>
          <w:kern w:val="0"/>
          <w:sz w:val="32"/>
          <w:szCs w:val="32"/>
        </w:rPr>
        <w:t>机关报告。</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仿宋" w:hAnsi="仿宋" w:cs="Times New Roman" w:hint="eastAsia" w:eastAsia="仿宋"/>
          <w:kern w:val="0"/>
          <w:sz w:val="32"/>
          <w:szCs w:val="32"/>
        </w:rPr>
        <w:t>公安机关查处交通运输经营单位驾驶人员吸毒的，应当通报其所在单位。</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黑体" w:hAnsi="黑体" w:cs="黑体" w:hint="eastAsia" w:eastAsia="黑体"/>
          <w:b w:val="false"/>
          <w:bCs w:val="false"/>
          <w:kern w:val="0"/>
          <w:sz w:val="32"/>
          <w:szCs w:val="32"/>
        </w:rPr>
        <w:t>第二十六条</w:t>
      </w:r>
      <w:r>
        <w:rPr>
          <w:rFonts w:ascii="仿宋" w:hAnsi="仿宋" w:cs="Times New Roman" w:hint="eastAsia" w:eastAsia="仿宋"/>
          <w:kern w:val="0"/>
          <w:sz w:val="32"/>
          <w:szCs w:val="32"/>
        </w:rPr>
        <w:t xml:space="preserve">  驾驶人员有吸毒行为记录的，不得驾驶下列交通工具：</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仿宋" w:hAnsi="仿宋" w:cs="Times New Roman" w:hint="eastAsia" w:eastAsia="仿宋"/>
          <w:kern w:val="0"/>
          <w:sz w:val="32"/>
          <w:szCs w:val="32"/>
        </w:rPr>
        <w:t>（一）铁路机车车辆；</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仿宋" w:hAnsi="仿宋" w:cs="Times New Roman" w:hint="eastAsia" w:eastAsia="仿宋"/>
          <w:kern w:val="0"/>
          <w:sz w:val="32"/>
          <w:szCs w:val="32"/>
        </w:rPr>
        <w:t>（二）校车；</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仿宋" w:hAnsi="仿宋" w:cs="Times New Roman" w:hint="eastAsia" w:eastAsia="仿宋"/>
          <w:kern w:val="0"/>
          <w:sz w:val="32"/>
          <w:szCs w:val="32"/>
        </w:rPr>
        <w:t>（三）出租车；</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仿宋" w:hAnsi="仿宋" w:cs="Times New Roman" w:hint="eastAsia" w:eastAsia="仿宋"/>
          <w:kern w:val="0"/>
          <w:sz w:val="32"/>
          <w:szCs w:val="32"/>
        </w:rPr>
        <w:t>（四）从事旅游的包车，公交车等三类以上班线客车和运输危险化学品、烟花爆竹、民用爆炸物品的道路专业车辆；</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仿宋" w:hAnsi="仿宋" w:cs="Times New Roman" w:hint="eastAsia" w:eastAsia="仿宋"/>
          <w:kern w:val="0"/>
          <w:sz w:val="32"/>
          <w:szCs w:val="32"/>
        </w:rPr>
        <w:t>（五）其他易造成重大伤亡事故、重大财产损失等严重后果的交通工具。</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黑体" w:hAnsi="黑体" w:cs="黑体" w:hint="eastAsia" w:eastAsia="黑体"/>
          <w:b w:val="false"/>
          <w:bCs w:val="false"/>
          <w:kern w:val="0"/>
          <w:sz w:val="32"/>
          <w:szCs w:val="32"/>
        </w:rPr>
        <w:t>第二十七条</w:t>
      </w:r>
      <w:r>
        <w:rPr>
          <w:rFonts w:ascii="仿宋" w:hAnsi="仿宋" w:cs="Times New Roman" w:hint="eastAsia" w:eastAsia="仿宋"/>
          <w:kern w:val="0"/>
          <w:sz w:val="32"/>
          <w:szCs w:val="32"/>
        </w:rPr>
        <w:t xml:space="preserve">  从事下列岗位工作的人员有吸毒行为的，所在单位应当予以调离，并向所在地公安机关报告：</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仿宋" w:hAnsi="仿宋" w:cs="Times New Roman" w:hint="eastAsia" w:eastAsia="仿宋"/>
          <w:kern w:val="0"/>
          <w:sz w:val="32"/>
          <w:szCs w:val="32"/>
        </w:rPr>
        <w:t>（一）火车、城市轨道交通、航空器等信号、指挥岗位；</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仿宋" w:hAnsi="仿宋" w:cs="Times New Roman" w:hint="eastAsia" w:eastAsia="仿宋"/>
          <w:kern w:val="0"/>
          <w:sz w:val="32"/>
          <w:szCs w:val="32"/>
        </w:rPr>
        <w:t>（二）电力、燃气、供热、矿山、金属冶炼、建筑、石油、化工等行业中对公共安全负有重大责任的岗位；</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仿宋" w:hAnsi="仿宋" w:cs="Times New Roman" w:hint="eastAsia" w:eastAsia="仿宋"/>
          <w:kern w:val="0"/>
          <w:sz w:val="32"/>
          <w:szCs w:val="32"/>
        </w:rPr>
        <w:t>（三）操作重要生产设备、精密仪器仪表的岗位；</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仿宋" w:hAnsi="仿宋" w:cs="Times New Roman" w:hint="eastAsia" w:eastAsia="仿宋"/>
          <w:kern w:val="0"/>
          <w:sz w:val="32"/>
          <w:szCs w:val="32"/>
        </w:rPr>
        <w:t>（四）高空等危险工作岗位；</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仿宋" w:hAnsi="仿宋" w:cs="Times New Roman" w:hint="eastAsia" w:eastAsia="仿宋"/>
          <w:kern w:val="0"/>
          <w:sz w:val="32"/>
          <w:szCs w:val="32"/>
        </w:rPr>
        <w:t>（五）其他对公共安全负有重大责任的岗位。</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仿宋" w:hAnsi="仿宋" w:cs="Times New Roman" w:hint="eastAsia" w:eastAsia="仿宋"/>
          <w:kern w:val="0"/>
          <w:sz w:val="32"/>
          <w:szCs w:val="32"/>
        </w:rPr>
        <w:t>前款规定的单位应当将吸毒筛查纳入安全管理制度。</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黑体" w:hAnsi="黑体" w:cs="黑体" w:hint="eastAsia" w:eastAsia="黑体"/>
          <w:b w:val="false"/>
          <w:bCs w:val="false"/>
          <w:kern w:val="0"/>
          <w:sz w:val="32"/>
          <w:szCs w:val="32"/>
        </w:rPr>
        <w:t>第二十八条</w:t>
      </w:r>
      <w:r>
        <w:rPr>
          <w:rFonts w:ascii="仿宋" w:hAnsi="仿宋" w:cs="Times New Roman" w:hint="eastAsia" w:eastAsia="仿宋"/>
          <w:kern w:val="0"/>
          <w:sz w:val="32"/>
          <w:szCs w:val="32"/>
        </w:rPr>
        <w:t xml:space="preserve">  广播影视制作、文艺表演团体和其他公众媒体不得邀请曾经有毒品违法犯罪行为的人员参与制作广播影视作品和参与文艺演出。</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仿宋" w:hAnsi="仿宋" w:cs="Times New Roman" w:hint="eastAsia" w:eastAsia="仿宋"/>
          <w:kern w:val="0"/>
          <w:sz w:val="32"/>
          <w:szCs w:val="32"/>
        </w:rPr>
        <w:t>剧场、影院、广播电台、电视台和其他公众媒体不得播出曾经有毒品违法犯罪行为的人员作为主创人员参与制作的广播影视作品以及代言的商业广告；不得提供其作品的视频点播、电视回看等服务。</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黑体" w:hAnsi="黑体" w:cs="黑体" w:hint="eastAsia" w:eastAsia="黑体"/>
          <w:b w:val="false"/>
          <w:bCs w:val="false"/>
          <w:kern w:val="0"/>
          <w:sz w:val="32"/>
          <w:szCs w:val="32"/>
        </w:rPr>
        <w:t>第二十九条</w:t>
      </w:r>
      <w:r>
        <w:rPr>
          <w:rFonts w:ascii="仿宋" w:hAnsi="仿宋" w:cs="Times New Roman" w:hint="eastAsia" w:eastAsia="仿宋"/>
          <w:kern w:val="0"/>
          <w:sz w:val="32"/>
          <w:szCs w:val="32"/>
        </w:rPr>
        <w:t xml:space="preserve">  任何单位和个人不得发布、传播、转载有关种毒、制毒、贩毒、吸毒的方法、技术、工艺、经验以及第一类易制毒化学品制造方法等涉毒信息。</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仿宋" w:hAnsi="仿宋" w:cs="Times New Roman" w:hint="eastAsia" w:eastAsia="仿宋"/>
          <w:kern w:val="0"/>
          <w:sz w:val="32"/>
          <w:szCs w:val="32"/>
        </w:rPr>
        <w:t>网络运营者、互联网信息服务提供者、第三方网络交易平台经营者应当建立网上涉毒信息巡查监测制度，发现其用户利用网络进行毒品违法犯罪活动、传播毒品违法犯罪信息的，应当立即采取停止传输、删除违法信息、防止信息扩散、留存后台日志等措施，并报告所在地公安机关。</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黑体" w:hAnsi="黑体" w:cs="黑体" w:hint="eastAsia" w:eastAsia="黑体"/>
          <w:b w:val="false"/>
          <w:bCs w:val="false"/>
          <w:kern w:val="0"/>
          <w:sz w:val="32"/>
          <w:szCs w:val="32"/>
        </w:rPr>
        <w:t>第三十条</w:t>
      </w:r>
      <w:r>
        <w:rPr>
          <w:rFonts w:ascii="仿宋" w:hAnsi="仿宋" w:cs="Times New Roman" w:hint="eastAsia" w:eastAsia="仿宋"/>
          <w:kern w:val="0"/>
          <w:sz w:val="32"/>
          <w:szCs w:val="32"/>
        </w:rPr>
        <w:t xml:space="preserve"> 金融机构应当依法配合公安机关加强对毒品违法犯罪可疑资金的监测；发现涉嫌毒品违法犯罪资金流动情况的，应当及时向反洗钱行政主管部门和所在地公安机关报告。</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黑体" w:hAnsi="黑体" w:cs="黑体" w:hint="eastAsia" w:eastAsia="黑体"/>
          <w:b w:val="false"/>
          <w:bCs w:val="false"/>
          <w:kern w:val="0"/>
          <w:sz w:val="32"/>
          <w:szCs w:val="32"/>
        </w:rPr>
        <w:t>第三十一条</w:t>
      </w:r>
      <w:r>
        <w:rPr>
          <w:rFonts w:ascii="仿宋" w:hAnsi="仿宋" w:cs="Times New Roman" w:hint="eastAsia" w:eastAsia="仿宋"/>
          <w:kern w:val="0"/>
          <w:sz w:val="32"/>
          <w:szCs w:val="32"/>
        </w:rPr>
        <w:t xml:space="preserve">  对于查获的毒品和从事毒品违法犯罪使用的财物、违法所得以及由违法所得产生的收益，由公安机关收缴并依法处理。</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仿宋" w:hAnsi="仿宋" w:cs="Times New Roman" w:hint="eastAsia" w:eastAsia="仿宋"/>
          <w:kern w:val="0"/>
          <w:sz w:val="32"/>
          <w:szCs w:val="32"/>
        </w:rPr>
        <w:t>销毁收缴、查获的毒品、制毒化学品的，公安机关应当依法移交具有无害化销毁资质的单位销毁，同时通知同级生态环境部门。</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eastAsia="仿宋" w:cs="Times New Roman" w:hint="eastAsia" w:ascii="仿宋" w:hAnsi="仿宋"/>
          <w:kern w:val="0"/>
          <w:sz w:val="32"/>
          <w:szCs w:val="32"/>
        </w:rPr>
        <w:t xml:space="preserve"> </w:t>
      </w:r>
    </w:p>
    <w:p>
      <w:pPr>
        <w:pStyle w:val="Style16"/>
        <w:snapToGrid w:val="false"/>
        <w:spacing w:lineRule="exact" w:line="580"/>
        <w:ind w:firstLineChars="200" w:startChars="0" w:start="0" w:endChars="0" w:end="0"/>
        <w:jc w:val="center"/>
        <w:rPr>
          <w:rFonts w:ascii="黑体" w:hAnsi="黑体" w:eastAsia="黑体" w:cs="黑体" w:hint="eastAsia"/>
          <w:b w:val="false"/>
          <w:bCs w:val="false"/>
          <w:kern w:val="0"/>
          <w:sz w:val="32"/>
          <w:szCs w:val="32"/>
        </w:rPr>
      </w:pPr>
      <w:r>
        <w:rPr>
          <w:rFonts w:ascii="黑体" w:hAnsi="黑体" w:cs="黑体" w:hint="eastAsia" w:eastAsia="黑体"/>
          <w:b w:val="false"/>
          <w:bCs w:val="false"/>
          <w:kern w:val="0"/>
          <w:sz w:val="32"/>
          <w:szCs w:val="32"/>
        </w:rPr>
        <w:t>第四章  戒毒管理</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eastAsia="仿宋" w:cs="Times New Roman" w:hint="eastAsia" w:ascii="仿宋" w:hAnsi="仿宋"/>
          <w:kern w:val="0"/>
          <w:sz w:val="32"/>
          <w:szCs w:val="32"/>
        </w:rPr>
        <w:t xml:space="preserve"> </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黑体" w:hAnsi="黑体" w:cs="黑体" w:hint="eastAsia" w:eastAsia="黑体"/>
          <w:b w:val="false"/>
          <w:bCs w:val="false"/>
          <w:kern w:val="0"/>
          <w:sz w:val="32"/>
          <w:szCs w:val="32"/>
        </w:rPr>
        <w:t>第三十二条</w:t>
      </w:r>
      <w:r>
        <w:rPr>
          <w:rFonts w:ascii="仿宋" w:hAnsi="仿宋" w:cs="Times New Roman" w:hint="eastAsia" w:eastAsia="仿宋"/>
          <w:kern w:val="0"/>
          <w:sz w:val="32"/>
          <w:szCs w:val="32"/>
        </w:rPr>
        <w:t xml:space="preserve">  各级人民政府应当对吸毒人员进行分类评估、分级管理、综合干预，帮助吸毒人员戒除毒瘾，教育和挽救吸毒人员。</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仿宋" w:hAnsi="仿宋" w:cs="Times New Roman" w:hint="eastAsia" w:eastAsia="仿宋"/>
          <w:kern w:val="0"/>
          <w:sz w:val="32"/>
          <w:szCs w:val="32"/>
        </w:rPr>
        <w:t>戒毒工作采取自愿戒毒、社区戒毒、强制隔离戒毒、社区康复等多种措施，建立戒毒治疗、康复指导、救助服务兼备的工作体系。</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黑体" w:hAnsi="黑体" w:cs="黑体" w:hint="eastAsia" w:eastAsia="黑体"/>
          <w:b w:val="false"/>
          <w:bCs w:val="false"/>
          <w:kern w:val="0"/>
          <w:sz w:val="32"/>
          <w:szCs w:val="32"/>
        </w:rPr>
        <w:t>第三十三条</w:t>
      </w:r>
      <w:r>
        <w:rPr>
          <w:rFonts w:ascii="仿宋" w:hAnsi="仿宋" w:cs="Times New Roman" w:hint="eastAsia" w:eastAsia="仿宋"/>
          <w:kern w:val="0"/>
          <w:sz w:val="32"/>
          <w:szCs w:val="32"/>
        </w:rPr>
        <w:t xml:space="preserve">  公安机关、司法行政部门应当根据实际需要确定专门的强制隔离戒毒场所，或者在强制隔离戒毒场所内开辟专门区域，用于收治病残强制隔离戒毒人员。</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黑体" w:hAnsi="黑体" w:cs="黑体" w:hint="eastAsia" w:eastAsia="黑体"/>
          <w:b w:val="false"/>
          <w:bCs w:val="false"/>
          <w:kern w:val="0"/>
          <w:sz w:val="32"/>
          <w:szCs w:val="32"/>
        </w:rPr>
        <w:t>第三十四条</w:t>
      </w:r>
      <w:r>
        <w:rPr>
          <w:rFonts w:ascii="仿宋" w:hAnsi="仿宋" w:cs="Times New Roman" w:hint="eastAsia" w:eastAsia="仿宋"/>
          <w:kern w:val="0"/>
          <w:sz w:val="32"/>
          <w:szCs w:val="32"/>
        </w:rPr>
        <w:t xml:space="preserve">  被强制隔离戒毒人员需要所外就医的，经依法批准后，强制隔离戒毒场所应当书面通知戒毒人员住所地乡（镇）人民政府或者街道办事处；经常居所与住所不一致的，应当书面通知经常居所地乡（镇）人民政府或者街道办事处。强制隔离戒毒所外就医人员的管理参照社区戒毒人员的管理办法执行。</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黑体" w:hAnsi="黑体" w:cs="黑体" w:hint="eastAsia" w:eastAsia="黑体"/>
          <w:b w:val="false"/>
          <w:bCs w:val="false"/>
          <w:kern w:val="0"/>
          <w:sz w:val="32"/>
          <w:szCs w:val="32"/>
        </w:rPr>
        <w:t>第三十五条</w:t>
      </w:r>
      <w:r>
        <w:rPr>
          <w:rFonts w:ascii="仿宋" w:hAnsi="仿宋" w:cs="Times New Roman" w:hint="eastAsia" w:eastAsia="仿宋"/>
          <w:kern w:val="0"/>
          <w:sz w:val="32"/>
          <w:szCs w:val="32"/>
        </w:rPr>
        <w:t xml:space="preserve">  被强制隔离戒毒人员是未成年人或者生活不能自理人员的唯一抚养人、扶养人、赡养人的，做出强制隔离戒毒决定的公安机关应当书面通知其住所地乡（镇）人民政府或者街道办事处；经常居所与住所不一致的，通知经常居所地乡（镇）人民政府或者街道办事处。</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仿宋" w:hAnsi="仿宋" w:cs="Times New Roman" w:hint="eastAsia" w:eastAsia="仿宋"/>
          <w:kern w:val="0"/>
          <w:sz w:val="32"/>
          <w:szCs w:val="32"/>
        </w:rPr>
        <w:t>乡（镇）人民政府、街道办事处应当对前款规定的未成年人、生活不能自理人员进行妥善安置，保障其基本生活需要。</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黑体" w:hAnsi="黑体" w:cs="黑体" w:hint="eastAsia" w:eastAsia="黑体"/>
          <w:b w:val="false"/>
          <w:bCs w:val="false"/>
          <w:kern w:val="0"/>
          <w:sz w:val="32"/>
          <w:szCs w:val="32"/>
        </w:rPr>
        <w:t>第三十六条</w:t>
      </w:r>
      <w:r>
        <w:rPr>
          <w:rFonts w:ascii="仿宋" w:hAnsi="仿宋" w:cs="Times New Roman" w:hint="eastAsia" w:eastAsia="仿宋"/>
          <w:kern w:val="0"/>
          <w:sz w:val="32"/>
          <w:szCs w:val="32"/>
        </w:rPr>
        <w:t xml:space="preserve">  对解除强制隔离戒毒的人员，强制隔离戒毒场所应当通知其家属、所在单位、住所地或者经常居所地乡（镇）人民政府或者街道办事处、公安派出所将其接回，做好戒毒措施衔接。</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黑体" w:hAnsi="黑体" w:cs="黑体" w:hint="eastAsia" w:eastAsia="黑体"/>
          <w:b w:val="false"/>
          <w:bCs w:val="false"/>
          <w:kern w:val="0"/>
          <w:sz w:val="32"/>
          <w:szCs w:val="32"/>
        </w:rPr>
        <w:t>第三十七条</w:t>
      </w:r>
      <w:r>
        <w:rPr>
          <w:rFonts w:ascii="仿宋" w:hAnsi="仿宋" w:cs="Times New Roman" w:hint="eastAsia" w:eastAsia="仿宋"/>
          <w:kern w:val="0"/>
          <w:sz w:val="32"/>
          <w:szCs w:val="32"/>
        </w:rPr>
        <w:t xml:space="preserve">  县级人民政府应当加强社区戒毒专职队伍建设，也可以通过购买服务的方式</w:t>
      </w:r>
      <w:r>
        <w:rPr>
          <w:rFonts w:eastAsia="仿宋" w:cs="Times New Roman" w:hint="eastAsia" w:ascii="仿宋" w:hAnsi="仿宋"/>
          <w:kern w:val="0"/>
          <w:sz w:val="32"/>
          <w:szCs w:val="32"/>
        </w:rPr>
        <w:t>,</w:t>
      </w:r>
      <w:r>
        <w:rPr>
          <w:rFonts w:ascii="仿宋" w:hAnsi="仿宋" w:cs="Times New Roman" w:hint="eastAsia" w:eastAsia="仿宋"/>
          <w:kern w:val="0"/>
          <w:sz w:val="32"/>
          <w:szCs w:val="32"/>
        </w:rPr>
        <w:t>吸收社会力量参与禁毒社会工作，加强对社区戒毒人员、社区康复人员的服务与管理。</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黑体" w:hAnsi="黑体" w:cs="黑体" w:hint="eastAsia" w:eastAsia="黑体"/>
          <w:b w:val="false"/>
          <w:bCs w:val="false"/>
          <w:kern w:val="0"/>
          <w:sz w:val="32"/>
          <w:szCs w:val="32"/>
        </w:rPr>
        <w:t>第三十八条</w:t>
      </w:r>
      <w:r>
        <w:rPr>
          <w:rFonts w:ascii="仿宋" w:hAnsi="仿宋" w:cs="Times New Roman" w:hint="eastAsia" w:eastAsia="仿宋"/>
          <w:kern w:val="0"/>
          <w:sz w:val="32"/>
          <w:szCs w:val="32"/>
        </w:rPr>
        <w:t xml:space="preserve">  县级以上人民政府卫生健康行政部门应当根据戒毒治疗服务需求，加强自愿戒毒医疗机构建设，引导、支持精神病专科医院、综合医院普遍开设戒毒治疗科（室）。</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仿宋" w:hAnsi="仿宋" w:cs="Times New Roman" w:hint="eastAsia" w:eastAsia="仿宋"/>
          <w:kern w:val="0"/>
          <w:sz w:val="32"/>
          <w:szCs w:val="32"/>
        </w:rPr>
        <w:t>鼓励社会力量开办自愿戒毒医疗机构。</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仿宋" w:hAnsi="仿宋" w:cs="Times New Roman" w:hint="eastAsia" w:eastAsia="仿宋"/>
          <w:kern w:val="0"/>
          <w:sz w:val="32"/>
          <w:szCs w:val="32"/>
        </w:rPr>
        <w:t>自愿戒毒医疗机构应当如实登记自愿戒毒人员信息，并向所在地县级公安机关备案。</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黑体" w:hAnsi="黑体" w:cs="黑体" w:hint="eastAsia" w:eastAsia="黑体"/>
          <w:b w:val="false"/>
          <w:bCs w:val="false"/>
          <w:kern w:val="0"/>
          <w:sz w:val="32"/>
          <w:szCs w:val="32"/>
        </w:rPr>
        <w:t>第三十九条</w:t>
      </w:r>
      <w:r>
        <w:rPr>
          <w:rFonts w:ascii="仿宋" w:hAnsi="仿宋" w:cs="Times New Roman" w:hint="eastAsia" w:eastAsia="仿宋"/>
          <w:kern w:val="0"/>
          <w:sz w:val="32"/>
          <w:szCs w:val="32"/>
        </w:rPr>
        <w:t xml:space="preserve">  阿片类物质成瘾者集中的地区，省人民政府应当设置戒毒药物维持治疗机构，给予一定的经费支持，为长期坚持治疗的戒毒人员减免费用。</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ascii="黑体" w:hAnsi="黑体" w:cs="黑体" w:hint="eastAsia" w:eastAsia="黑体"/>
          <w:b w:val="false"/>
          <w:bCs w:val="false"/>
          <w:kern w:val="0"/>
          <w:sz w:val="32"/>
          <w:szCs w:val="32"/>
        </w:rPr>
        <w:t>第四十条</w:t>
      </w:r>
      <w:r>
        <w:rPr>
          <w:rFonts w:ascii="仿宋" w:hAnsi="仿宋" w:cs="Times New Roman" w:hint="eastAsia" w:eastAsia="仿宋"/>
          <w:kern w:val="0"/>
          <w:sz w:val="32"/>
          <w:szCs w:val="32"/>
        </w:rPr>
        <w:t xml:space="preserve">  县级以上人民政府卫生健康行政部门应当指导、支持公立医院与强制隔离戒毒场所内设医疗机构建立医疗联合体，完善戒毒医疗资质，提升戒毒治疗能力。</w:t>
      </w:r>
    </w:p>
    <w:p>
      <w:pPr>
        <w:pStyle w:val="Style16"/>
        <w:snapToGrid w:val="false"/>
        <w:spacing w:lineRule="exact" w:line="580"/>
        <w:ind w:firstLineChars="200" w:startChars="0" w:start="0" w:endChars="0" w:end="0"/>
        <w:rPr>
          <w:rFonts w:ascii="仿宋" w:hAnsi="仿宋" w:eastAsia="仿宋" w:cs="Times New Roman" w:hint="eastAsia"/>
          <w:kern w:val="0"/>
          <w:sz w:val="32"/>
          <w:szCs w:val="32"/>
        </w:rPr>
      </w:pPr>
      <w:r>
        <w:rPr>
          <w:rFonts w:eastAsia="仿宋" w:cs="Times New Roman" w:hint="eastAsia" w:ascii="仿宋" w:hAnsi="仿宋"/>
          <w:kern w:val="0"/>
          <w:sz w:val="32"/>
          <w:szCs w:val="32"/>
        </w:rPr>
        <w:t xml:space="preserve"> </w:t>
      </w:r>
    </w:p>
    <w:p>
      <w:pPr>
        <w:pStyle w:val="Style16"/>
        <w:snapToGrid w:val="false"/>
        <w:spacing w:lineRule="exact" w:line="580"/>
        <w:ind w:firstLineChars="200" w:startChars="0" w:start="0" w:endChars="0" w:end="0"/>
        <w:jc w:val="center"/>
        <w:rPr>
          <w:rFonts w:ascii="仿宋" w:hAnsi="仿宋" w:eastAsia="仿宋" w:cs="Times New Roman" w:hint="eastAsia"/>
          <w:kern w:val="0"/>
          <w:sz w:val="32"/>
          <w:szCs w:val="32"/>
        </w:rPr>
      </w:pPr>
      <w:r>
        <w:rPr>
          <w:rFonts w:ascii="黑体" w:hAnsi="黑体" w:cs="黑体" w:hint="eastAsia" w:eastAsia="黑体"/>
          <w:b w:val="false"/>
          <w:bCs w:val="false"/>
          <w:kern w:val="0"/>
          <w:sz w:val="32"/>
          <w:szCs w:val="32"/>
        </w:rPr>
        <w:t>第五章  禁毒工作保障</w:t>
      </w:r>
    </w:p>
    <w:p>
      <w:pPr>
        <w:pStyle w:val="Normal"/>
        <w:snapToGrid w:val="false"/>
        <w:spacing w:lineRule="exact" w:line="580"/>
        <w:ind w:firstLineChars="200" w:startChars="0" w:start="0" w:endChars="0" w:end="0"/>
        <w:rPr>
          <w:rFonts w:ascii="黑体" w:hAnsi="黑体" w:eastAsia="黑体" w:cs="黑体" w:hint="eastAsia"/>
          <w:kern w:val="0"/>
          <w:sz w:val="32"/>
          <w:szCs w:val="32"/>
        </w:rPr>
      </w:pPr>
      <w:r>
        <w:rPr>
          <w:rFonts w:eastAsia="黑体" w:cs="黑体" w:hint="eastAsia" w:ascii="黑体" w:hAnsi="黑体"/>
          <w:kern w:val="0"/>
          <w:sz w:val="32"/>
          <w:szCs w:val="32"/>
        </w:rPr>
        <w:t xml:space="preserve"> </w:t>
      </w:r>
    </w:p>
    <w:p>
      <w:pPr>
        <w:pStyle w:val="Normal"/>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 xml:space="preserve">第四十一条  </w:t>
      </w:r>
      <w:r>
        <w:rPr>
          <w:rFonts w:ascii="仿宋" w:hAnsi="仿宋" w:cs="仿宋" w:hint="eastAsia" w:eastAsia="仿宋"/>
          <w:kern w:val="0"/>
          <w:sz w:val="32"/>
          <w:szCs w:val="32"/>
        </w:rPr>
        <w:t>县级以上人民政府应当按照国家有关标准加强禁毒教育基地、毒品实验室、毒品检查站、禁毒情报中心（站）和社区戒毒社区康复工作场所等禁毒基础设施建设，并配备相应的禁毒装备。</w:t>
      </w:r>
    </w:p>
    <w:p>
      <w:pPr>
        <w:pStyle w:val="Normal"/>
        <w:snapToGrid w:val="false"/>
        <w:spacing w:lineRule="exact" w:line="580"/>
        <w:ind w:firstLineChars="196"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 xml:space="preserve">第四十二条  </w:t>
      </w:r>
      <w:r>
        <w:rPr>
          <w:rFonts w:ascii="仿宋" w:hAnsi="仿宋" w:cs="仿宋" w:hint="eastAsia" w:eastAsia="仿宋"/>
          <w:kern w:val="0"/>
          <w:sz w:val="32"/>
          <w:szCs w:val="32"/>
        </w:rPr>
        <w:t>县级以上人民政府应当推进禁毒信息化建设，汇聚整合政府部门基础数据、管理数据和公共服务机构业务数据、互联网相关数据，提升禁毒工作水平。</w:t>
      </w:r>
    </w:p>
    <w:p>
      <w:pPr>
        <w:pStyle w:val="Normal"/>
        <w:snapToGrid w:val="false"/>
        <w:spacing w:lineRule="exact" w:line="580"/>
        <w:ind w:firstLineChars="196"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禁毒委员会成员单位之间应当建立联合打击毒品违法犯罪工作机制，实现毒品违法犯罪线索的信息共享。</w:t>
      </w:r>
    </w:p>
    <w:p>
      <w:pPr>
        <w:pStyle w:val="Normal"/>
        <w:snapToGrid w:val="false"/>
        <w:spacing w:lineRule="exact" w:line="580"/>
        <w:ind w:firstLineChars="196"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 xml:space="preserve">第四十三条  </w:t>
      </w:r>
      <w:r>
        <w:rPr>
          <w:rFonts w:ascii="仿宋" w:hAnsi="仿宋" w:cs="仿宋" w:hint="eastAsia" w:eastAsia="仿宋"/>
          <w:kern w:val="0"/>
          <w:sz w:val="32"/>
          <w:szCs w:val="32"/>
        </w:rPr>
        <w:t>县级以上人民政府应当加强禁毒队伍建设，保障禁毒工作需要；对禁毒工作中牺牲、伤残的人员及其家属进行抚恤和优待。</w:t>
      </w:r>
    </w:p>
    <w:p>
      <w:pPr>
        <w:pStyle w:val="Normal"/>
        <w:snapToGrid w:val="false"/>
        <w:spacing w:lineRule="exact" w:line="580"/>
        <w:ind w:firstLineChars="196"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对存在职业暴露风险的禁毒工作人员，其所在单位应当定期组织专项体检，并为其办理相应的保险。</w:t>
      </w:r>
    </w:p>
    <w:p>
      <w:pPr>
        <w:pStyle w:val="Normal"/>
        <w:snapToGrid w:val="false"/>
        <w:spacing w:lineRule="exact" w:line="580"/>
        <w:ind w:firstLineChars="196"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 xml:space="preserve">第四十四条  </w:t>
      </w:r>
      <w:r>
        <w:rPr>
          <w:rFonts w:ascii="仿宋" w:hAnsi="仿宋" w:cs="仿宋" w:hint="eastAsia" w:eastAsia="仿宋"/>
          <w:kern w:val="0"/>
          <w:sz w:val="32"/>
          <w:szCs w:val="32"/>
        </w:rPr>
        <w:t>医疗保障部门应当引导戒毒康复人员参加医疗保险。民政部门应当将符合条件的戒毒康复人员纳入救助范围。人力资源社会保障部门应当将戒毒康复人员职业技能培训纳入全民技能提升工程，落实就业扶持措施。</w:t>
      </w:r>
    </w:p>
    <w:p>
      <w:pPr>
        <w:pStyle w:val="Normal"/>
        <w:snapToGrid w:val="false"/>
        <w:spacing w:lineRule="exact" w:line="580"/>
        <w:ind w:firstLineChars="196"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用人单位招聘戒毒康复人员的，依法享受税收、社会保险补贴等优惠。</w:t>
      </w:r>
    </w:p>
    <w:p>
      <w:pPr>
        <w:pStyle w:val="Style16"/>
        <w:snapToGrid w:val="false"/>
        <w:spacing w:lineRule="exact" w:line="580"/>
        <w:rPr>
          <w:rFonts w:ascii="黑体" w:hAnsi="黑体" w:eastAsia="黑体" w:cs="黑体" w:hint="eastAsia"/>
          <w:kern w:val="0"/>
          <w:sz w:val="32"/>
          <w:szCs w:val="32"/>
        </w:rPr>
      </w:pPr>
      <w:r>
        <w:rPr>
          <w:rFonts w:eastAsia="黑体" w:cs="黑体" w:hint="eastAsia" w:ascii="黑体" w:hAnsi="黑体"/>
          <w:kern w:val="0"/>
          <w:sz w:val="32"/>
          <w:szCs w:val="32"/>
        </w:rPr>
        <w:t xml:space="preserve"> </w:t>
      </w:r>
    </w:p>
    <w:p>
      <w:pPr>
        <w:pStyle w:val="Style16"/>
        <w:snapToGrid w:val="false"/>
        <w:spacing w:lineRule="exact" w:line="580"/>
        <w:jc w:val="center"/>
        <w:rPr>
          <w:rFonts w:ascii="黑体" w:hAnsi="黑体" w:eastAsia="黑体" w:cs="黑体" w:hint="eastAsia"/>
          <w:kern w:val="0"/>
          <w:sz w:val="32"/>
          <w:szCs w:val="32"/>
        </w:rPr>
      </w:pPr>
      <w:r>
        <w:rPr>
          <w:rFonts w:ascii="黑体" w:hAnsi="黑体" w:cs="黑体" w:hint="eastAsia" w:eastAsia="黑体"/>
          <w:kern w:val="0"/>
          <w:sz w:val="32"/>
          <w:szCs w:val="32"/>
        </w:rPr>
        <w:t>第六章  法律责任</w:t>
      </w:r>
    </w:p>
    <w:p>
      <w:pPr>
        <w:pStyle w:val="Style16"/>
        <w:snapToGrid w:val="false"/>
        <w:spacing w:lineRule="exact" w:line="580"/>
        <w:ind w:firstLineChars="200" w:startChars="0" w:start="0" w:endChars="0" w:end="0"/>
        <w:rPr>
          <w:rFonts w:ascii="黑体" w:hAnsi="黑体" w:eastAsia="黑体" w:cs="黑体" w:hint="eastAsia"/>
          <w:kern w:val="0"/>
          <w:sz w:val="32"/>
          <w:szCs w:val="32"/>
        </w:rPr>
      </w:pPr>
      <w:r>
        <w:rPr>
          <w:rFonts w:eastAsia="黑体" w:cs="黑体" w:hint="eastAsia" w:ascii="黑体" w:hAnsi="黑体"/>
          <w:kern w:val="0"/>
          <w:sz w:val="32"/>
          <w:szCs w:val="32"/>
        </w:rPr>
        <w:t xml:space="preserve"> </w:t>
      </w:r>
    </w:p>
    <w:p>
      <w:pPr>
        <w:pStyle w:val="Style16"/>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Times New Roman" w:hint="eastAsia" w:eastAsia="黑体"/>
          <w:kern w:val="0"/>
          <w:sz w:val="32"/>
          <w:szCs w:val="32"/>
        </w:rPr>
        <w:t xml:space="preserve">第四十五条  </w:t>
      </w:r>
      <w:r>
        <w:rPr>
          <w:rFonts w:ascii="仿宋" w:hAnsi="仿宋" w:cs="仿宋" w:hint="eastAsia" w:eastAsia="仿宋"/>
          <w:kern w:val="0"/>
          <w:sz w:val="32"/>
          <w:szCs w:val="32"/>
        </w:rPr>
        <w:t>违反本条例规定，法律、行政法规已有法律责任规定的，从其规定。</w:t>
      </w:r>
    </w:p>
    <w:p>
      <w:pPr>
        <w:pStyle w:val="Normal"/>
        <w:widowControl/>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第四十六条</w:t>
      </w:r>
      <w:r>
        <w:rPr>
          <w:rFonts w:ascii="仿宋" w:hAnsi="仿宋" w:cs="Courier New" w:hint="eastAsia" w:eastAsia="仿宋"/>
          <w:kern w:val="0"/>
          <w:sz w:val="32"/>
          <w:szCs w:val="32"/>
        </w:rPr>
        <w:t xml:space="preserve">  </w:t>
      </w:r>
      <w:r>
        <w:rPr>
          <w:rFonts w:ascii="仿宋" w:hAnsi="仿宋" w:cs="仿宋" w:hint="eastAsia" w:eastAsia="仿宋"/>
          <w:kern w:val="0"/>
          <w:sz w:val="32"/>
          <w:szCs w:val="32"/>
        </w:rPr>
        <w:t>违反本条例规定，货运和邮政、快递等物流运营单位有下列情形之一的，由主管部门处十万元以上五十万元以下罚款，并对直接负责的主管人员和其他责任人员处二万元以上十万元以下罚款：</w:t>
      </w:r>
    </w:p>
    <w:p>
      <w:pPr>
        <w:pStyle w:val="Normal"/>
        <w:widowControl/>
        <w:ind w:firstLineChars="200" w:startChars="0" w:start="0" w:endChars="0" w:end="0"/>
        <w:rPr>
          <w:rFonts w:ascii="仿宋" w:hAnsi="仿宋" w:eastAsia="仿宋" w:cs="仿宋" w:hint="eastAsia"/>
          <w:kern w:val="0"/>
          <w:sz w:val="32"/>
          <w:szCs w:val="32"/>
        </w:rPr>
      </w:pPr>
      <w:r>
        <w:rPr>
          <w:rFonts w:eastAsia="仿宋" w:cs="仿宋" w:hint="eastAsia" w:ascii="仿宋" w:hAnsi="仿宋"/>
          <w:kern w:val="0"/>
          <w:sz w:val="32"/>
          <w:szCs w:val="32"/>
        </w:rPr>
        <w:t>(</w:t>
      </w:r>
      <w:r>
        <w:rPr>
          <w:rFonts w:ascii="仿宋" w:hAnsi="仿宋" w:cs="仿宋" w:hint="eastAsia" w:eastAsia="仿宋"/>
          <w:kern w:val="0"/>
          <w:sz w:val="32"/>
          <w:szCs w:val="32"/>
        </w:rPr>
        <w:t>一</w:t>
      </w:r>
      <w:r>
        <w:rPr>
          <w:rFonts w:eastAsia="仿宋" w:cs="仿宋" w:hint="eastAsia" w:ascii="仿宋" w:hAnsi="仿宋"/>
          <w:kern w:val="0"/>
          <w:sz w:val="32"/>
          <w:szCs w:val="32"/>
        </w:rPr>
        <w:t>)</w:t>
      </w:r>
      <w:r>
        <w:rPr>
          <w:rFonts w:ascii="仿宋" w:hAnsi="仿宋" w:cs="仿宋" w:hint="eastAsia" w:eastAsia="仿宋"/>
          <w:kern w:val="0"/>
          <w:sz w:val="32"/>
          <w:szCs w:val="32"/>
        </w:rPr>
        <w:t>未对客户身份进行查验</w:t>
      </w:r>
      <w:r>
        <w:rPr>
          <w:rFonts w:eastAsia="仿宋" w:cs="仿宋" w:hint="eastAsia" w:ascii="仿宋" w:hAnsi="仿宋"/>
          <w:kern w:val="0"/>
          <w:sz w:val="32"/>
          <w:szCs w:val="32"/>
        </w:rPr>
        <w:t>,</w:t>
      </w:r>
      <w:r>
        <w:rPr>
          <w:rFonts w:ascii="仿宋" w:hAnsi="仿宋" w:cs="仿宋" w:hint="eastAsia" w:eastAsia="仿宋"/>
          <w:kern w:val="0"/>
          <w:sz w:val="32"/>
          <w:szCs w:val="32"/>
        </w:rPr>
        <w:t>或者未对运输、寄递物品进行开箱验视的</w:t>
      </w:r>
      <w:r>
        <w:rPr>
          <w:rFonts w:eastAsia="仿宋" w:cs="仿宋" w:hint="eastAsia" w:ascii="仿宋" w:hAnsi="仿宋"/>
          <w:kern w:val="0"/>
          <w:sz w:val="32"/>
          <w:szCs w:val="32"/>
        </w:rPr>
        <w:t xml:space="preserve">; </w:t>
      </w:r>
    </w:p>
    <w:p>
      <w:pPr>
        <w:pStyle w:val="Normal"/>
        <w:widowControl/>
        <w:ind w:firstLineChars="200" w:startChars="0" w:start="0" w:endChars="0" w:end="0"/>
        <w:rPr>
          <w:rFonts w:ascii="仿宋" w:hAnsi="仿宋" w:eastAsia="仿宋" w:cs="仿宋" w:hint="eastAsia"/>
          <w:kern w:val="0"/>
          <w:sz w:val="32"/>
          <w:szCs w:val="32"/>
        </w:rPr>
      </w:pPr>
      <w:r>
        <w:rPr>
          <w:rFonts w:eastAsia="仿宋" w:cs="仿宋" w:hint="eastAsia" w:ascii="仿宋" w:hAnsi="仿宋"/>
          <w:kern w:val="0"/>
          <w:sz w:val="32"/>
          <w:szCs w:val="32"/>
        </w:rPr>
        <w:t>(</w:t>
      </w:r>
      <w:r>
        <w:rPr>
          <w:rFonts w:ascii="仿宋" w:hAnsi="仿宋" w:cs="仿宋" w:hint="eastAsia" w:eastAsia="仿宋"/>
          <w:kern w:val="0"/>
          <w:sz w:val="32"/>
          <w:szCs w:val="32"/>
        </w:rPr>
        <w:t>二</w:t>
      </w:r>
      <w:r>
        <w:rPr>
          <w:rFonts w:eastAsia="仿宋" w:cs="仿宋" w:hint="eastAsia" w:ascii="仿宋" w:hAnsi="仿宋"/>
          <w:kern w:val="0"/>
          <w:sz w:val="32"/>
          <w:szCs w:val="32"/>
        </w:rPr>
        <w:t>)</w:t>
      </w:r>
      <w:r>
        <w:rPr>
          <w:rFonts w:ascii="仿宋" w:hAnsi="仿宋" w:cs="仿宋" w:hint="eastAsia" w:eastAsia="仿宋"/>
          <w:kern w:val="0"/>
          <w:sz w:val="32"/>
          <w:szCs w:val="32"/>
        </w:rPr>
        <w:t>未按照国家规定的期限留存物流提取单据、寄递详 情单和相应的电子信息档案的。</w:t>
      </w:r>
    </w:p>
    <w:p>
      <w:pPr>
        <w:pStyle w:val="Normal"/>
        <w:widowControl/>
        <w:ind w:firstLineChars="200" w:startChars="0" w:start="0" w:endChars="0" w:end="0"/>
        <w:rPr>
          <w:rFonts w:ascii="仿宋" w:hAnsi="仿宋" w:eastAsia="仿宋" w:cs="Courier New" w:hint="eastAsia"/>
          <w:kern w:val="0"/>
          <w:sz w:val="32"/>
          <w:szCs w:val="32"/>
        </w:rPr>
      </w:pPr>
      <w:r>
        <w:rPr>
          <w:rFonts w:ascii="黑体" w:hAnsi="黑体" w:cs="黑体" w:hint="eastAsia" w:eastAsia="黑体"/>
          <w:kern w:val="0"/>
          <w:sz w:val="32"/>
          <w:szCs w:val="32"/>
        </w:rPr>
        <w:t>第四十七条</w:t>
      </w:r>
      <w:r>
        <w:rPr>
          <w:rFonts w:ascii="仿宋" w:hAnsi="仿宋" w:cs="Courier New" w:hint="eastAsia" w:eastAsia="仿宋"/>
          <w:kern w:val="0"/>
          <w:sz w:val="32"/>
          <w:szCs w:val="32"/>
        </w:rPr>
        <w:t xml:space="preserve">  </w:t>
      </w:r>
      <w:r>
        <w:rPr>
          <w:rFonts w:ascii="仿宋" w:hAnsi="仿宋" w:cs="仿宋" w:hint="eastAsia" w:eastAsia="仿宋"/>
          <w:kern w:val="0"/>
          <w:sz w:val="32"/>
          <w:szCs w:val="32"/>
        </w:rPr>
        <w:t>国家机关工作人员以及其他依法履行公职的人员在禁毒工作中滥用职权、玩忽职守、徇私舞弊的，对直接负责的主管人员和其他直接责任人员依法给予处分；构成犯罪的，依法追究刑事责任。</w:t>
      </w:r>
      <w:r>
        <w:rPr>
          <w:rFonts w:ascii="仿宋" w:hAnsi="仿宋" w:cs="Courier New" w:hint="eastAsia" w:eastAsia="仿宋"/>
          <w:kern w:val="0"/>
          <w:sz w:val="32"/>
          <w:szCs w:val="32"/>
        </w:rPr>
        <w:t xml:space="preserve"> </w:t>
      </w:r>
    </w:p>
    <w:p>
      <w:pPr>
        <w:pStyle w:val="Normal"/>
        <w:widowControl/>
        <w:ind w:firstLineChars="200" w:startChars="0" w:start="0" w:endChars="0" w:end="0"/>
        <w:rPr>
          <w:rFonts w:ascii="仿宋" w:hAnsi="仿宋" w:eastAsia="仿宋" w:cs="Courier New" w:hint="eastAsia"/>
          <w:kern w:val="0"/>
          <w:sz w:val="32"/>
          <w:szCs w:val="32"/>
        </w:rPr>
      </w:pPr>
      <w:r>
        <w:rPr>
          <w:rFonts w:eastAsia="仿宋" w:cs="Courier New" w:hint="eastAsia" w:ascii="仿宋" w:hAnsi="仿宋"/>
          <w:kern w:val="0"/>
          <w:sz w:val="32"/>
          <w:szCs w:val="32"/>
        </w:rPr>
        <w:t xml:space="preserve"> </w:t>
      </w:r>
    </w:p>
    <w:p>
      <w:pPr>
        <w:pStyle w:val="Normal"/>
        <w:widowControl/>
        <w:jc w:val="center"/>
        <w:rPr>
          <w:rFonts w:ascii="黑体" w:hAnsi="黑体" w:eastAsia="黑体" w:cs="Courier New" w:hint="eastAsia"/>
          <w:kern w:val="0"/>
          <w:sz w:val="32"/>
          <w:szCs w:val="32"/>
        </w:rPr>
      </w:pPr>
      <w:r>
        <w:rPr>
          <w:rFonts w:ascii="黑体" w:hAnsi="黑体" w:cs="Courier New" w:hint="eastAsia" w:eastAsia="黑体"/>
          <w:kern w:val="0"/>
          <w:sz w:val="32"/>
          <w:szCs w:val="32"/>
        </w:rPr>
        <w:t>第七章  附   则</w:t>
      </w:r>
    </w:p>
    <w:p>
      <w:pPr>
        <w:pStyle w:val="Normal"/>
        <w:widowControl/>
        <w:jc w:val="center"/>
        <w:rPr>
          <w:rFonts w:ascii="黑体" w:hAnsi="黑体" w:eastAsia="黑体" w:cs="Courier New" w:hint="eastAsia"/>
          <w:kern w:val="0"/>
          <w:sz w:val="32"/>
          <w:szCs w:val="32"/>
        </w:rPr>
      </w:pPr>
      <w:r>
        <w:rPr>
          <w:rFonts w:eastAsia="黑体" w:cs="Courier New" w:hint="eastAsia" w:ascii="黑体" w:hAnsi="黑体"/>
          <w:kern w:val="0"/>
          <w:sz w:val="32"/>
          <w:szCs w:val="32"/>
        </w:rPr>
        <w:t xml:space="preserve"> </w:t>
      </w:r>
    </w:p>
    <w:p>
      <w:pPr>
        <w:pStyle w:val="Normal"/>
        <w:ind w:firstLineChars="200" w:startChars="0" w:start="0" w:endChars="0" w:end="0"/>
        <w:rPr>
          <w:rFonts w:ascii="仿宋" w:hAnsi="仿宋" w:eastAsia="仿宋" w:cs="Courier New" w:hint="eastAsia"/>
          <w:kern w:val="0"/>
          <w:sz w:val="32"/>
          <w:szCs w:val="32"/>
        </w:rPr>
      </w:pPr>
      <w:r>
        <w:rPr>
          <w:rFonts w:ascii="黑体" w:hAnsi="黑体" w:cs="黑体" w:hint="eastAsia" w:eastAsia="黑体"/>
          <w:kern w:val="0"/>
          <w:sz w:val="32"/>
          <w:szCs w:val="32"/>
        </w:rPr>
        <w:t>第四十八条</w:t>
      </w:r>
      <w:r>
        <w:rPr>
          <w:rFonts w:ascii="仿宋" w:hAnsi="仿宋" w:cs="Courier New" w:hint="eastAsia" w:eastAsia="仿宋"/>
          <w:kern w:val="0"/>
          <w:sz w:val="32"/>
          <w:szCs w:val="32"/>
        </w:rPr>
        <w:t xml:space="preserve">  本条例自</w:t>
      </w:r>
      <w:r>
        <w:rPr>
          <w:rFonts w:eastAsia="仿宋" w:cs="Courier New" w:hint="eastAsia" w:ascii="仿宋" w:hAnsi="仿宋"/>
          <w:kern w:val="0"/>
          <w:sz w:val="32"/>
          <w:szCs w:val="32"/>
        </w:rPr>
        <w:t>2020</w:t>
      </w:r>
      <w:r>
        <w:rPr>
          <w:rFonts w:ascii="仿宋" w:hAnsi="仿宋" w:cs="Courier New" w:hint="eastAsia" w:eastAsia="仿宋"/>
          <w:kern w:val="0"/>
          <w:sz w:val="32"/>
          <w:szCs w:val="32"/>
        </w:rPr>
        <w:t>年</w:t>
      </w:r>
      <w:r>
        <w:rPr>
          <w:rFonts w:eastAsia="仿宋" w:cs="Courier New" w:hint="eastAsia" w:ascii="仿宋" w:hAnsi="仿宋"/>
          <w:kern w:val="0"/>
          <w:sz w:val="32"/>
          <w:szCs w:val="32"/>
        </w:rPr>
        <w:t>10</w:t>
      </w:r>
      <w:r>
        <w:rPr>
          <w:rFonts w:ascii="仿宋" w:hAnsi="仿宋" w:cs="Courier New" w:hint="eastAsia" w:eastAsia="仿宋"/>
          <w:kern w:val="0"/>
          <w:sz w:val="32"/>
          <w:szCs w:val="32"/>
        </w:rPr>
        <w:t>月</w:t>
      </w:r>
      <w:r>
        <w:rPr>
          <w:rFonts w:eastAsia="仿宋" w:cs="Courier New" w:hint="eastAsia" w:ascii="仿宋" w:hAnsi="仿宋"/>
          <w:kern w:val="0"/>
          <w:sz w:val="32"/>
          <w:szCs w:val="32"/>
        </w:rPr>
        <w:t>1</w:t>
      </w:r>
      <w:r>
        <w:rPr>
          <w:rFonts w:ascii="仿宋" w:hAnsi="仿宋" w:cs="Courier New" w:hint="eastAsia" w:eastAsia="仿宋"/>
          <w:kern w:val="0"/>
          <w:sz w:val="32"/>
          <w:szCs w:val="32"/>
        </w:rPr>
        <w:t>日起施行。</w:t>
      </w:r>
    </w:p>
    <w:p>
      <w:pPr>
        <w:pStyle w:val="Normal"/>
        <w:rPr>
          <w:rFonts w:ascii="仿宋" w:hAnsi="仿宋" w:eastAsia="仿宋" w:cs="Courier New" w:hint="eastAsia"/>
          <w:kern w:val="0"/>
          <w:sz w:val="32"/>
          <w:szCs w:val="32"/>
        </w:rPr>
      </w:pPr>
      <w:r>
        <w:rPr>
          <w:rFonts w:eastAsia="仿宋" w:cs="Courier New" w:hint="eastAsia" w:ascii="仿宋" w:hAnsi="仿宋"/>
          <w:kern w:val="0"/>
          <w:sz w:val="32"/>
          <w:szCs w:val="32"/>
        </w:rPr>
        <w:t xml:space="preserve"> </w:t>
      </w:r>
    </w:p>
    <w:p>
      <w:pPr>
        <w:pStyle w:val="Normal"/>
        <w:rPr>
          <w:rFonts w:hint="eastAsia"/>
        </w:rPr>
      </w:pPr>
      <w:r>
        <w:rPr>
          <w:rFonts w:hint="eastAsia"/>
        </w:rPr>
        <w:t xml:space="preserve"> </w:t>
      </w:r>
    </w:p>
    <w:p>
      <w:pPr>
        <w:pStyle w:val="Normal"/>
        <w:rPr>
          <w:rFonts w:hint="eastAsia"/>
        </w:rPr>
      </w:pPr>
      <w:r>
        <w:rPr/>
        <w:t xml:space="preserve"> </w:t>
      </w:r>
    </w:p>
    <w:p>
      <w:pPr>
        <w:pStyle w:val="Normal"/>
        <w:rPr>
          <w:rFonts w:hint="eastAsia"/>
        </w:rPr>
      </w:pPr>
      <w:r>
        <w:rPr/>
        <w:t xml:space="preserve"> </w:t>
      </w:r>
    </w:p>
    <w:p>
      <w:pPr>
        <w:pStyle w:val="Normal"/>
        <w:rPr>
          <w:rFonts w:hint="eastAsia"/>
        </w:rPr>
      </w:pPr>
      <w:r>
        <w:rPr>
          <w:rFonts w:hint="eastAsia"/>
        </w:rPr>
        <w:t xml:space="preserve"> </w:t>
      </w:r>
    </w:p>
    <w:p>
      <w:pPr>
        <w:pStyle w:val="Normal"/>
        <w:rPr>
          <w:rFonts w:hint="eastAsia"/>
        </w:rPr>
      </w:pPr>
      <w:r>
        <w:rPr>
          <w:rFonts w:hint="eastAsia"/>
        </w:rPr>
      </w:r>
    </w:p>
    <w:p>
      <w:pPr>
        <w:pStyle w:val="Normal"/>
        <w:rPr>
          <w:rFonts w:hint="eastAsia"/>
        </w:rPr>
      </w:pPr>
      <w:r>
        <w:rPr>
          <w:rFonts w:hint="eastAsia"/>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方正小标宋_GBK">
    <w:altName w:val="微软雅黑"/>
    <w:charset w:val="86"/>
    <w:family w:val="auto"/>
    <w:pitch w:val="default"/>
  </w:font>
  <w:font w:name="楷体">
    <w:charset w:val="86"/>
    <w:family w:val="modern"/>
    <w:pitch w:val="default"/>
  </w:font>
  <w:font w:name="仿宋">
    <w:charset w:val="86"/>
    <w:family w:val="modern"/>
    <w:pitch w:val="default"/>
  </w:font>
  <w:font w:name="仿宋_GB2312">
    <w:altName w:val="仿宋"/>
    <w:charset w:val="86"/>
    <w:family w:val="auto"/>
    <w:pitch w:val="default"/>
  </w:font>
</w:fonts>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宋体"/>
      <w:color w:val="auto"/>
      <w:kern w:val="2"/>
      <w:sz w:val="21"/>
      <w:szCs w:val="21"/>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rPr>
      <w:rFonts w:ascii="宋体" w:hAnsi="宋体" w:cs="宋体"/>
      <w:sz w:val="24"/>
      <w:szCs w:val="24"/>
    </w:rPr>
  </w:style>
  <w:style w:type="paragraph" w:styleId="Style16">
    <w:name w:val="纯文本"/>
    <w:basedOn w:val="Normal"/>
    <w:qFormat/>
    <w:pPr/>
    <w:rPr>
      <w:rFonts w:ascii="宋体" w:hAnsi="宋体" w:cs="Courier New"/>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2020-07-31T11:26:00Z</dcterms:created>
  <dc:creator>lenovo</dc:creator>
  <dc:description/>
  <dc:language>en-US</dc:language>
  <cp:lastModifiedBy>此生无悔</cp:lastModifiedBy>
  <dcterms:modified xsi:type="dcterms:W3CDTF">2020-12-18T09:04:15Z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