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宋体" w:hAnsi="华文中宋;宋体" w:eastAsia="华文中宋;宋体" w:cs="华文中宋;宋体" w:hint="eastAsia"/>
          <w:sz w:val="44"/>
          <w:szCs w:val="44"/>
        </w:rPr>
      </w:pPr>
      <w:r>
        <w:rPr>
          <w:rFonts w:eastAsia="华文中宋;宋体" w:cs="华文中宋;宋体" w:hint="eastAsia" w:ascii="华文中宋;宋体" w:hAnsi="华文中宋;宋体"/>
          <w:sz w:val="44"/>
          <w:szCs w:val="44"/>
        </w:rPr>
      </w:r>
    </w:p>
    <w:p>
      <w:pPr>
        <w:pStyle w:val="Normal"/>
        <w:jc w:val="center"/>
        <w:rPr>
          <w:rFonts w:ascii="华文中宋;宋体" w:hAnsi="华文中宋;宋体" w:eastAsia="华文中宋;宋体" w:cs="华文中宋;宋体" w:hint="eastAsia"/>
          <w:sz w:val="44"/>
          <w:szCs w:val="44"/>
        </w:rPr>
      </w:pPr>
      <w:r>
        <w:rPr>
          <w:rFonts w:ascii="华文中宋;宋体" w:hAnsi="华文中宋;宋体" w:cs="华文中宋;宋体" w:hint="eastAsia" w:eastAsia="华文中宋;宋体"/>
          <w:sz w:val="44"/>
          <w:szCs w:val="44"/>
        </w:rPr>
        <w:t>山西省人民代表大会常务委员会</w:t>
      </w:r>
    </w:p>
    <w:p>
      <w:pPr>
        <w:pStyle w:val="Normal"/>
        <w:jc w:val="center"/>
        <w:rPr>
          <w:rFonts w:ascii="华文中宋;宋体" w:hAnsi="华文中宋;宋体" w:eastAsia="华文中宋;宋体" w:cs="华文中宋;宋体" w:hint="eastAsia"/>
          <w:sz w:val="44"/>
          <w:szCs w:val="44"/>
        </w:rPr>
      </w:pPr>
      <w:r>
        <w:rPr>
          <w:rFonts w:ascii="华文中宋;宋体" w:hAnsi="华文中宋;宋体" w:cs="华文中宋;宋体" w:hint="eastAsia" w:eastAsia="华文中宋;宋体"/>
          <w:sz w:val="44"/>
          <w:szCs w:val="44"/>
        </w:rPr>
        <w:t>关于修改《山西省公民献血条例》等六部</w:t>
      </w:r>
    </w:p>
    <w:p>
      <w:pPr>
        <w:pStyle w:val="Normal"/>
        <w:jc w:val="center"/>
        <w:rPr>
          <w:rFonts w:ascii="华文中宋;宋体" w:hAnsi="华文中宋;宋体" w:eastAsia="华文中宋;宋体" w:cs="华文中宋;宋体" w:hint="eastAsia"/>
          <w:sz w:val="44"/>
          <w:szCs w:val="44"/>
        </w:rPr>
      </w:pPr>
      <w:r>
        <w:rPr>
          <w:rFonts w:ascii="华文中宋;宋体" w:hAnsi="华文中宋;宋体" w:cs="华文中宋;宋体" w:hint="eastAsia" w:eastAsia="华文中宋;宋体"/>
          <w:sz w:val="44"/>
          <w:szCs w:val="44"/>
        </w:rPr>
        <w:t>地方性法规的决定</w:t>
      </w:r>
    </w:p>
    <w:p>
      <w:pPr>
        <w:pStyle w:val="Normal"/>
        <w:jc w:val="center"/>
        <w:rPr>
          <w:rFonts w:ascii="楷体" w:hAnsi="楷体" w:eastAsia="楷体" w:cs="楷体" w:hint="eastAsia"/>
          <w:sz w:val="36"/>
          <w:szCs w:val="36"/>
        </w:rPr>
      </w:pPr>
      <w:r>
        <w:rPr>
          <w:rFonts w:eastAsia="楷体" w:cs="楷体" w:hint="eastAsia" w:ascii="楷体" w:hAnsi="楷体"/>
          <w:sz w:val="36"/>
          <w:szCs w:val="36"/>
        </w:rPr>
      </w:r>
    </w:p>
    <w:p>
      <w:pPr>
        <w:pStyle w:val="Normal"/>
        <w:jc w:val="center"/>
        <w:rPr>
          <w:rFonts w:ascii="楷体" w:hAnsi="楷体" w:eastAsia="楷体" w:cs="楷体" w:hint="eastAsia"/>
          <w:sz w:val="32"/>
          <w:szCs w:val="32"/>
        </w:rPr>
      </w:pP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日山西省第十三届人民代表大会</w:t>
      </w:r>
    </w:p>
    <w:p>
      <w:pPr>
        <w:pStyle w:val="Normal"/>
        <w:jc w:val="center"/>
        <w:rPr>
          <w:rFonts w:ascii="楷体" w:hAnsi="楷体" w:eastAsia="楷体" w:cs="楷体" w:hint="eastAsia"/>
          <w:sz w:val="32"/>
          <w:szCs w:val="32"/>
        </w:rPr>
      </w:pPr>
      <w:r>
        <w:rPr>
          <w:rFonts w:ascii="楷体" w:hAnsi="楷体" w:cs="楷体" w:hint="eastAsia" w:eastAsia="楷体"/>
          <w:sz w:val="32"/>
          <w:szCs w:val="32"/>
        </w:rPr>
        <w:t>常务委员会第二十次会议通过</w:t>
      </w:r>
      <w:r>
        <w:rPr>
          <w:rFonts w:eastAsia="楷体" w:cs="楷体" w:hint="eastAsia" w:ascii="楷体" w:hAnsi="楷体"/>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山西省第十三届人民代表大会常务委员会第二十次会议决定</w:t>
      </w:r>
      <w:r>
        <w:rPr>
          <w:rFonts w:eastAsia="仿宋" w:cs="仿宋" w:hint="eastAsia" w:ascii="仿宋" w:hAnsi="仿宋"/>
          <w:sz w:val="32"/>
          <w:szCs w:val="32"/>
        </w:rPr>
        <w:t xml:space="preserve">: </w:t>
      </w:r>
    </w:p>
    <w:p>
      <w:pPr>
        <w:pStyle w:val="Normal"/>
        <w:numPr>
          <w:ilvl w:val="0"/>
          <w:numId w:val="0"/>
        </w:numPr>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一、对《山西省公民献血条例》作出修改</w:t>
      </w:r>
    </w:p>
    <w:p>
      <w:pPr>
        <w:pStyle w:val="Normal"/>
        <w:numPr>
          <w:ilvl w:val="0"/>
          <w:numId w:val="0"/>
        </w:numPr>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、删去第十六条第二款和第十八条。</w:t>
      </w:r>
    </w:p>
    <w:p>
      <w:pPr>
        <w:pStyle w:val="Normal"/>
        <w:numPr>
          <w:ilvl w:val="0"/>
          <w:numId w:val="0"/>
        </w:numPr>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、将第二十一条第一款修改为</w:t>
      </w:r>
      <w:r>
        <w:rPr>
          <w:rFonts w:eastAsia="仿宋" w:cs="仿宋" w:hint="eastAsia" w:ascii="仿宋" w:hAnsi="仿宋"/>
          <w:sz w:val="32"/>
          <w:szCs w:val="32"/>
        </w:rPr>
        <w:t>:“</w:t>
      </w:r>
      <w:r>
        <w:rPr>
          <w:rFonts w:ascii="仿宋" w:hAnsi="仿宋" w:cs="仿宋" w:hint="eastAsia" w:eastAsia="仿宋"/>
          <w:sz w:val="32"/>
          <w:szCs w:val="32"/>
        </w:rPr>
        <w:t>公民无偿献血的</w:t>
      </w:r>
      <w:r>
        <w:rPr>
          <w:rFonts w:eastAsia="仿宋" w:cs="仿宋" w:hint="eastAsia" w:ascii="仿宋" w:hAnsi="仿宋"/>
          <w:sz w:val="32"/>
          <w:szCs w:val="32"/>
        </w:rPr>
        <w:t>,</w:t>
      </w:r>
      <w:r>
        <w:rPr>
          <w:rFonts w:ascii="仿宋" w:hAnsi="仿宋" w:cs="仿宋" w:hint="eastAsia" w:eastAsia="仿宋"/>
          <w:sz w:val="32"/>
          <w:szCs w:val="32"/>
        </w:rPr>
        <w:t>应当获得无偿献血证。无偿献血证是献血公民享受本条例规定的优惠和奖励的凭据，不得伪造、涂改、出租、买卖、转借。”</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３、将第三十一条修改为</w:t>
      </w:r>
      <w:r>
        <w:rPr>
          <w:rFonts w:eastAsia="仿宋" w:cs="仿宋" w:hint="eastAsia" w:ascii="仿宋" w:hAnsi="仿宋"/>
          <w:sz w:val="32"/>
          <w:szCs w:val="32"/>
        </w:rPr>
        <w:t>:“</w:t>
      </w:r>
      <w:r>
        <w:rPr>
          <w:rFonts w:ascii="仿宋" w:hAnsi="仿宋" w:cs="仿宋" w:hint="eastAsia" w:eastAsia="仿宋"/>
          <w:sz w:val="32"/>
          <w:szCs w:val="32"/>
        </w:rPr>
        <w:t>医疗机构应当制定应急用血工作预案。为保证应急用血</w:t>
      </w:r>
      <w:r>
        <w:rPr>
          <w:rFonts w:eastAsia="仿宋" w:cs="仿宋" w:hint="eastAsia" w:ascii="仿宋" w:hAnsi="仿宋"/>
          <w:sz w:val="32"/>
          <w:szCs w:val="32"/>
        </w:rPr>
        <w:t>,</w:t>
      </w:r>
      <w:r>
        <w:rPr>
          <w:rFonts w:ascii="仿宋" w:hAnsi="仿宋" w:cs="仿宋" w:hint="eastAsia" w:eastAsia="仿宋"/>
          <w:sz w:val="32"/>
          <w:szCs w:val="32"/>
        </w:rPr>
        <w:t>医疗机构可以临时采集血液</w:t>
      </w:r>
      <w:r>
        <w:rPr>
          <w:rFonts w:eastAsia="仿宋" w:cs="仿宋" w:hint="eastAsia" w:ascii="仿宋" w:hAnsi="仿宋"/>
          <w:sz w:val="32"/>
          <w:szCs w:val="32"/>
        </w:rPr>
        <w:t>,</w:t>
      </w:r>
      <w:r>
        <w:rPr>
          <w:rFonts w:ascii="仿宋" w:hAnsi="仿宋" w:cs="仿宋" w:hint="eastAsia" w:eastAsia="仿宋"/>
          <w:sz w:val="32"/>
          <w:szCs w:val="32"/>
        </w:rPr>
        <w:t>但必须同时符合以下条件</w:t>
      </w:r>
      <w:r>
        <w:rPr>
          <w:rFonts w:eastAsia="仿宋" w:cs="仿宋" w:hint="eastAsia" w:ascii="仿宋" w:hAnsi="仿宋"/>
          <w:sz w:val="32"/>
          <w:szCs w:val="32"/>
        </w:rPr>
        <w:t xml:space="preserve">: </w:t>
      </w:r>
    </w:p>
    <w:p>
      <w:pPr>
        <w:pStyle w:val="Normal"/>
        <w:numPr>
          <w:ilvl w:val="0"/>
          <w:numId w:val="0"/>
        </w:numPr>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危及患者生命</w:t>
      </w:r>
      <w:r>
        <w:rPr>
          <w:rFonts w:eastAsia="仿宋" w:cs="仿宋" w:hint="eastAsia" w:ascii="仿宋" w:hAnsi="仿宋"/>
          <w:sz w:val="32"/>
          <w:szCs w:val="32"/>
        </w:rPr>
        <w:t>,</w:t>
      </w:r>
      <w:r>
        <w:rPr>
          <w:rFonts w:ascii="仿宋" w:hAnsi="仿宋" w:cs="仿宋" w:hint="eastAsia" w:eastAsia="仿宋"/>
          <w:sz w:val="32"/>
          <w:szCs w:val="32"/>
        </w:rPr>
        <w:t>急需输血</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所在地血站无法及时提供血液，且无法及时从其他医疗机构调剂血液</w:t>
      </w:r>
      <w:r>
        <w:rPr>
          <w:rFonts w:eastAsia="仿宋" w:cs="仿宋" w:hint="eastAsia" w:ascii="仿宋" w:hAnsi="仿宋"/>
          <w:sz w:val="32"/>
          <w:szCs w:val="32"/>
        </w:rPr>
        <w:t>,</w:t>
      </w:r>
      <w:r>
        <w:rPr>
          <w:rFonts w:ascii="仿宋" w:hAnsi="仿宋" w:cs="仿宋" w:hint="eastAsia" w:eastAsia="仿宋"/>
          <w:sz w:val="32"/>
          <w:szCs w:val="32"/>
        </w:rPr>
        <w:t>而其他医疗措施不能替代输血治疗</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具备开展交叉配血以及乙型肝炎病毒表面抗原、丙型肝炎病毒抗体、艾滋病病毒抗体和梅毒螺旋体抗体的检测能力</w:t>
      </w:r>
      <w:r>
        <w:rPr>
          <w:rFonts w:eastAsia="仿宋" w:cs="仿宋" w:hint="eastAsia" w:ascii="仿宋" w:hAnsi="仿宋"/>
          <w:sz w:val="32"/>
          <w:szCs w:val="32"/>
        </w:rPr>
        <w:t xml:space="preserve">; </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 xml:space="preserve">遵守采供血相关操作规程和技术标准。 </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医疗机构应当在临时采集血液后十日内，将有关情况报告县级以上人民政府卫生行政部门。”</w:t>
      </w:r>
    </w:p>
    <w:p>
      <w:pPr>
        <w:pStyle w:val="Normal"/>
        <w:numPr>
          <w:ilvl w:val="0"/>
          <w:numId w:val="2"/>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将第三十五条、第三十七条、第三十九条、第四十条、第四十二条中的“行政处分”修改为“处分”。</w:t>
      </w:r>
    </w:p>
    <w:p>
      <w:pPr>
        <w:pStyle w:val="Normal"/>
        <w:numPr>
          <w:ilvl w:val="0"/>
          <w:numId w:val="0"/>
        </w:numPr>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二、对《山西省实施</w:t>
      </w:r>
      <w:r>
        <w:rPr>
          <w:rFonts w:eastAsia="黑体" w:cs="黑体" w:hint="eastAsia" w:ascii="黑体" w:hAnsi="黑体"/>
          <w:sz w:val="32"/>
          <w:szCs w:val="32"/>
        </w:rPr>
        <w:t>&lt;</w:t>
      </w:r>
      <w:r>
        <w:rPr>
          <w:rFonts w:ascii="黑体" w:hAnsi="黑体" w:cs="黑体" w:hint="eastAsia" w:eastAsia="黑体"/>
          <w:sz w:val="32"/>
          <w:szCs w:val="32"/>
        </w:rPr>
        <w:t>中华人民共和国义务教育法</w:t>
      </w:r>
      <w:r>
        <w:rPr>
          <w:rFonts w:eastAsia="黑体" w:cs="黑体" w:hint="eastAsia" w:ascii="黑体" w:hAnsi="黑体"/>
          <w:sz w:val="32"/>
          <w:szCs w:val="32"/>
        </w:rPr>
        <w:t xml:space="preserve">&gt; </w:t>
      </w:r>
      <w:r>
        <w:rPr>
          <w:rFonts w:ascii="黑体" w:hAnsi="黑体" w:cs="黑体" w:hint="eastAsia" w:eastAsia="黑体"/>
          <w:sz w:val="32"/>
          <w:szCs w:val="32"/>
        </w:rPr>
        <w:t>办法》作出修改</w:t>
      </w:r>
    </w:p>
    <w:p>
      <w:pPr>
        <w:pStyle w:val="Normal"/>
        <w:numPr>
          <w:ilvl w:val="0"/>
          <w:numId w:val="3"/>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将第三十一条第一款中的“国土资源”修改为“自然资源”。</w:t>
      </w:r>
    </w:p>
    <w:p>
      <w:pPr>
        <w:pStyle w:val="Normal"/>
        <w:numPr>
          <w:ilvl w:val="0"/>
          <w:numId w:val="3"/>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将第三十八条中的“工商”修改为“市场监督管理”。</w:t>
      </w:r>
    </w:p>
    <w:p>
      <w:pPr>
        <w:pStyle w:val="Normal"/>
        <w:numPr>
          <w:ilvl w:val="0"/>
          <w:numId w:val="3"/>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将第五十七条中的“行政处分”修改为“处分”。   </w:t>
      </w:r>
    </w:p>
    <w:p>
      <w:pPr>
        <w:pStyle w:val="Normal"/>
        <w:numPr>
          <w:ilvl w:val="0"/>
          <w:numId w:val="0"/>
        </w:numPr>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三、对《山西省实施</w:t>
      </w:r>
      <w:r>
        <w:rPr>
          <w:rFonts w:eastAsia="黑体" w:cs="黑体" w:hint="eastAsia" w:ascii="黑体" w:hAnsi="黑体"/>
          <w:sz w:val="32"/>
          <w:szCs w:val="32"/>
        </w:rPr>
        <w:t>&lt;</w:t>
      </w:r>
      <w:r>
        <w:rPr>
          <w:rFonts w:ascii="黑体" w:hAnsi="黑体" w:cs="黑体" w:hint="eastAsia" w:eastAsia="黑体"/>
          <w:sz w:val="32"/>
          <w:szCs w:val="32"/>
        </w:rPr>
        <w:t>中华人民共和国科学技术普及法</w:t>
      </w:r>
      <w:r>
        <w:rPr>
          <w:rFonts w:eastAsia="黑体" w:cs="黑体" w:hint="eastAsia" w:ascii="黑体" w:hAnsi="黑体"/>
          <w:sz w:val="32"/>
          <w:szCs w:val="32"/>
        </w:rPr>
        <w:t>&gt;</w:t>
      </w:r>
      <w:r>
        <w:rPr>
          <w:rFonts w:ascii="黑体" w:hAnsi="黑体" w:cs="黑体" w:hint="eastAsia" w:eastAsia="黑体"/>
          <w:sz w:val="32"/>
          <w:szCs w:val="32"/>
        </w:rPr>
        <w:t>办法》作出修改</w:t>
      </w:r>
    </w:p>
    <w:p>
      <w:pPr>
        <w:pStyle w:val="Normal"/>
        <w:numPr>
          <w:ilvl w:val="0"/>
          <w:numId w:val="1"/>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将第六条中的“发展改革”修改为“发展和改革”。</w:t>
      </w:r>
    </w:p>
    <w:p>
      <w:pPr>
        <w:pStyle w:val="Normal"/>
        <w:numPr>
          <w:ilvl w:val="0"/>
          <w:numId w:val="4"/>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将第二十六条、第二十七条、第二十八条中的“行政处分”修改为“处分”。</w:t>
      </w:r>
    </w:p>
    <w:p>
      <w:pPr>
        <w:pStyle w:val="Normal"/>
        <w:numPr>
          <w:ilvl w:val="0"/>
          <w:numId w:val="0"/>
        </w:numPr>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四、对《山西省农民专业合作社条例》作出修改</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１、将第九条、第十五条、第十六条、第二十九条中“农业行政主管部门或者农村经济经营管理部门”修改为“农业农村主管部门”，将第八条第一款“工商行政管理”、第二十三条第二款中的“工商”修改为“市场监督管理”。</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２、将第四条第一款、第二款修改为：“县级以上人民政府农业农村主管部门负责本行政区域内农民专业合作社的指导、扶持、服务等工作。”</w:t>
      </w:r>
    </w:p>
    <w:p>
      <w:pPr>
        <w:pStyle w:val="Normal"/>
        <w:numPr>
          <w:ilvl w:val="0"/>
          <w:numId w:val="0"/>
        </w:numPr>
        <w:ind w:hanging="0" w:start="0"/>
        <w:rPr>
          <w:rFonts w:ascii="仿宋" w:hAnsi="仿宋" w:eastAsia="仿宋" w:cs="仿宋" w:hint="eastAsia"/>
          <w:sz w:val="32"/>
          <w:szCs w:val="32"/>
        </w:rPr>
      </w:pPr>
      <w:r>
        <w:rPr>
          <w:rFonts w:ascii="仿宋" w:hAnsi="仿宋" w:cs="仿宋" w:hint="eastAsia" w:eastAsia="仿宋"/>
          <w:sz w:val="32"/>
          <w:szCs w:val="32"/>
        </w:rPr>
        <w:t>　　３、删去第六条第三款。</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４、将第七条修改为：“农民专业合作社成员可以用货币出资，也可以用实物、知识产权、土地经营权、林权等可以用货币估价并可以依法转让的非货币财产，以及章程规定的其他方式作价出资；用非货币财产出资的，由全体成员评估作价。但是，劳务、信用、自然人姓名、商誉、特许经营权、设定担保的财产等法律、行政法规规定不得作为出资的财产除外。”</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５、将第十二条第一款修改为：“农民专业合作社应当建立健全财务管理制度，设置会计账簿，依法进行财务管理和会计核算。”</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６、删去第二十条第二款。</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７、将第三十一条修改为：“ 三个以上农民专业合作社在自愿的基础上，可以出资设立农民专业合作社联合社，领取农民专业合作社联合社法人营业执照。农民专业合作社联合社的登记、生产经营以及对其指导、扶持、服务等活动，依照本条例的有关规定执行。”</w:t>
      </w:r>
    </w:p>
    <w:p>
      <w:pPr>
        <w:pStyle w:val="Normal"/>
        <w:numPr>
          <w:ilvl w:val="0"/>
          <w:numId w:val="0"/>
        </w:numPr>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五、对《山西省万家寨引黄工程保护条例》作出修改</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１、删去第三条第一款。</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将第三款修改为：“引黄工程沿线县级以上人民政府水行政、自然资源、公安、生态环境、住建、交通运输、农业农村、林草等行政主管部门</w:t>
      </w:r>
      <w:r>
        <w:rPr>
          <w:rFonts w:eastAsia="仿宋" w:cs="仿宋" w:hint="eastAsia" w:ascii="仿宋" w:hAnsi="仿宋"/>
          <w:sz w:val="32"/>
          <w:szCs w:val="32"/>
        </w:rPr>
        <w:t>,</w:t>
      </w:r>
      <w:r>
        <w:rPr>
          <w:rFonts w:ascii="仿宋" w:hAnsi="仿宋" w:cs="仿宋" w:hint="eastAsia" w:eastAsia="仿宋"/>
          <w:sz w:val="32"/>
          <w:szCs w:val="32"/>
        </w:rPr>
        <w:t>按照各自的职责，做好引黄工程的保护工作。”</w:t>
      </w:r>
    </w:p>
    <w:p>
      <w:pPr>
        <w:pStyle w:val="Normal"/>
        <w:numPr>
          <w:ilvl w:val="0"/>
          <w:numId w:val="0"/>
        </w:numPr>
        <w:ind w:hanging="0" w:start="0"/>
        <w:rPr>
          <w:rFonts w:ascii="仿宋" w:hAnsi="仿宋" w:eastAsia="仿宋" w:cs="仿宋" w:hint="eastAsia"/>
          <w:sz w:val="32"/>
          <w:szCs w:val="32"/>
        </w:rPr>
      </w:pPr>
      <w:r>
        <w:rPr>
          <w:rFonts w:ascii="仿宋" w:hAnsi="仿宋" w:cs="仿宋" w:hint="eastAsia" w:eastAsia="仿宋"/>
          <w:sz w:val="32"/>
          <w:szCs w:val="32"/>
        </w:rPr>
        <w:t>　　２、将第八条修改为：“在引黄工程保护范围内修建建筑物及构筑物，或者在工程保护范围以外</w:t>
      </w:r>
      <w:r>
        <w:rPr>
          <w:rFonts w:eastAsia="仿宋" w:cs="仿宋" w:hint="eastAsia" w:ascii="仿宋" w:hAnsi="仿宋"/>
          <w:sz w:val="32"/>
          <w:szCs w:val="32"/>
        </w:rPr>
        <w:t>300</w:t>
      </w:r>
      <w:r>
        <w:rPr>
          <w:rFonts w:ascii="仿宋" w:hAnsi="仿宋" w:cs="仿宋" w:hint="eastAsia" w:eastAsia="仿宋"/>
          <w:sz w:val="32"/>
          <w:szCs w:val="32"/>
        </w:rPr>
        <w:t>米内从事爆破作业的，应当事先征求引黄工程管理单位的意见。”</w:t>
      </w:r>
    </w:p>
    <w:p>
      <w:pPr>
        <w:pStyle w:val="Normal"/>
        <w:numPr>
          <w:ilvl w:val="0"/>
          <w:numId w:val="4"/>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第九条、第十二条中“引黄工程管理机构”修改为“引黄工程管理单位”，第十九条、第二十条中“引黄工程管理机构”修改为“有关行政主管部门”。</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４、增加一条，作为第十条：“万家寨水库、各级泵站、头马营出水口等具有文化价值的水利工程，应当按照其原有的功能、建筑特点和风貌进行管理和保护”。</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５、将第十七条修改为：“ 宁武、静乐、岚县、娄烦县人民政府应当按照法律法规的有关规定，建设城市污水处理设施和垃圾处理厂，并保证正常运行。”</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６、删去第十八条中的“引黄工程管理机构或者”。</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７、将第二十一条修改为：“违反本条例规定，在引黄工程管理范围、保护范围，万家寨水库、头马营出水口至汾河水库的天然河道及汾河水库范围内，污染环境及水质的，由县级以上人民政府生态环境行政主管部门依照法律、法规的有关规定处罚。”</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８、将第二十三条修改为：“有关行政主管部门、引黄工程管理单位及其工作人员玩忽职守、滥用职权、徇私舞弊的，对负有直接责任的主管人员和其他直接责任人员依法给予处分；构成犯罪的，依法追究刑事责任。”</w:t>
      </w:r>
    </w:p>
    <w:p>
      <w:pPr>
        <w:pStyle w:val="Normal"/>
        <w:numPr>
          <w:ilvl w:val="0"/>
          <w:numId w:val="0"/>
        </w:numPr>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六、对《山西省气候资源开发利用和保护条例》作出修改</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１、删去第二十条第二款。</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将第三款修改为：“气候可行性论证应当使用符合国家气象技术标准的气象资料。”</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２、增加一条，作为第二十三条：“从事大气环境影响评价的单位进行工程建设项目大气环境影响评价时，使用的气象资料不符合国家气象技术标准的，由有关气象主管机构按照权责责令改正，给予警告，可以并处五千元以上五万元以下的罚款。”</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３、将第二十三条修改为：“气象主管机构及其工作人员有下列行为之一的，对其直接负责的主管人员和其他直接责任人员依法给予处分</w:t>
      </w:r>
      <w:r>
        <w:rPr>
          <w:rFonts w:eastAsia="仿宋" w:cs="仿宋" w:hint="eastAsia" w:ascii="仿宋" w:hAnsi="仿宋"/>
          <w:sz w:val="32"/>
          <w:szCs w:val="32"/>
        </w:rPr>
        <w:t>;</w:t>
      </w:r>
      <w:r>
        <w:rPr>
          <w:rFonts w:ascii="仿宋" w:hAnsi="仿宋" w:cs="仿宋" w:hint="eastAsia" w:eastAsia="仿宋"/>
          <w:sz w:val="32"/>
          <w:szCs w:val="32"/>
        </w:rPr>
        <w:t>构成犯罪的，依法追究刑事责任：</w:t>
      </w:r>
    </w:p>
    <w:p>
      <w:pPr>
        <w:pStyle w:val="Normal"/>
        <w:numPr>
          <w:ilvl w:val="0"/>
          <w:numId w:val="0"/>
        </w:numPr>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（一）出具虚假书面评审意见的；</w:t>
      </w:r>
    </w:p>
    <w:p>
      <w:pPr>
        <w:pStyle w:val="Normal"/>
        <w:numPr>
          <w:ilvl w:val="0"/>
          <w:numId w:val="0"/>
        </w:numPr>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（二）未在规定期限内出具书面评审意见的；</w:t>
      </w:r>
    </w:p>
    <w:p>
      <w:pPr>
        <w:pStyle w:val="Normal"/>
        <w:numPr>
          <w:ilvl w:val="0"/>
          <w:numId w:val="0"/>
        </w:numPr>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（三）其他玩忽职守、滥用职权、徇私舞弊的。”</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４、删去第二十四条。</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本决定自公布之日起施行。</w:t>
      </w:r>
    </w:p>
    <w:p>
      <w:pPr>
        <w:pStyle w:val="Normal"/>
        <w:numPr>
          <w:ilvl w:val="0"/>
          <w:numId w:val="0"/>
        </w:numPr>
        <w:ind w:firstLineChars="200" w:startChars="0" w:start="0" w:endChars="0" w:end="0"/>
        <w:rPr/>
      </w:pPr>
      <w:r>
        <w:rPr>
          <w:rFonts w:ascii="仿宋" w:hAnsi="仿宋" w:cs="仿宋" w:hint="eastAsia" w:eastAsia="仿宋"/>
          <w:sz w:val="32"/>
          <w:szCs w:val="32"/>
        </w:rPr>
        <w:t>以上法规根据本决定作相应修改并对条款顺序作相应调整后</w:t>
      </w:r>
      <w:r>
        <w:rPr>
          <w:rFonts w:eastAsia="仿宋" w:cs="仿宋" w:hint="eastAsia" w:ascii="仿宋" w:hAnsi="仿宋"/>
          <w:sz w:val="32"/>
          <w:szCs w:val="32"/>
        </w:rPr>
        <w:t>,</w:t>
      </w:r>
      <w:r>
        <w:rPr>
          <w:rFonts w:ascii="仿宋" w:hAnsi="仿宋" w:cs="仿宋" w:hint="eastAsia" w:eastAsia="仿宋"/>
          <w:sz w:val="32"/>
          <w:szCs w:val="32"/>
        </w:rPr>
        <w:t>重新公布。</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华文中宋">
    <w:altName w:val="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6</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6</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lvl>
  </w:abstractNum>
  <w:abstractNum w:abstractNumId="2">
    <w:lvl w:ilvl="0">
      <w:start w:val="4"/>
      <w:numFmt w:val="decimal"/>
      <w:suff w:val="nothing"/>
      <w:lvlText w:val="%1、"/>
      <w:lvlJc w:val="start"/>
      <w:pPr>
        <w:tabs>
          <w:tab w:val="num" w:pos="0"/>
        </w:tabs>
        <w:ind w:start="0" w:hanging="0"/>
      </w:pPr>
    </w:lvl>
  </w:abstractNum>
  <w:abstractNum w:abstractNumId="3">
    <w:lvl w:ilvl="0">
      <w:start w:val="1"/>
      <w:numFmt w:val="decimal"/>
      <w:suff w:val="nothing"/>
      <w:lvlText w:val="%1、"/>
      <w:lvlJc w:val="start"/>
      <w:pPr>
        <w:tabs>
          <w:tab w:val="num" w:pos="0"/>
        </w:tabs>
        <w:ind w:start="0" w:hanging="0"/>
      </w:pPr>
    </w:lvl>
  </w:abstractNum>
  <w:abstractNum w:abstractNumId="4">
    <w:lvl w:ilvl="0">
      <w:start w:val="2"/>
      <w:numFmt w:val="decimalFullWidth"/>
      <w:suff w:val="nothing"/>
      <w:lvlText w:val="%1、"/>
      <w:lvlJc w:val="start"/>
      <w:pPr>
        <w:tabs>
          <w:tab w:val="num" w:pos="0"/>
        </w:tabs>
        <w:ind w:start="0" w:hanging="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4z0">
    <w:name w:val="WW8Num4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2020-09-15T17:54:58Z</dcterms:created>
  <dc:creator>lenovo</dc:creator>
  <dc:description/>
  <dc:language>en-US</dc:language>
  <cp:lastModifiedBy>此生无悔</cp:lastModifiedBy>
  <cp:lastPrinted>2020-09-22T16:19:00Z</cp:lastPrinted>
  <dcterms:modified xsi:type="dcterms:W3CDTF">2020-12-29T11:20:21Z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