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 w:hAnsi="宋体" w:eastAsia="宋体" w:cs="宋体" w:hint="eastAsia"/>
        </w:rPr>
      </w:pPr>
      <w:r>
        <w:rPr>
          <w:rFonts w:eastAsia="宋体" w:cs="宋体" w:hint="eastAsia" w:ascii="宋体" w:hAnsi="宋体"/>
        </w:rPr>
      </w:r>
    </w:p>
    <w:p>
      <w:pPr>
        <w:pStyle w:val="Normal"/>
        <w:spacing w:lineRule="exact" w:line="560"/>
        <w:rPr>
          <w:rFonts w:ascii="宋体" w:hAnsi="宋体" w:eastAsia="宋体" w:cs="宋体" w:hint="eastAsia"/>
        </w:rPr>
      </w:pPr>
      <w:r>
        <w:rPr>
          <w:rFonts w:eastAsia="宋体" w:cs="宋体" w:hint="eastAsia" w:ascii="宋体" w:hAnsi="宋体"/>
        </w:rPr>
      </w:r>
    </w:p>
    <w:p>
      <w:pPr>
        <w:pStyle w:val="Normal"/>
        <w:snapToGrid w:val="false"/>
        <w:spacing w:lineRule="exact" w:line="560"/>
        <w:jc w:val="center"/>
        <w:rPr>
          <w:rFonts w:ascii="宋体" w:hAnsi="宋体" w:eastAsia="宋体" w:cs="宋体" w:hint="eastAsia"/>
          <w:spacing w:val="0"/>
          <w:sz w:val="44"/>
          <w:szCs w:val="44"/>
        </w:rPr>
      </w:pPr>
      <w:r>
        <w:rPr>
          <w:rFonts w:ascii="宋体" w:hAnsi="宋体" w:cs="宋体" w:hint="eastAsia" w:eastAsia="宋体"/>
          <w:spacing w:val="0"/>
          <w:sz w:val="44"/>
          <w:szCs w:val="44"/>
        </w:rPr>
        <w:t>衢州市居家养老服务条例</w:t>
      </w:r>
    </w:p>
    <w:p>
      <w:pPr>
        <w:pStyle w:val="Normal"/>
        <w:snapToGrid w:val="false"/>
        <w:spacing w:lineRule="exact" w:line="560"/>
        <w:jc w:val="center"/>
        <w:rPr>
          <w:rFonts w:ascii="宋体" w:hAnsi="宋体" w:eastAsia="宋体" w:cs="宋体" w:hint="eastAsia"/>
          <w:spacing w:val="0"/>
          <w:sz w:val="44"/>
          <w:szCs w:val="44"/>
        </w:rPr>
      </w:pPr>
      <w:r>
        <w:rPr>
          <w:rFonts w:eastAsia="宋体" w:cs="宋体" w:hint="eastAsia" w:ascii="宋体" w:hAnsi="宋体"/>
          <w:spacing w:val="0"/>
          <w:sz w:val="44"/>
          <w:szCs w:val="44"/>
        </w:rPr>
      </w:r>
    </w:p>
    <w:p>
      <w:pPr>
        <w:pStyle w:val="Normal"/>
        <w:spacing w:lineRule="exact" w:line="560"/>
        <w:ind w:firstLineChars="200" w:startChars="0" w:start="0" w:endChars="0" w:end="0"/>
        <w:jc w:val="start"/>
        <w:rPr>
          <w:rFonts w:ascii="楷体_GB2312;楷体" w:hAnsi="楷体_GB2312;楷体" w:eastAsia="楷体_GB2312;楷体" w:hint="eastAsia"/>
          <w:bCs/>
          <w:spacing w:val="0"/>
        </w:rPr>
      </w:pPr>
      <w:r>
        <w:rPr>
          <w:rFonts w:ascii="楷体_GB2312;楷体" w:hAnsi="楷体_GB2312;楷体" w:hint="eastAsia" w:eastAsia="楷体_GB2312;楷体"/>
          <w:bCs/>
          <w:spacing w:val="0"/>
        </w:rPr>
        <w:t>（</w:t>
      </w:r>
      <w:r>
        <w:rPr>
          <w:rFonts w:eastAsia="楷体_GB2312;楷体" w:hint="eastAsia" w:ascii="楷体_GB2312;楷体" w:hAnsi="楷体_GB2312;楷体"/>
          <w:bCs/>
          <w:spacing w:val="0"/>
        </w:rPr>
        <w:t>2021</w:t>
      </w:r>
      <w:r>
        <w:rPr>
          <w:rFonts w:ascii="楷体_GB2312;楷体" w:hAnsi="楷体_GB2312;楷体" w:hint="eastAsia" w:eastAsia="楷体_GB2312;楷体"/>
          <w:bCs/>
          <w:spacing w:val="0"/>
        </w:rPr>
        <w:t>年</w:t>
      </w:r>
      <w:r>
        <w:rPr>
          <w:rFonts w:eastAsia="楷体_GB2312;楷体" w:hint="eastAsia" w:ascii="楷体_GB2312;楷体" w:hAnsi="楷体_GB2312;楷体"/>
          <w:bCs/>
          <w:spacing w:val="0"/>
        </w:rPr>
        <w:t>7</w:t>
      </w:r>
      <w:r>
        <w:rPr>
          <w:rFonts w:ascii="楷体_GB2312;楷体" w:hAnsi="楷体_GB2312;楷体" w:hint="eastAsia" w:eastAsia="楷体_GB2312;楷体"/>
          <w:bCs/>
          <w:spacing w:val="0"/>
        </w:rPr>
        <w:t>月</w:t>
      </w:r>
      <w:r>
        <w:rPr>
          <w:rFonts w:eastAsia="楷体_GB2312;楷体" w:hint="eastAsia" w:ascii="楷体_GB2312;楷体" w:hAnsi="楷体_GB2312;楷体"/>
          <w:bCs/>
          <w:spacing w:val="0"/>
        </w:rPr>
        <w:t>29</w:t>
      </w:r>
      <w:r>
        <w:rPr>
          <w:rFonts w:ascii="楷体_GB2312;楷体" w:hAnsi="楷体_GB2312;楷体" w:hint="eastAsia" w:eastAsia="楷体_GB2312;楷体"/>
          <w:bCs/>
          <w:spacing w:val="0"/>
        </w:rPr>
        <w:t>日衢州市第七届人民代表大会常务委</w:t>
      </w:r>
    </w:p>
    <w:p>
      <w:pPr>
        <w:pStyle w:val="Normal"/>
        <w:spacing w:lineRule="exact" w:line="560"/>
        <w:ind w:firstLineChars="200" w:startChars="0" w:start="0" w:endChars="0" w:end="0"/>
        <w:jc w:val="start"/>
        <w:rPr>
          <w:rFonts w:ascii="楷体_GB2312;楷体" w:hAnsi="楷体_GB2312;楷体" w:eastAsia="楷体_GB2312;楷体" w:hint="eastAsia"/>
          <w:bCs/>
          <w:spacing w:val="0"/>
        </w:rPr>
      </w:pPr>
      <w:r>
        <w:rPr>
          <w:rFonts w:ascii="楷体_GB2312;楷体" w:hAnsi="楷体_GB2312;楷体" w:hint="eastAsia" w:eastAsia="楷体_GB2312;楷体"/>
          <w:bCs/>
          <w:spacing w:val="0"/>
        </w:rPr>
        <w:t xml:space="preserve">员会 第三十五次会议通过  </w:t>
      </w:r>
      <w:r>
        <w:rPr>
          <w:rFonts w:eastAsia="楷体_GB2312;楷体" w:hint="eastAsia" w:ascii="楷体_GB2312;楷体" w:hAnsi="楷体_GB2312;楷体"/>
          <w:bCs/>
          <w:spacing w:val="0"/>
        </w:rPr>
        <w:t>2021</w:t>
      </w:r>
      <w:r>
        <w:rPr>
          <w:rFonts w:ascii="楷体_GB2312;楷体" w:hAnsi="楷体_GB2312;楷体" w:hint="eastAsia" w:eastAsia="楷体_GB2312;楷体"/>
          <w:bCs/>
          <w:spacing w:val="0"/>
        </w:rPr>
        <w:t>年</w:t>
      </w:r>
      <w:r>
        <w:rPr>
          <w:rFonts w:eastAsia="楷体_GB2312;楷体" w:hint="eastAsia" w:ascii="楷体_GB2312;楷体" w:hAnsi="楷体_GB2312;楷体"/>
          <w:bCs/>
          <w:spacing w:val="0"/>
        </w:rPr>
        <w:t>9</w:t>
      </w:r>
      <w:r>
        <w:rPr>
          <w:rFonts w:ascii="楷体_GB2312;楷体" w:hAnsi="楷体_GB2312;楷体" w:hint="eastAsia" w:eastAsia="楷体_GB2312;楷体"/>
          <w:bCs/>
          <w:spacing w:val="0"/>
        </w:rPr>
        <w:t>月</w:t>
      </w:r>
      <w:r>
        <w:rPr>
          <w:rFonts w:eastAsia="楷体_GB2312;楷体" w:hint="eastAsia" w:ascii="楷体_GB2312;楷体" w:hAnsi="楷体_GB2312;楷体"/>
          <w:bCs/>
          <w:spacing w:val="0"/>
        </w:rPr>
        <w:t>29</w:t>
      </w:r>
      <w:r>
        <w:rPr>
          <w:rFonts w:ascii="楷体_GB2312;楷体" w:hAnsi="楷体_GB2312;楷体" w:hint="eastAsia" w:eastAsia="楷体_GB2312;楷体"/>
          <w:bCs/>
          <w:spacing w:val="0"/>
        </w:rPr>
        <w:t>日浙江省第</w:t>
      </w:r>
    </w:p>
    <w:p>
      <w:pPr>
        <w:pStyle w:val="Normal"/>
        <w:spacing w:lineRule="exact" w:line="560"/>
        <w:ind w:firstLineChars="200" w:startChars="0" w:start="0" w:endChars="0" w:end="0"/>
        <w:jc w:val="start"/>
        <w:rPr>
          <w:rFonts w:ascii="楷体_GB2312;楷体" w:hAnsi="楷体_GB2312;楷体" w:eastAsia="楷体_GB2312;楷体" w:hint="eastAsia"/>
          <w:bCs/>
          <w:spacing w:val="0"/>
        </w:rPr>
      </w:pPr>
      <w:r>
        <w:rPr>
          <w:rFonts w:ascii="楷体_GB2312;楷体" w:hAnsi="楷体_GB2312;楷体" w:hint="eastAsia" w:eastAsia="楷体_GB2312;楷体"/>
          <w:bCs/>
          <w:spacing w:val="0"/>
        </w:rPr>
        <w:t>十三届人民代表大会常务委员会第三十一次会议批准）</w:t>
      </w:r>
    </w:p>
    <w:p>
      <w:pPr>
        <w:pStyle w:val="Normal"/>
        <w:snapToGrid w:val="false"/>
        <w:spacing w:lineRule="exact" w:line="560"/>
        <w:jc w:val="center"/>
        <w:rPr>
          <w:rFonts w:ascii="宋体" w:hAnsi="宋体" w:eastAsia="宋体" w:cs="楷体" w:hint="eastAsia"/>
          <w:bCs/>
          <w:spacing w:val="10"/>
        </w:rPr>
      </w:pPr>
      <w:r>
        <w:rPr>
          <w:rFonts w:eastAsia="宋体" w:cs="楷体" w:hint="eastAsia" w:ascii="宋体" w:hAnsi="宋体"/>
          <w:bCs/>
          <w:spacing w:val="10"/>
        </w:rPr>
      </w:r>
    </w:p>
    <w:p>
      <w:pPr>
        <w:pStyle w:val="Normal"/>
        <w:snapToGrid w:val="false"/>
        <w:spacing w:lineRule="exact" w:line="560"/>
        <w:jc w:val="center"/>
        <w:rPr>
          <w:rFonts w:ascii="楷体_GB2312;楷体" w:hAnsi="楷体_GB2312;楷体" w:eastAsia="楷体_GB2312;楷体" w:cs="楷体" w:hint="eastAsia"/>
          <w:spacing w:val="10"/>
        </w:rPr>
      </w:pPr>
      <w:r>
        <w:rPr>
          <w:rFonts w:ascii="楷体_GB2312;楷体" w:hAnsi="楷体_GB2312;楷体" w:cs="楷体" w:hint="eastAsia" w:eastAsia="楷体_GB2312;楷体"/>
          <w:spacing w:val="10"/>
        </w:rPr>
        <w:t>目  录</w:t>
      </w:r>
    </w:p>
    <w:p>
      <w:pPr>
        <w:pStyle w:val="Normal"/>
        <w:keepNext w:val="false"/>
        <w:keepLines w:val="false"/>
        <w:pageBreakBefore w:val="false"/>
        <w:widowControl w:val="false"/>
        <w:kinsoku w:val="true"/>
        <w:bidi w:val="0"/>
        <w:spacing w:lineRule="exact" w:line="560"/>
        <w:jc w:val="start"/>
        <w:textAlignment w:val="auto"/>
        <w:rPr>
          <w:rFonts w:ascii="楷体" w:hAnsi="楷体" w:eastAsia="楷体" w:cs="楷体" w:hint="eastAsia"/>
          <w:spacing w:val="10"/>
          <w:szCs w:val="32"/>
          <w:u w:val="none"/>
        </w:rPr>
      </w:pPr>
      <w:r>
        <w:rPr>
          <w:rFonts w:eastAsia="楷体" w:cs="楷体" w:hint="eastAsia" w:ascii="楷体" w:hAnsi="楷体"/>
          <w:spacing w:val="10"/>
          <w:szCs w:val="32"/>
          <w:u w:val="none"/>
        </w:rPr>
      </w:r>
    </w:p>
    <w:p>
      <w:pPr>
        <w:pStyle w:val="Normal"/>
        <w:snapToGrid w:val="false"/>
        <w:spacing w:lineRule="exact" w:line="560"/>
        <w:ind w:firstLineChars="200" w:startChars="0" w:start="0" w:endChars="0" w:end="0"/>
        <w:rPr>
          <w:rFonts w:ascii="楷体_GB2312;楷体" w:hAnsi="楷体_GB2312;楷体" w:eastAsia="楷体_GB2312;楷体" w:cs="楷体" w:hint="eastAsia"/>
          <w:spacing w:val="10"/>
        </w:rPr>
      </w:pPr>
      <w:r>
        <w:rPr>
          <w:rFonts w:ascii="楷体_GB2312;楷体" w:hAnsi="楷体_GB2312;楷体" w:cs="楷体" w:hint="eastAsia" w:eastAsia="楷体_GB2312;楷体"/>
          <w:spacing w:val="10"/>
        </w:rPr>
        <w:t>第一章  总则</w:t>
      </w:r>
    </w:p>
    <w:p>
      <w:pPr>
        <w:pStyle w:val="Normal"/>
        <w:snapToGrid w:val="false"/>
        <w:spacing w:lineRule="exact" w:line="560"/>
        <w:ind w:firstLineChars="200" w:startChars="0" w:start="0" w:endChars="0" w:end="0"/>
        <w:rPr>
          <w:rFonts w:ascii="楷体_GB2312;楷体" w:hAnsi="楷体_GB2312;楷体" w:eastAsia="楷体_GB2312;楷体" w:cs="楷体" w:hint="eastAsia"/>
          <w:spacing w:val="10"/>
        </w:rPr>
      </w:pPr>
      <w:r>
        <w:rPr>
          <w:rFonts w:ascii="楷体_GB2312;楷体" w:hAnsi="楷体_GB2312;楷体" w:cs="楷体" w:hint="eastAsia" w:eastAsia="楷体_GB2312;楷体"/>
          <w:spacing w:val="10"/>
        </w:rPr>
        <w:t>第二章  服务设施</w:t>
      </w:r>
    </w:p>
    <w:p>
      <w:pPr>
        <w:pStyle w:val="Normal"/>
        <w:snapToGrid w:val="false"/>
        <w:spacing w:lineRule="exact" w:line="560"/>
        <w:ind w:firstLineChars="200" w:startChars="0" w:start="0" w:endChars="0" w:end="0"/>
        <w:rPr>
          <w:rFonts w:ascii="楷体_GB2312;楷体" w:hAnsi="楷体_GB2312;楷体" w:eastAsia="楷体_GB2312;楷体" w:cs="楷体" w:hint="eastAsia"/>
          <w:spacing w:val="10"/>
        </w:rPr>
      </w:pPr>
      <w:r>
        <w:rPr>
          <w:rFonts w:ascii="楷体_GB2312;楷体" w:hAnsi="楷体_GB2312;楷体" w:cs="楷体" w:hint="eastAsia" w:eastAsia="楷体_GB2312;楷体"/>
          <w:spacing w:val="10"/>
        </w:rPr>
        <w:t>第三章  服务供给</w:t>
      </w:r>
    </w:p>
    <w:p>
      <w:pPr>
        <w:pStyle w:val="Normal"/>
        <w:snapToGrid w:val="false"/>
        <w:spacing w:lineRule="exact" w:line="560"/>
        <w:ind w:firstLineChars="200" w:startChars="0" w:start="0" w:endChars="0" w:end="0"/>
        <w:rPr>
          <w:rFonts w:ascii="楷体_GB2312;楷体" w:hAnsi="楷体_GB2312;楷体" w:eastAsia="楷体_GB2312;楷体" w:cs="楷体" w:hint="eastAsia"/>
          <w:spacing w:val="10"/>
        </w:rPr>
      </w:pPr>
      <w:r>
        <w:rPr>
          <w:rFonts w:ascii="楷体_GB2312;楷体" w:hAnsi="楷体_GB2312;楷体" w:cs="楷体" w:hint="eastAsia" w:eastAsia="楷体_GB2312;楷体"/>
          <w:spacing w:val="10"/>
        </w:rPr>
        <w:t>第四章  保障激励</w:t>
      </w:r>
    </w:p>
    <w:p>
      <w:pPr>
        <w:pStyle w:val="Normal"/>
        <w:snapToGrid w:val="false"/>
        <w:spacing w:lineRule="exact" w:line="560"/>
        <w:ind w:firstLineChars="200" w:startChars="0" w:start="0" w:endChars="0" w:end="0"/>
        <w:rPr>
          <w:rFonts w:ascii="楷体_GB2312;楷体" w:hAnsi="楷体_GB2312;楷体" w:eastAsia="楷体_GB2312;楷体" w:cs="楷体" w:hint="eastAsia"/>
          <w:spacing w:val="10"/>
        </w:rPr>
      </w:pPr>
      <w:r>
        <w:rPr>
          <w:rFonts w:ascii="楷体_GB2312;楷体" w:hAnsi="楷体_GB2312;楷体" w:cs="楷体" w:hint="eastAsia" w:eastAsia="楷体_GB2312;楷体"/>
          <w:spacing w:val="10"/>
        </w:rPr>
        <w:t>第五章  监督管理</w:t>
      </w:r>
    </w:p>
    <w:p>
      <w:pPr>
        <w:pStyle w:val="Normal"/>
        <w:snapToGrid w:val="false"/>
        <w:spacing w:lineRule="exact" w:line="560"/>
        <w:ind w:firstLineChars="200" w:startChars="0" w:start="0" w:endChars="0" w:end="0"/>
        <w:rPr>
          <w:rFonts w:ascii="楷体_GB2312;楷体" w:hAnsi="楷体_GB2312;楷体" w:eastAsia="楷体_GB2312;楷体" w:cs="楷体" w:hint="eastAsia"/>
          <w:spacing w:val="10"/>
        </w:rPr>
      </w:pPr>
      <w:r>
        <w:rPr>
          <w:rFonts w:ascii="楷体_GB2312;楷体" w:hAnsi="楷体_GB2312;楷体" w:cs="楷体" w:hint="eastAsia" w:eastAsia="楷体_GB2312;楷体"/>
          <w:spacing w:val="10"/>
        </w:rPr>
        <w:t>第六章  法律责任</w:t>
      </w:r>
    </w:p>
    <w:p>
      <w:pPr>
        <w:pStyle w:val="Normal"/>
        <w:snapToGrid w:val="false"/>
        <w:spacing w:lineRule="exact" w:line="560"/>
        <w:ind w:firstLineChars="200" w:startChars="0" w:start="0" w:endChars="0" w:end="0"/>
        <w:rPr>
          <w:rFonts w:ascii="楷体_GB2312;楷体" w:hAnsi="楷体_GB2312;楷体" w:eastAsia="楷体_GB2312;楷体" w:cs="楷体" w:hint="eastAsia"/>
          <w:spacing w:val="10"/>
        </w:rPr>
      </w:pPr>
      <w:r>
        <w:rPr>
          <w:rFonts w:ascii="楷体_GB2312;楷体" w:hAnsi="楷体_GB2312;楷体" w:cs="楷体" w:hint="eastAsia" w:eastAsia="楷体_GB2312;楷体"/>
          <w:spacing w:val="10"/>
        </w:rPr>
        <w:t>第七章  附则</w:t>
      </w:r>
    </w:p>
    <w:p>
      <w:pPr>
        <w:pStyle w:val="Normal"/>
        <w:snapToGrid w:val="false"/>
        <w:spacing w:lineRule="exact" w:line="560"/>
        <w:ind w:firstLineChars="0" w:firstLine="0" w:startChars="309" w:endChars="0" w:end="0"/>
        <w:rPr>
          <w:rFonts w:ascii="楷体_GB2312;楷体" w:hAnsi="楷体_GB2312;楷体" w:eastAsia="楷体_GB2312;楷体" w:cs="楷体" w:hint="eastAsia"/>
          <w:spacing w:val="10"/>
          <w:sz w:val="30"/>
          <w:szCs w:val="30"/>
        </w:rPr>
      </w:pPr>
      <w:r>
        <w:rPr>
          <w:rFonts w:eastAsia="楷体_GB2312;楷体" w:cs="楷体" w:hint="eastAsia" w:ascii="楷体_GB2312;楷体" w:hAnsi="楷体_GB2312;楷体"/>
          <w:spacing w:val="10"/>
          <w:sz w:val="30"/>
          <w:szCs w:val="30"/>
        </w:rPr>
      </w:r>
    </w:p>
    <w:p>
      <w:pPr>
        <w:pStyle w:val="Normal"/>
        <w:widowControl/>
        <w:snapToGrid w:val="false"/>
        <w:spacing w:lineRule="exact" w:line="560"/>
        <w:jc w:val="center"/>
        <w:rPr>
          <w:rFonts w:eastAsia="黑体" w:cs="黑体" w:hint="eastAsia"/>
          <w:bCs/>
          <w:spacing w:val="10"/>
          <w:kern w:val="0"/>
        </w:rPr>
      </w:pPr>
      <w:r>
        <w:rPr>
          <w:rFonts w:cs="黑体" w:hint="eastAsia" w:eastAsia="黑体"/>
          <w:bCs/>
          <w:spacing w:val="10"/>
          <w:kern w:val="0"/>
        </w:rPr>
        <w:t>第一章  总则</w:t>
      </w:r>
    </w:p>
    <w:p>
      <w:pPr>
        <w:pStyle w:val="Normal"/>
        <w:snapToGrid w:val="false"/>
        <w:spacing w:lineRule="exact" w:line="560"/>
        <w:ind w:firstLineChars="200" w:startChars="0" w:start="0" w:endChars="0" w:end="0"/>
        <w:rPr>
          <w:rFonts w:eastAsia="黑体" w:cs="黑体" w:hint="eastAsia"/>
          <w:bCs/>
          <w:spacing w:val="10"/>
          <w:kern w:val="0"/>
        </w:rPr>
      </w:pPr>
      <w:r>
        <w:rPr>
          <w:rFonts w:eastAsia="黑体" w:cs="黑体" w:hint="eastAsia"/>
          <w:bCs/>
          <w:spacing w:val="10"/>
          <w:kern w:val="0"/>
        </w:rPr>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pacing w:val="10"/>
        </w:rPr>
      </w:pPr>
      <w:r>
        <w:rPr>
          <w:rFonts w:ascii="黑体" w:hAnsi="黑体" w:cs="黑体" w:hint="eastAsia" w:eastAsia="黑体"/>
          <w:szCs w:val="32"/>
          <w:u w:val="none"/>
        </w:rPr>
        <w:t xml:space="preserve">第一条  </w:t>
      </w:r>
      <w:r>
        <w:rPr>
          <w:spacing w:val="10"/>
        </w:rPr>
        <w:t>为了规范居家养老服务工作，满足</w:t>
      </w:r>
      <w:r>
        <w:rPr>
          <w:rFonts w:hint="eastAsia"/>
          <w:spacing w:val="10"/>
        </w:rPr>
        <w:t>居家</w:t>
      </w:r>
      <w:r>
        <w:rPr>
          <w:spacing w:val="10"/>
        </w:rPr>
        <w:t>老年人</w:t>
      </w:r>
      <w:r>
        <w:rPr>
          <w:rFonts w:hint="eastAsia"/>
          <w:spacing w:val="10"/>
        </w:rPr>
        <w:t>的</w:t>
      </w:r>
      <w:r>
        <w:rPr>
          <w:spacing w:val="10"/>
        </w:rPr>
        <w:t>养老</w:t>
      </w:r>
      <w:r>
        <w:rPr>
          <w:rFonts w:hint="eastAsia"/>
          <w:spacing w:val="10"/>
        </w:rPr>
        <w:t>服务</w:t>
      </w:r>
      <w:r>
        <w:rPr>
          <w:spacing w:val="10"/>
        </w:rPr>
        <w:t>需求，提高老年人生活质量，根据《中华人民共和国老年人权益保障法》等有关法律、法规，结合本市实际，制定本条例。</w:t>
      </w:r>
      <w:r>
        <mc:AlternateContent>
          <mc:Choice Requires="wps">
            <w:drawing>
              <wp:anchor distT="0" distB="0" distL="113665" distR="113665" simplePos="0" relativeHeight="2" behindDoc="0" locked="0" layoutInCell="0" allowOverlap="1">
                <wp:simplePos x="0" y="0"/>
                <wp:positionH relativeFrom="margin">
                  <wp:posOffset>4680585</wp:posOffset>
                </wp:positionH>
                <wp:positionV relativeFrom="paragraph">
                  <wp:posOffset>957580</wp:posOffset>
                </wp:positionV>
                <wp:extent cx="881380" cy="332740"/>
                <wp:effectExtent l="0" t="0" r="0" b="0"/>
                <wp:wrapNone/>
                <wp:docPr id="1" name="Frame1"/>
                <a:graphic xmlns:a="http://schemas.openxmlformats.org/drawingml/2006/main">
                  <a:graphicData uri="http://schemas.microsoft.com/office/word/2010/wordprocessingShape">
                    <wps:wsp>
                      <wps:cNvSpPr txBox="1"/>
                      <wps:spPr>
                        <a:xfrm>
                          <a:off x="0" y="0"/>
                          <a:ext cx="881380" cy="33274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t>1</w:t>
                            </w:r>
                            <w:r>
                              <w:rPr>
                                <w:rStyle w:val="PageNumber"/>
                                <w:rFonts w:hint="eastAsia"/>
                              </w:rPr>
                              <w:t xml:space="preserve"> </w:t>
                            </w:r>
                            <w:r>
                              <w:rPr>
                                <w:rStyle w:val="PageNumber"/>
                                <w:rFonts w:hint="eastAsia"/>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69.4pt;height:26.2pt;mso-wrap-distance-left:8.95pt;mso-wrap-distance-right:8.95pt;mso-wrap-distance-top:0pt;mso-wrap-distance-bottom:0pt;margin-top:75.4pt;mso-position-vertical-relative:text;margin-left:368.55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t>1</w:t>
                      </w:r>
                      <w:r>
                        <w:rPr>
                          <w:rStyle w:val="PageNumber"/>
                          <w:rFonts w:hint="eastAsia"/>
                        </w:rPr>
                        <w:t xml:space="preserve"> </w:t>
                      </w:r>
                      <w:r>
                        <w:rPr>
                          <w:rStyle w:val="PageNumber"/>
                          <w:rFonts w:hint="eastAsia"/>
                          <w:sz w:val="28"/>
                          <w:szCs w:val="28"/>
                        </w:rPr>
                        <w:t xml:space="preserve">— </w:t>
                      </w:r>
                    </w:p>
                  </w:txbxContent>
                </v:textbox>
                <w10:wrap type="none"/>
              </v:rect>
            </w:pict>
          </mc:Fallback>
        </mc:AlternateConten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第二条  </w:t>
      </w:r>
      <w:r>
        <w:rPr>
          <w:szCs w:val="32"/>
          <w:u w:val="none"/>
        </w:rPr>
        <w:t>本市行政区域内的居家养老服务及其监督管理工作，适用本条例。</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本条例所称居家养老服务，是指以家庭为基础，以村（</w:t>
      </w:r>
      <w:r>
        <w:rPr>
          <w:rFonts w:hint="eastAsia"/>
          <w:szCs w:val="32"/>
          <w:u w:val="none"/>
        </w:rPr>
        <w:t>社区</w:t>
      </w:r>
      <w:r>
        <w:rPr>
          <w:szCs w:val="32"/>
          <w:u w:val="none"/>
        </w:rPr>
        <w:t>）为依托，以社会保障制度为支撑，由政府基本公共服务、企</w:t>
      </w:r>
      <w:r>
        <w:rPr>
          <w:rFonts w:hint="eastAsia"/>
          <w:szCs w:val="32"/>
          <w:u w:val="none"/>
        </w:rPr>
        <w:t>业</w:t>
      </w:r>
      <w:r>
        <w:rPr>
          <w:szCs w:val="32"/>
          <w:u w:val="none"/>
        </w:rPr>
        <w:t>事业单位和社会组织</w:t>
      </w:r>
      <w:r>
        <w:rPr>
          <w:rFonts w:hint="eastAsia"/>
          <w:szCs w:val="32"/>
          <w:u w:val="none"/>
        </w:rPr>
        <w:t>社会</w:t>
      </w:r>
      <w:r>
        <w:rPr>
          <w:szCs w:val="32"/>
          <w:u w:val="none"/>
        </w:rPr>
        <w:t>化服务、基层群众自治性组织和志愿者公益服务共同组成，满足居家老年人在生活照料、</w:t>
      </w:r>
      <w:r>
        <w:rPr>
          <w:rFonts w:hint="eastAsia"/>
          <w:szCs w:val="32"/>
          <w:u w:val="none"/>
        </w:rPr>
        <w:t>应</w:t>
      </w:r>
      <w:r>
        <w:rPr>
          <w:szCs w:val="32"/>
          <w:u w:val="none"/>
        </w:rPr>
        <w:t>急救援、医疗护理、精神慰藉等方面</w:t>
      </w:r>
      <w:r>
        <w:rPr>
          <w:rFonts w:hint="eastAsia"/>
          <w:szCs w:val="32"/>
          <w:u w:val="none"/>
        </w:rPr>
        <w:t>需求的</w:t>
      </w:r>
      <w:r>
        <w:rPr>
          <w:szCs w:val="32"/>
          <w:u w:val="none"/>
        </w:rPr>
        <w:t>服务</w:t>
      </w:r>
      <w:r>
        <w:rPr>
          <w:rFonts w:hint="eastAsia"/>
          <w:szCs w:val="32"/>
          <w:u w:val="none"/>
        </w:rPr>
        <w:t>。</w:t>
      </w:r>
    </w:p>
    <w:p>
      <w:pPr>
        <w:pStyle w:val="Normal"/>
        <w:keepNext w:val="false"/>
        <w:keepLines w:val="false"/>
        <w:pageBreakBefore w:val="false"/>
        <w:widowControl w:val="false"/>
        <w:kinsoku w:val="true"/>
        <w:bidi w:val="0"/>
        <w:snapToGrid w:val="false"/>
        <w:spacing w:lineRule="exact" w:line="560"/>
        <w:ind w:firstLineChars="200" w:startChars="0" w:start="0" w:endChars="0" w:end="0"/>
        <w:textAlignment w:val="auto"/>
        <w:rPr>
          <w:rFonts w:ascii="仿宋_GB2312;仿宋" w:hAnsi="仿宋_GB2312;仿宋" w:hint="eastAsia"/>
          <w:szCs w:val="32"/>
          <w:u w:val="none"/>
          <w:lang w:val="zh-CN"/>
        </w:rPr>
      </w:pPr>
      <w:r>
        <w:rPr>
          <w:rFonts w:ascii="黑体" w:hAnsi="黑体" w:cs="黑体" w:hint="eastAsia" w:eastAsia="黑体"/>
          <w:szCs w:val="32"/>
          <w:u w:val="none"/>
          <w:lang w:val="zh-CN"/>
        </w:rPr>
        <w:t>第三条</w:t>
      </w:r>
      <w:r>
        <w:rPr>
          <w:rFonts w:ascii="黑体" w:hAnsi="黑体" w:cs="黑体" w:hint="eastAsia" w:eastAsia="黑体"/>
          <w:szCs w:val="32"/>
          <w:u w:val="none"/>
        </w:rPr>
        <w:t xml:space="preserve">  </w:t>
      </w:r>
      <w:r>
        <w:rPr>
          <w:rFonts w:ascii="仿宋_GB2312;仿宋" w:hAnsi="仿宋_GB2312;仿宋" w:hint="eastAsia"/>
          <w:szCs w:val="32"/>
          <w:u w:val="none"/>
          <w:lang w:val="zh-CN"/>
        </w:rPr>
        <w:t>居家养老服务应当以老年人的服务需求为导向，坚持政府主导、家庭尽责、社会参与、市场运作、保障基本、适度普惠、就近便利、科技支撑的原则。</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第四条  </w:t>
      </w:r>
      <w:r>
        <w:rPr>
          <w:szCs w:val="32"/>
          <w:u w:val="none"/>
        </w:rPr>
        <w:t>老年人子女及其他依法负有赡养、扶养义务的人，应当履行对老年人的经济供养、生活照料、</w:t>
      </w:r>
      <w:r>
        <w:rPr>
          <w:rFonts w:hint="eastAsia"/>
          <w:szCs w:val="32"/>
          <w:u w:val="none"/>
        </w:rPr>
        <w:t>健康护理、</w:t>
      </w:r>
      <w:r>
        <w:rPr>
          <w:szCs w:val="32"/>
          <w:u w:val="none"/>
        </w:rPr>
        <w:t>精神慰藉</w:t>
      </w:r>
      <w:r>
        <w:rPr>
          <w:rFonts w:hint="eastAsia"/>
          <w:szCs w:val="32"/>
          <w:u w:val="none"/>
        </w:rPr>
        <w:t>等</w:t>
      </w:r>
      <w:r>
        <w:rPr>
          <w:szCs w:val="32"/>
          <w:u w:val="none"/>
        </w:rPr>
        <w:t>义务</w:t>
      </w:r>
      <w:r>
        <w:rPr>
          <w:rFonts w:hint="eastAsia"/>
          <w:szCs w:val="32"/>
          <w:u w:val="none"/>
        </w:rPr>
        <w:t>，尊重、关心老年人</w:t>
      </w:r>
      <w:r>
        <w:rPr>
          <w:szCs w:val="32"/>
          <w:u w:val="none"/>
        </w:rPr>
        <w:t>。</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rFonts w:hint="eastAsia"/>
          <w:szCs w:val="32"/>
          <w:u w:val="none"/>
        </w:rPr>
      </w:pPr>
      <w:r>
        <w:rPr>
          <w:rFonts w:hint="eastAsia"/>
          <w:szCs w:val="32"/>
          <w:u w:val="none"/>
        </w:rPr>
        <w:t>老年人家庭需要</w:t>
      </w:r>
      <w:r>
        <w:rPr>
          <w:rFonts w:ascii="仿宋_GB2312;仿宋" w:hAnsi="仿宋_GB2312;仿宋" w:cs="Times New Roman" w:hint="eastAsia"/>
          <w:sz w:val="32"/>
          <w:szCs w:val="32"/>
          <w:u w:val="none"/>
        </w:rPr>
        <w:t>由社会提供</w:t>
      </w:r>
      <w:r>
        <w:rPr>
          <w:rFonts w:hint="eastAsia"/>
          <w:szCs w:val="32"/>
          <w:u w:val="none"/>
        </w:rPr>
        <w:t>有偿服务的，根据服务项目的性质和数量承担相应费用。</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倡导老年人建立文明、健康、积极、合理的养老消费方式。</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u w:val="none"/>
        </w:rPr>
      </w:pPr>
      <w:r>
        <w:rPr>
          <w:szCs w:val="32"/>
          <w:u w:val="none"/>
        </w:rPr>
        <w:t>倡导家庭成员与老年人共同生活或者就近居住。</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rFonts w:hint="eastAsia"/>
          <w:szCs w:val="32"/>
          <w:u w:val="none"/>
        </w:rPr>
      </w:pPr>
      <w:r>
        <w:rPr>
          <w:rFonts w:ascii="黑体" w:hAnsi="黑体" w:cs="黑体" w:hint="eastAsia" w:eastAsia="黑体"/>
          <w:szCs w:val="32"/>
          <w:u w:val="none"/>
        </w:rPr>
        <w:t xml:space="preserve">第五条  </w:t>
      </w:r>
      <w:r>
        <w:rPr>
          <w:szCs w:val="32"/>
          <w:u w:val="none"/>
        </w:rPr>
        <w:t>市、县（市、区）人民政府领导本行政区域内的居家养老服务工作，</w:t>
      </w:r>
      <w:r>
        <w:rPr>
          <w:rFonts w:hint="eastAsia"/>
          <w:szCs w:val="32"/>
          <w:u w:val="none"/>
        </w:rPr>
        <w:t>应当履行下列职责：</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hint="eastAsia"/>
          <w:szCs w:val="32"/>
          <w:u w:val="none"/>
        </w:rPr>
        <w:t>（一）</w:t>
      </w:r>
      <w:r>
        <w:rPr>
          <w:szCs w:val="32"/>
          <w:u w:val="none"/>
        </w:rPr>
        <w:t>将居家养老服务工作纳入国民经济和社会发展规划；</w:t>
      </w:r>
      <w:r>
        <mc:AlternateContent>
          <mc:Choice Requires="wps">
            <w:drawing>
              <wp:anchor distT="0" distB="0" distL="113665" distR="113665" simplePos="0" relativeHeight="3" behindDoc="0" locked="0" layoutInCell="0" allowOverlap="1">
                <wp:simplePos x="0" y="0"/>
                <wp:positionH relativeFrom="margin">
                  <wp:posOffset>177800</wp:posOffset>
                </wp:positionH>
                <wp:positionV relativeFrom="paragraph">
                  <wp:posOffset>629285</wp:posOffset>
                </wp:positionV>
                <wp:extent cx="881380" cy="332740"/>
                <wp:effectExtent l="0" t="0" r="0" b="0"/>
                <wp:wrapNone/>
                <wp:docPr id="2" name="Frame2"/>
                <a:graphic xmlns:a="http://schemas.openxmlformats.org/drawingml/2006/main">
                  <a:graphicData uri="http://schemas.microsoft.com/office/word/2010/wordprocessingShape">
                    <wps:wsp>
                      <wps:cNvSpPr txBox="1"/>
                      <wps:spPr>
                        <a:xfrm>
                          <a:off x="0" y="0"/>
                          <a:ext cx="881380" cy="33274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t>2</w:t>
                            </w:r>
                            <w:r>
                              <w:rPr>
                                <w:rStyle w:val="PageNumber"/>
                                <w:rFonts w:hint="eastAsia"/>
                              </w:rPr>
                              <w:t xml:space="preserve"> </w:t>
                            </w:r>
                            <w:r>
                              <w:rPr>
                                <w:rStyle w:val="PageNumber"/>
                                <w:rFonts w:hint="eastAsia"/>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69.4pt;height:26.2pt;mso-wrap-distance-left:8.95pt;mso-wrap-distance-right:8.95pt;mso-wrap-distance-top:0pt;mso-wrap-distance-bottom:0pt;margin-top:49.55pt;mso-position-vertical-relative:text;margin-left:14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t>2</w:t>
                      </w:r>
                      <w:r>
                        <w:rPr>
                          <w:rStyle w:val="PageNumber"/>
                          <w:rFonts w:hint="eastAsia"/>
                        </w:rPr>
                        <w:t xml:space="preserve"> </w:t>
                      </w:r>
                      <w:r>
                        <w:rPr>
                          <w:rStyle w:val="PageNumber"/>
                          <w:rFonts w:hint="eastAsia"/>
                          <w:sz w:val="28"/>
                          <w:szCs w:val="28"/>
                        </w:rPr>
                        <w:t xml:space="preserve">— </w:t>
                      </w:r>
                    </w:p>
                  </w:txbxContent>
                </v:textbox>
                <w10:wrap type="none"/>
              </v:rect>
            </w:pict>
          </mc:Fallback>
        </mc:AlternateConten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szCs w:val="32"/>
          <w:u w:val="none"/>
        </w:rPr>
      </w:pPr>
      <w:r>
        <w:rPr>
          <w:szCs w:val="32"/>
          <w:u w:val="none"/>
        </w:rPr>
        <w:t>建立与人口老龄化和经济社会发展水平相适应的财政保障机制；</w:t>
      </w:r>
    </w:p>
    <w:p>
      <w:pPr>
        <w:pStyle w:val="Normal"/>
        <w:keepNext w:val="false"/>
        <w:keepLines w:val="false"/>
        <w:pageBreakBefore w:val="false"/>
        <w:widowControl w:val="false"/>
        <w:numPr>
          <w:ilvl w:val="0"/>
          <w:numId w:val="2"/>
        </w:numPr>
        <w:kinsoku w:val="true"/>
        <w:bidi w:val="0"/>
        <w:spacing w:lineRule="exact" w:line="560"/>
        <w:ind w:firstLineChars="200" w:startChars="0" w:start="0" w:endChars="0" w:end="0"/>
        <w:textAlignment w:val="auto"/>
        <w:rPr>
          <w:szCs w:val="32"/>
          <w:u w:val="none"/>
        </w:rPr>
      </w:pPr>
      <w:r>
        <w:rPr>
          <w:szCs w:val="32"/>
          <w:u w:val="none"/>
        </w:rPr>
        <w:t>完善与居家养老服务相关的社会保障制度；</w:t>
      </w:r>
    </w:p>
    <w:p>
      <w:pPr>
        <w:pStyle w:val="Normal"/>
        <w:keepNext w:val="false"/>
        <w:keepLines w:val="false"/>
        <w:pageBreakBefore w:val="false"/>
        <w:widowControl w:val="false"/>
        <w:numPr>
          <w:ilvl w:val="0"/>
          <w:numId w:val="2"/>
        </w:numPr>
        <w:kinsoku w:val="true"/>
        <w:bidi w:val="0"/>
        <w:spacing w:lineRule="exact" w:line="560"/>
        <w:ind w:firstLineChars="200" w:startChars="0" w:start="0" w:endChars="0" w:end="0"/>
        <w:textAlignment w:val="auto"/>
        <w:rPr>
          <w:szCs w:val="32"/>
          <w:u w:val="none"/>
        </w:rPr>
      </w:pPr>
      <w:r>
        <w:rPr>
          <w:rFonts w:hint="eastAsia"/>
          <w:szCs w:val="32"/>
          <w:u w:val="none"/>
        </w:rPr>
        <w:t>建立养老服务工作联席会议机制，</w:t>
      </w:r>
      <w:r>
        <w:rPr>
          <w:szCs w:val="32"/>
          <w:u w:val="none"/>
        </w:rPr>
        <w:t>统筹协调居家养老服务工作，明确各相关部门的职责、任务；</w:t>
      </w:r>
    </w:p>
    <w:p>
      <w:pPr>
        <w:pStyle w:val="Normal"/>
        <w:keepNext w:val="false"/>
        <w:keepLines w:val="false"/>
        <w:pageBreakBefore w:val="false"/>
        <w:widowControl w:val="false"/>
        <w:numPr>
          <w:ilvl w:val="0"/>
          <w:numId w:val="2"/>
        </w:numPr>
        <w:kinsoku w:val="true"/>
        <w:bidi w:val="0"/>
        <w:spacing w:lineRule="exact" w:line="560"/>
        <w:ind w:firstLineChars="200" w:startChars="0" w:start="0" w:endChars="0" w:end="0"/>
        <w:textAlignment w:val="auto"/>
        <w:rPr>
          <w:szCs w:val="32"/>
          <w:u w:val="none"/>
        </w:rPr>
      </w:pPr>
      <w:r>
        <w:rPr>
          <w:szCs w:val="32"/>
          <w:u w:val="none"/>
        </w:rPr>
        <w:t>培育居家养老服务主体，制定扶持政策，引导</w:t>
      </w:r>
      <w:r>
        <w:rPr>
          <w:rFonts w:hint="eastAsia"/>
          <w:szCs w:val="32"/>
          <w:u w:val="none"/>
        </w:rPr>
        <w:t>、</w:t>
      </w:r>
      <w:r>
        <w:rPr>
          <w:szCs w:val="32"/>
          <w:u w:val="none"/>
        </w:rPr>
        <w:t>支持社会力量参与居家养老服务。</w:t>
      </w:r>
    </w:p>
    <w:p>
      <w:pPr>
        <w:pStyle w:val="Style12"/>
        <w:keepNext w:val="false"/>
        <w:keepLines w:val="false"/>
        <w:pageBreakBefore w:val="false"/>
        <w:widowControl w:val="false"/>
        <w:kinsoku w:val="true"/>
        <w:bidi w:val="0"/>
        <w:spacing w:lineRule="exact" w:line="560"/>
        <w:textAlignment w:val="auto"/>
        <w:rPr>
          <w:rFonts w:eastAsia="仿宋_GB2312;仿宋"/>
          <w:szCs w:val="32"/>
          <w:u w:val="none"/>
        </w:rPr>
      </w:pPr>
      <w:r>
        <w:rPr>
          <w:rFonts w:ascii="黑体" w:hAnsi="黑体" w:cs="黑体" w:hint="eastAsia" w:eastAsia="黑体"/>
          <w:szCs w:val="32"/>
          <w:u w:val="none"/>
        </w:rPr>
        <w:t xml:space="preserve">第六条  </w:t>
      </w:r>
      <w:r>
        <w:rPr>
          <w:rFonts w:eastAsia="仿宋_GB2312;仿宋"/>
          <w:szCs w:val="32"/>
          <w:u w:val="none"/>
        </w:rPr>
        <w:t>民政部门是本行政区域内居家养老服务工作的主管部门，负责居家养老服务业务指导、</w:t>
      </w:r>
      <w:r>
        <w:rPr>
          <w:rFonts w:hint="eastAsia" w:eastAsia="仿宋_GB2312;仿宋"/>
          <w:szCs w:val="32"/>
          <w:u w:val="none"/>
        </w:rPr>
        <w:t>培训、</w:t>
      </w:r>
      <w:r>
        <w:rPr>
          <w:rFonts w:eastAsia="仿宋_GB2312;仿宋"/>
          <w:szCs w:val="32"/>
          <w:u w:val="none"/>
        </w:rPr>
        <w:t>管理和监督工作。</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卫生健康、医疗保障部门负责本行政区域内居家老年人健康</w:t>
      </w:r>
      <w:r>
        <w:rPr>
          <w:rFonts w:hint="eastAsia"/>
          <w:szCs w:val="32"/>
          <w:u w:val="none"/>
        </w:rPr>
        <w:t>管理、医疗</w:t>
      </w:r>
      <w:r>
        <w:rPr>
          <w:szCs w:val="32"/>
          <w:u w:val="none"/>
        </w:rPr>
        <w:t>卫生与保障工作，</w:t>
      </w:r>
      <w:r>
        <w:rPr>
          <w:rFonts w:hint="eastAsia"/>
          <w:szCs w:val="32"/>
          <w:u w:val="none"/>
        </w:rPr>
        <w:t>会同民政等部门</w:t>
      </w:r>
      <w:r>
        <w:rPr>
          <w:szCs w:val="32"/>
          <w:u w:val="none"/>
        </w:rPr>
        <w:t>推进医养结合。</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发展</w:t>
      </w:r>
      <w:r>
        <w:rPr>
          <w:rFonts w:hint="eastAsia"/>
          <w:szCs w:val="32"/>
          <w:u w:val="none"/>
        </w:rPr>
        <w:t>和</w:t>
      </w:r>
      <w:r>
        <w:rPr>
          <w:szCs w:val="32"/>
          <w:u w:val="none"/>
        </w:rPr>
        <w:t>改革、财政、人力资源和社会保障、自然资源和规划、农业农村、住房和城乡建设、国有资产管理、</w:t>
      </w:r>
      <w:r>
        <w:rPr>
          <w:rFonts w:hint="eastAsia"/>
          <w:szCs w:val="32"/>
          <w:u w:val="none"/>
        </w:rPr>
        <w:t>大数据发展管理、文化和旅游、应急管理、教育、公安、</w:t>
      </w:r>
      <w:r>
        <w:rPr>
          <w:szCs w:val="32"/>
          <w:u w:val="none"/>
        </w:rPr>
        <w:t>市场监督管理、综合行政执法</w:t>
      </w:r>
      <w:r>
        <w:rPr>
          <w:rFonts w:hint="eastAsia"/>
          <w:szCs w:val="32"/>
          <w:u w:val="none"/>
        </w:rPr>
        <w:t>、消防救援</w:t>
      </w:r>
      <w:r>
        <w:rPr>
          <w:szCs w:val="32"/>
          <w:u w:val="none"/>
        </w:rPr>
        <w:t>等部门，应当按照职责分工做好居家养老服务相关工作。</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工会、共青团、妇联、残联、红十字会、计划生育协会、老年人协会、慈善组织等团体和组织根据职责或者章程参与居家养老服务工作。</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第七条  </w:t>
      </w:r>
      <w:r>
        <w:rPr>
          <w:szCs w:val="32"/>
          <w:u w:val="none"/>
        </w:rPr>
        <w:t>乡（镇）人民政府、街道办事处</w:t>
      </w:r>
      <w:r>
        <w:rPr>
          <w:rFonts w:hint="eastAsia"/>
          <w:szCs w:val="32"/>
          <w:u w:val="none"/>
        </w:rPr>
        <w:t>应当</w:t>
      </w:r>
      <w:r>
        <w:rPr>
          <w:szCs w:val="32"/>
          <w:u w:val="none"/>
        </w:rPr>
        <w:t>履行下列职责：</w:t>
      </w:r>
      <w:r>
        <mc:AlternateContent>
          <mc:Choice Requires="wps">
            <w:drawing>
              <wp:anchor distT="0" distB="0" distL="113665" distR="113665" simplePos="0" relativeHeight="4" behindDoc="0" locked="0" layoutInCell="0" allowOverlap="1">
                <wp:simplePos x="0" y="0"/>
                <wp:positionH relativeFrom="margin">
                  <wp:posOffset>4673600</wp:posOffset>
                </wp:positionH>
                <wp:positionV relativeFrom="paragraph">
                  <wp:posOffset>866775</wp:posOffset>
                </wp:positionV>
                <wp:extent cx="881380" cy="332740"/>
                <wp:effectExtent l="0" t="0" r="0" b="0"/>
                <wp:wrapNone/>
                <wp:docPr id="3" name="Frame3"/>
                <a:graphic xmlns:a="http://schemas.openxmlformats.org/drawingml/2006/main">
                  <a:graphicData uri="http://schemas.microsoft.com/office/word/2010/wordprocessingShape">
                    <wps:wsp>
                      <wps:cNvSpPr txBox="1"/>
                      <wps:spPr>
                        <a:xfrm>
                          <a:off x="0" y="0"/>
                          <a:ext cx="881380" cy="33274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t>3</w:t>
                            </w:r>
                            <w:r>
                              <w:rPr>
                                <w:rStyle w:val="PageNumber"/>
                                <w:rFonts w:hint="eastAsia"/>
                              </w:rPr>
                              <w:t xml:space="preserve"> </w:t>
                            </w:r>
                            <w:r>
                              <w:rPr>
                                <w:rStyle w:val="PageNumber"/>
                                <w:rFonts w:hint="eastAsia"/>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69.4pt;height:26.2pt;mso-wrap-distance-left:8.95pt;mso-wrap-distance-right:8.95pt;mso-wrap-distance-top:0pt;mso-wrap-distance-bottom:0pt;margin-top:68.25pt;mso-position-vertical-relative:text;margin-left:368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t>3</w:t>
                      </w:r>
                      <w:r>
                        <w:rPr>
                          <w:rStyle w:val="PageNumber"/>
                          <w:rFonts w:hint="eastAsia"/>
                        </w:rPr>
                        <w:t xml:space="preserve"> </w:t>
                      </w:r>
                      <w:r>
                        <w:rPr>
                          <w:rStyle w:val="PageNumber"/>
                          <w:rFonts w:hint="eastAsia"/>
                          <w:sz w:val="28"/>
                          <w:szCs w:val="28"/>
                        </w:rPr>
                        <w:t xml:space="preserve">— </w:t>
                      </w:r>
                    </w:p>
                  </w:txbxContent>
                </v:textbox>
                <w10:wrap type="none"/>
              </v:rect>
            </w:pict>
          </mc:Fallback>
        </mc:AlternateContent>
      </w:r>
    </w:p>
    <w:p>
      <w:pPr>
        <w:pStyle w:val="Normal"/>
        <w:keepNext w:val="false"/>
        <w:keepLines w:val="false"/>
        <w:pageBreakBefore w:val="false"/>
        <w:widowControl w:val="false"/>
        <w:numPr>
          <w:ilvl w:val="0"/>
          <w:numId w:val="3"/>
        </w:numPr>
        <w:tabs>
          <w:tab w:val="clear" w:pos="420"/>
          <w:tab w:val="left" w:pos="0" w:leader="none"/>
        </w:tabs>
        <w:kinsoku w:val="true"/>
        <w:bidi w:val="0"/>
        <w:spacing w:lineRule="exact" w:line="560"/>
        <w:ind w:firstLine="640" w:start="-10" w:end="0"/>
        <w:textAlignment w:val="auto"/>
        <w:rPr>
          <w:szCs w:val="32"/>
          <w:u w:val="none"/>
        </w:rPr>
      </w:pPr>
      <w:r>
        <w:rPr>
          <w:szCs w:val="32"/>
          <w:u w:val="none"/>
        </w:rPr>
        <w:t>组织实施辖区内居家养老服务工作；</w:t>
      </w:r>
    </w:p>
    <w:p>
      <w:pPr>
        <w:pStyle w:val="Normal"/>
        <w:keepNext w:val="false"/>
        <w:keepLines w:val="false"/>
        <w:pageBreakBefore w:val="false"/>
        <w:widowControl w:val="false"/>
        <w:numPr>
          <w:ilvl w:val="0"/>
          <w:numId w:val="3"/>
        </w:numPr>
        <w:tabs>
          <w:tab w:val="clear" w:pos="420"/>
          <w:tab w:val="left" w:pos="0" w:leader="none"/>
        </w:tabs>
        <w:kinsoku w:val="true"/>
        <w:bidi w:val="0"/>
        <w:spacing w:lineRule="exact" w:line="560"/>
        <w:ind w:firstLine="640" w:start="-10" w:end="0"/>
        <w:textAlignment w:val="auto"/>
        <w:rPr>
          <w:szCs w:val="32"/>
          <w:u w:val="none"/>
        </w:rPr>
      </w:pPr>
      <w:r>
        <w:rPr>
          <w:szCs w:val="32"/>
          <w:u w:val="none"/>
        </w:rPr>
        <w:t>指导村（居）民委员会开展居家养老服务工作；</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u w:val="none"/>
        </w:rPr>
      </w:pPr>
      <w:r>
        <w:rPr>
          <w:szCs w:val="32"/>
          <w:u w:val="none"/>
        </w:rPr>
        <w:t>（三）协助有关部门做好居家养老服务监督管理工作；</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（四）完善居家养老服务设施，统筹资源，推进“十五分钟幸福生活圈”建设；</w:t>
      </w:r>
    </w:p>
    <w:p>
      <w:pPr>
        <w:pStyle w:val="Style12"/>
        <w:keepNext w:val="false"/>
        <w:keepLines w:val="false"/>
        <w:pageBreakBefore w:val="false"/>
        <w:widowControl w:val="false"/>
        <w:kinsoku w:val="true"/>
        <w:bidi w:val="0"/>
        <w:spacing w:lineRule="exact" w:line="560"/>
        <w:textAlignment w:val="auto"/>
        <w:rPr>
          <w:rFonts w:eastAsia="仿宋_GB2312;仿宋"/>
          <w:szCs w:val="32"/>
          <w:u w:val="none"/>
        </w:rPr>
      </w:pPr>
      <w:r>
        <w:rPr>
          <w:rFonts w:eastAsia="仿宋_GB2312;仿宋"/>
          <w:szCs w:val="32"/>
          <w:u w:val="none"/>
        </w:rPr>
        <w:t>（五）引导和支持企</w:t>
      </w:r>
      <w:r>
        <w:rPr>
          <w:rFonts w:hint="eastAsia" w:eastAsia="仿宋_GB2312;仿宋"/>
          <w:szCs w:val="32"/>
          <w:u w:val="none"/>
        </w:rPr>
        <w:t>业</w:t>
      </w:r>
      <w:r>
        <w:rPr>
          <w:rFonts w:eastAsia="仿宋_GB2312;仿宋"/>
          <w:szCs w:val="32"/>
          <w:u w:val="none"/>
        </w:rPr>
        <w:t>事业单位、社会组织以及个人参与居家养老服务工作；</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（六）市、县（市、区）人民政府规定的其他职责。</w:t>
      </w:r>
    </w:p>
    <w:p>
      <w:pPr>
        <w:pStyle w:val="Style12"/>
        <w:keepNext w:val="false"/>
        <w:keepLines w:val="false"/>
        <w:pageBreakBefore w:val="false"/>
        <w:widowControl w:val="false"/>
        <w:kinsoku w:val="true"/>
        <w:bidi w:val="0"/>
        <w:spacing w:lineRule="exact" w:line="560"/>
        <w:textAlignment w:val="auto"/>
        <w:rPr>
          <w:rFonts w:eastAsia="仿宋_GB2312;仿宋"/>
          <w:szCs w:val="32"/>
          <w:u w:val="none"/>
        </w:rPr>
      </w:pPr>
      <w:r>
        <w:rPr>
          <w:rFonts w:eastAsia="仿宋_GB2312;仿宋"/>
          <w:szCs w:val="32"/>
          <w:u w:val="none"/>
        </w:rPr>
        <w:t>乡（镇）人民政府、街道办事处应当</w:t>
      </w:r>
      <w:r>
        <w:rPr>
          <w:rFonts w:hint="eastAsia" w:eastAsia="仿宋_GB2312;仿宋"/>
          <w:szCs w:val="32"/>
          <w:u w:val="none"/>
        </w:rPr>
        <w:t>确定专门</w:t>
      </w:r>
      <w:r>
        <w:rPr>
          <w:rFonts w:eastAsia="仿宋_GB2312;仿宋"/>
          <w:szCs w:val="32"/>
          <w:u w:val="none"/>
        </w:rPr>
        <w:t>人员负责前款规定的居家养老服务日常工作。</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第八条  </w:t>
      </w:r>
      <w:r>
        <w:rPr>
          <w:szCs w:val="32"/>
          <w:u w:val="none"/>
        </w:rPr>
        <w:t>村（居）民委员会</w:t>
      </w:r>
      <w:r>
        <w:rPr>
          <w:rFonts w:hint="eastAsia"/>
          <w:szCs w:val="32"/>
          <w:u w:val="none"/>
        </w:rPr>
        <w:t>应当</w:t>
      </w:r>
      <w:r>
        <w:rPr>
          <w:szCs w:val="32"/>
          <w:u w:val="none"/>
        </w:rPr>
        <w:t>做好下列居家养老服务工作：</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w:t>
      </w:r>
      <w:r>
        <w:rPr>
          <w:rFonts w:hint="eastAsia"/>
          <w:szCs w:val="32"/>
          <w:u w:val="none"/>
        </w:rPr>
        <w:t>一</w:t>
      </w:r>
      <w:r>
        <w:rPr>
          <w:szCs w:val="32"/>
          <w:u w:val="none"/>
        </w:rPr>
        <w:t>）登记居家老年人基本信息、服务需求等；</w:t>
      </w:r>
    </w:p>
    <w:p>
      <w:pPr>
        <w:pStyle w:val="Style12"/>
        <w:keepNext w:val="false"/>
        <w:keepLines w:val="false"/>
        <w:pageBreakBefore w:val="false"/>
        <w:widowControl w:val="false"/>
        <w:kinsoku w:val="true"/>
        <w:bidi w:val="0"/>
        <w:spacing w:lineRule="exact" w:line="560"/>
        <w:textAlignment w:val="auto"/>
        <w:rPr>
          <w:rFonts w:eastAsia="仿宋_GB2312;仿宋"/>
          <w:szCs w:val="32"/>
          <w:u w:val="none"/>
        </w:rPr>
      </w:pPr>
      <w:r>
        <w:rPr>
          <w:rFonts w:eastAsia="仿宋_GB2312;仿宋"/>
          <w:szCs w:val="32"/>
          <w:u w:val="none"/>
        </w:rPr>
        <w:t>（</w:t>
      </w:r>
      <w:r>
        <w:rPr>
          <w:rFonts w:hint="eastAsia" w:eastAsia="仿宋_GB2312;仿宋"/>
          <w:szCs w:val="32"/>
          <w:u w:val="none"/>
        </w:rPr>
        <w:t>二</w:t>
      </w:r>
      <w:r>
        <w:rPr>
          <w:rFonts w:eastAsia="仿宋_GB2312;仿宋"/>
          <w:szCs w:val="32"/>
          <w:u w:val="none"/>
        </w:rPr>
        <w:t>）</w:t>
      </w:r>
      <w:r>
        <w:rPr>
          <w:rFonts w:hint="eastAsia" w:eastAsia="仿宋_GB2312;仿宋"/>
          <w:szCs w:val="32"/>
          <w:u w:val="none"/>
        </w:rPr>
        <w:t>宣传居家养老服务政策，</w:t>
      </w:r>
      <w:r>
        <w:rPr>
          <w:rFonts w:eastAsia="仿宋_GB2312;仿宋"/>
          <w:szCs w:val="32"/>
          <w:u w:val="none"/>
        </w:rPr>
        <w:t>提供居家养老服务资源信息，收集处理居家养老服务的意见建议；</w:t>
      </w:r>
    </w:p>
    <w:p>
      <w:pPr>
        <w:pStyle w:val="Style12"/>
        <w:keepNext w:val="false"/>
        <w:keepLines w:val="false"/>
        <w:pageBreakBefore w:val="false"/>
        <w:widowControl w:val="false"/>
        <w:kinsoku w:val="true"/>
        <w:bidi w:val="0"/>
        <w:spacing w:lineRule="exact" w:line="560"/>
        <w:textAlignment w:val="auto"/>
        <w:rPr>
          <w:rFonts w:eastAsia="仿宋_GB2312;仿宋"/>
          <w:szCs w:val="32"/>
          <w:u w:val="none"/>
        </w:rPr>
      </w:pPr>
      <w:r>
        <w:rPr>
          <w:rFonts w:eastAsia="仿宋_GB2312;仿宋"/>
          <w:szCs w:val="32"/>
          <w:u w:val="none"/>
        </w:rPr>
        <w:t>（</w:t>
      </w:r>
      <w:r>
        <w:rPr>
          <w:rFonts w:hint="eastAsia" w:eastAsia="仿宋_GB2312;仿宋"/>
          <w:szCs w:val="32"/>
          <w:u w:val="none"/>
        </w:rPr>
        <w:t>三</w:t>
      </w:r>
      <w:r>
        <w:rPr>
          <w:rFonts w:eastAsia="仿宋_GB2312;仿宋"/>
          <w:szCs w:val="32"/>
          <w:u w:val="none"/>
        </w:rPr>
        <w:t>）定期探访高龄、独居、特殊困难等居家老年人，</w:t>
      </w:r>
      <w:r>
        <w:rPr>
          <w:rFonts w:hint="eastAsia" w:eastAsia="仿宋_GB2312;仿宋"/>
          <w:szCs w:val="32"/>
          <w:u w:val="none"/>
        </w:rPr>
        <w:t>掌握老年人生活基本情况，帮助解决问题并做好探访记录</w:t>
      </w:r>
      <w:r>
        <w:rPr>
          <w:rFonts w:eastAsia="仿宋_GB2312;仿宋"/>
          <w:szCs w:val="32"/>
          <w:u w:val="none"/>
        </w:rPr>
        <w:t>；</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w:t>
      </w:r>
      <w:r>
        <w:rPr>
          <w:rFonts w:hint="eastAsia"/>
          <w:szCs w:val="32"/>
          <w:u w:val="none"/>
        </w:rPr>
        <w:t>四</w:t>
      </w:r>
      <w:r>
        <w:rPr>
          <w:szCs w:val="32"/>
          <w:u w:val="none"/>
        </w:rPr>
        <w:t>）组织开展适合</w:t>
      </w:r>
      <w:r>
        <w:rPr>
          <w:rFonts w:hint="eastAsia"/>
          <w:szCs w:val="32"/>
          <w:u w:val="none"/>
        </w:rPr>
        <w:t>居家</w:t>
      </w:r>
      <w:r>
        <w:rPr>
          <w:szCs w:val="32"/>
          <w:u w:val="none"/>
        </w:rPr>
        <w:t>老年人的互助养老、文体娱乐、志愿服务等活动；</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w:t>
      </w:r>
      <w:r>
        <w:rPr>
          <w:rFonts w:hint="eastAsia"/>
          <w:szCs w:val="32"/>
          <w:u w:val="none"/>
        </w:rPr>
        <w:t>五</w:t>
      </w:r>
      <w:r>
        <w:rPr>
          <w:szCs w:val="32"/>
          <w:u w:val="none"/>
        </w:rPr>
        <w:t>）教育和引导村（居）民依法履行赡养和扶养义务</w:t>
      </w:r>
      <w:r>
        <w:rPr>
          <w:rFonts w:hint="eastAsia"/>
          <w:szCs w:val="32"/>
          <w:u w:val="none"/>
        </w:rPr>
        <w:t>，调解养老纠纷</w:t>
      </w:r>
      <w:r>
        <w:rPr>
          <w:szCs w:val="32"/>
          <w:u w:val="none"/>
        </w:rPr>
        <w:t>；</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w:t>
      </w:r>
      <w:r>
        <w:rPr>
          <w:rFonts w:hint="eastAsia"/>
          <w:szCs w:val="32"/>
          <w:u w:val="none"/>
        </w:rPr>
        <w:t>六</w:t>
      </w:r>
      <w:r>
        <w:rPr>
          <w:szCs w:val="32"/>
          <w:u w:val="none"/>
        </w:rPr>
        <w:t>）其他居家养老服务相关工作。</w:t>
      </w:r>
    </w:p>
    <w:p>
      <w:pPr>
        <w:pStyle w:val="Normal"/>
        <w:keepNext w:val="false"/>
        <w:keepLines w:val="false"/>
        <w:pageBreakBefore w:val="false"/>
        <w:widowControl w:val="false"/>
        <w:kinsoku w:val="true"/>
        <w:bidi w:val="0"/>
        <w:spacing w:lineRule="exact" w:line="560"/>
        <w:ind w:firstLineChars="200" w:startChars="0" w:start="0" w:endChars="0" w:end="0"/>
        <w:jc w:val="start"/>
        <w:textAlignment w:val="auto"/>
        <w:rPr>
          <w:szCs w:val="32"/>
          <w:u w:val="none"/>
        </w:rPr>
      </w:pPr>
      <w:r>
        <w:rPr>
          <w:rFonts w:ascii="黑体" w:hAnsi="黑体" w:cs="黑体" w:hint="eastAsia" w:eastAsia="黑体"/>
          <w:szCs w:val="32"/>
          <w:u w:val="none"/>
        </w:rPr>
        <w:t xml:space="preserve">第九条  </w:t>
      </w:r>
      <w:r>
        <w:rPr>
          <w:szCs w:val="32"/>
          <w:u w:val="none"/>
        </w:rPr>
        <w:t>民政、卫生健康</w:t>
      </w:r>
      <w:r>
        <w:rPr>
          <w:rFonts w:hint="eastAsia"/>
          <w:szCs w:val="32"/>
          <w:u w:val="none"/>
        </w:rPr>
        <w:t>、文化和旅游、教育</w:t>
      </w:r>
      <w:r>
        <w:rPr>
          <w:szCs w:val="32"/>
          <w:u w:val="none"/>
        </w:rPr>
        <w:t>等部门</w:t>
      </w:r>
      <w:r>
        <w:rPr>
          <w:rFonts w:hint="eastAsia"/>
          <w:szCs w:val="32"/>
          <w:u w:val="none"/>
        </w:rPr>
        <w:t>和新闻媒体</w:t>
      </w:r>
      <w:r>
        <w:rPr>
          <w:szCs w:val="32"/>
          <w:u w:val="none"/>
        </w:rPr>
        <w:t>应当开展</w:t>
      </w:r>
      <w:r>
        <w:rPr>
          <w:rFonts w:hint="eastAsia"/>
          <w:szCs w:val="32"/>
          <w:u w:val="none"/>
        </w:rPr>
        <w:t>相关法律法规</w:t>
      </w:r>
      <w:r>
        <w:rPr>
          <w:szCs w:val="32"/>
          <w:u w:val="none"/>
        </w:rPr>
        <w:t>宣传</w:t>
      </w:r>
      <w:r>
        <w:rPr>
          <w:rFonts w:hint="eastAsia"/>
          <w:szCs w:val="32"/>
          <w:u w:val="none"/>
        </w:rPr>
        <w:t>，</w:t>
      </w:r>
      <w:r>
        <w:rPr>
          <w:szCs w:val="32"/>
          <w:u w:val="none"/>
        </w:rPr>
        <w:t>弘扬</w:t>
      </w:r>
      <w:r>
        <w:rPr>
          <w:rFonts w:hint="eastAsia"/>
          <w:szCs w:val="32"/>
          <w:u w:val="none"/>
        </w:rPr>
        <w:t>衢州有礼文化</w:t>
      </w:r>
      <w:r>
        <w:rPr>
          <w:szCs w:val="32"/>
          <w:u w:val="none"/>
        </w:rPr>
        <w:t>，倡导良好家风，营造尊老、爱老、助老的社会氛围。</w:t>
      </w:r>
    </w:p>
    <w:p>
      <w:pPr>
        <w:pStyle w:val="Style12"/>
        <w:keepNext w:val="false"/>
        <w:keepLines w:val="false"/>
        <w:pageBreakBefore w:val="false"/>
        <w:widowControl w:val="false"/>
        <w:kinsoku w:val="true"/>
        <w:bidi w:val="0"/>
        <w:spacing w:lineRule="exact" w:line="560"/>
        <w:textAlignment w:val="auto"/>
        <w:rPr>
          <w:rFonts w:eastAsia="仿宋_GB2312;仿宋"/>
          <w:szCs w:val="32"/>
          <w:u w:val="none"/>
        </w:rPr>
      </w:pPr>
      <w:r>
        <w:rPr>
          <w:rFonts w:eastAsia="仿宋_GB2312;仿宋"/>
          <w:szCs w:val="32"/>
          <w:u w:val="none"/>
        </w:rPr>
        <w:t>国家机关、团体、企</w:t>
      </w:r>
      <w:r>
        <w:rPr>
          <w:rFonts w:hint="eastAsia" w:eastAsia="仿宋_GB2312;仿宋"/>
          <w:szCs w:val="32"/>
          <w:u w:val="none"/>
        </w:rPr>
        <w:t>业</w:t>
      </w:r>
      <w:r>
        <w:rPr>
          <w:rFonts w:eastAsia="仿宋_GB2312;仿宋"/>
          <w:szCs w:val="32"/>
          <w:u w:val="none"/>
        </w:rPr>
        <w:t>事业单位应当通过多种方式和途径开展敬老助老活动。</w:t>
      </w:r>
    </w:p>
    <w:p>
      <w:pPr>
        <w:pStyle w:val="Normal"/>
        <w:keepNext w:val="false"/>
        <w:keepLines w:val="false"/>
        <w:pageBreakBefore w:val="false"/>
        <w:widowControl w:val="false"/>
        <w:kinsoku w:val="true"/>
        <w:bidi w:val="0"/>
        <w:spacing w:lineRule="exact" w:line="560"/>
        <w:jc w:val="center"/>
        <w:textAlignment w:val="auto"/>
        <w:rPr>
          <w:rFonts w:ascii="黑体" w:hAnsi="黑体" w:eastAsia="黑体" w:cs="黑体" w:hint="eastAsia"/>
          <w:szCs w:val="32"/>
          <w:u w:val="none"/>
        </w:rPr>
      </w:pPr>
      <w:r>
        <w:rPr>
          <w:rFonts w:eastAsia="黑体" w:cs="黑体" w:hint="eastAsia" w:ascii="黑体" w:hAnsi="黑体"/>
          <w:szCs w:val="32"/>
          <w:u w:val="none"/>
        </w:rPr>
      </w:r>
    </w:p>
    <w:p>
      <w:pPr>
        <w:pStyle w:val="Normal"/>
        <w:keepNext w:val="false"/>
        <w:keepLines w:val="false"/>
        <w:pageBreakBefore w:val="false"/>
        <w:widowControl w:val="false"/>
        <w:kinsoku w:val="true"/>
        <w:bidi w:val="0"/>
        <w:spacing w:lineRule="exact" w:line="560"/>
        <w:jc w:val="center"/>
        <w:textAlignment w:val="auto"/>
        <w:rPr>
          <w:rFonts w:ascii="黑体" w:hAnsi="黑体" w:eastAsia="黑体" w:cs="黑体" w:hint="eastAsia"/>
          <w:szCs w:val="32"/>
          <w:u w:val="none"/>
        </w:rPr>
      </w:pPr>
      <w:r>
        <w:rPr>
          <w:rFonts w:ascii="黑体" w:hAnsi="黑体" w:cs="黑体" w:hint="eastAsia" w:eastAsia="黑体"/>
          <w:szCs w:val="32"/>
          <w:u w:val="none"/>
        </w:rPr>
        <w:t>第二章  服务设施</w:t>
      </w:r>
    </w:p>
    <w:p>
      <w:pPr>
        <w:pStyle w:val="Style12"/>
        <w:keepNext w:val="false"/>
        <w:keepLines w:val="false"/>
        <w:pageBreakBefore w:val="false"/>
        <w:widowControl w:val="false"/>
        <w:kinsoku w:val="true"/>
        <w:bidi w:val="0"/>
        <w:spacing w:lineRule="exact" w:line="560"/>
        <w:ind w:firstLineChars="0" w:firstLine="0" w:endChars="0" w:end="0"/>
        <w:textAlignment w:val="auto"/>
        <w:rPr>
          <w:rFonts w:ascii="黑体" w:hAnsi="黑体" w:eastAsia="黑体" w:cs="黑体" w:hint="eastAsia"/>
          <w:szCs w:val="32"/>
          <w:u w:val="none"/>
        </w:rPr>
      </w:pPr>
      <w:r>
        <w:rPr>
          <w:rFonts w:eastAsia="黑体" w:cs="黑体" w:hint="eastAsia" w:ascii="黑体" w:hAnsi="黑体"/>
          <w:szCs w:val="32"/>
          <w:u w:val="none"/>
        </w:rPr>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第十条  </w:t>
      </w:r>
      <w:r>
        <w:rPr>
          <w:rFonts w:hint="eastAsia"/>
          <w:u w:val="none"/>
        </w:rPr>
        <w:t>市、县（市、区）民政部门应当编制养老服务设施专项规划，按照城乡一体、就近可及、相对集中、医养结合的原则，</w:t>
      </w:r>
      <w:r>
        <w:rPr>
          <w:rFonts w:hint="eastAsia"/>
          <w:szCs w:val="32"/>
          <w:u w:val="none"/>
        </w:rPr>
        <w:t>根据</w:t>
      </w:r>
      <w:r>
        <w:rPr>
          <w:rFonts w:hint="eastAsia"/>
        </w:rPr>
        <w:t>“十五分钟幸福生活圈”</w:t>
      </w:r>
      <w:r>
        <w:rPr>
          <w:rFonts w:hint="eastAsia"/>
          <w:szCs w:val="32"/>
          <w:u w:val="none"/>
        </w:rPr>
        <w:t>建设的要求，</w:t>
      </w:r>
      <w:r>
        <w:rPr>
          <w:szCs w:val="32"/>
          <w:u w:val="none"/>
        </w:rPr>
        <w:t>合理规划布局</w:t>
      </w:r>
      <w:r>
        <w:rPr>
          <w:rFonts w:hint="eastAsia"/>
          <w:szCs w:val="32"/>
          <w:u w:val="none"/>
        </w:rPr>
        <w:t>养老机构、</w:t>
      </w:r>
      <w:r>
        <w:rPr>
          <w:rFonts w:hint="eastAsia"/>
          <w:color w:val="000000"/>
          <w:u w:val="none"/>
        </w:rPr>
        <w:t>乡镇（街道）居家养老服务中心、村（社区）居家养老服务照料中心等，</w:t>
      </w:r>
      <w:r>
        <w:rPr>
          <w:rFonts w:hint="eastAsia"/>
          <w:szCs w:val="32"/>
          <w:u w:val="none"/>
        </w:rPr>
        <w:t>经</w:t>
      </w:r>
      <w:r>
        <w:rPr>
          <w:rFonts w:hint="eastAsia"/>
          <w:u w:val="none"/>
        </w:rPr>
        <w:t>同级自然资源和规划部门审查后，报</w:t>
      </w:r>
      <w:r>
        <w:rPr>
          <w:rFonts w:hint="eastAsia"/>
          <w:szCs w:val="32"/>
          <w:u w:val="none"/>
        </w:rPr>
        <w:t>本级人民政府批准。</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u w:val="none"/>
        </w:rPr>
      </w:pPr>
      <w:r>
        <w:rPr>
          <w:rFonts w:hint="eastAsia"/>
          <w:szCs w:val="32"/>
          <w:u w:val="none"/>
        </w:rPr>
        <w:t>有关详细规划应</w:t>
      </w:r>
      <w:r>
        <w:rPr>
          <w:rFonts w:hint="eastAsia"/>
          <w:u w:val="none"/>
        </w:rPr>
        <w:t>当落实养老服务设施专项规划的内容。</w:t>
      </w:r>
    </w:p>
    <w:p>
      <w:pPr>
        <w:pStyle w:val="E02Body"/>
        <w:keepNext w:val="false"/>
        <w:keepLines w:val="false"/>
        <w:pageBreakBefore w:val="false"/>
        <w:widowControl w:val="false"/>
        <w:kinsoku w:val="true"/>
        <w:overflowPunct w:val="false"/>
        <w:bidi w:val="0"/>
        <w:spacing w:lineRule="exact" w:line="560"/>
        <w:textAlignment w:val="auto"/>
        <w:rPr>
          <w:rFonts w:hint="eastAsia"/>
          <w:color w:val="000000"/>
          <w:u w:val="none"/>
        </w:rPr>
      </w:pPr>
      <w:r>
        <w:rPr>
          <w:rFonts w:ascii="Times New Roman" w:hAnsi="Times New Roman" w:cs="Times New Roman" w:hint="eastAsia"/>
          <w:color w:val="000000"/>
          <w:spacing w:val="6"/>
          <w:kern w:val="2"/>
          <w:sz w:val="32"/>
          <w:szCs w:val="24"/>
          <w:u w:val="none"/>
        </w:rPr>
        <w:t>新建乡镇（街道）居家养老服务中心</w:t>
      </w:r>
      <w:r>
        <w:rPr>
          <w:rFonts w:cs="Times New Roman" w:hint="eastAsia"/>
          <w:color w:val="000000"/>
          <w:spacing w:val="6"/>
          <w:kern w:val="2"/>
          <w:sz w:val="32"/>
          <w:szCs w:val="24"/>
          <w:u w:val="none"/>
        </w:rPr>
        <w:t>、</w:t>
      </w:r>
      <w:r>
        <w:rPr>
          <w:rFonts w:ascii="Times New Roman" w:hAnsi="Times New Roman" w:cs="Times New Roman" w:hint="eastAsia"/>
          <w:color w:val="000000"/>
          <w:spacing w:val="6"/>
          <w:kern w:val="2"/>
          <w:sz w:val="32"/>
          <w:szCs w:val="24"/>
          <w:u w:val="none"/>
        </w:rPr>
        <w:t>村（社区）居家养老服务照料中心</w:t>
      </w:r>
      <w:r>
        <w:rPr>
          <w:rFonts w:hint="eastAsia"/>
          <w:color w:val="000000"/>
          <w:u w:val="none"/>
        </w:rPr>
        <w:t>应当与基层医疗卫生机构、康复场所同步规划、整合配套。</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市、县（市、区）自然资源和规划部门在提出新建住宅小区项目拟供应地块规划条件时，应当明确</w:t>
      </w:r>
      <w:r>
        <w:rPr>
          <w:rFonts w:hint="eastAsia"/>
          <w:szCs w:val="32"/>
          <w:u w:val="none"/>
        </w:rPr>
        <w:t>住宅</w:t>
      </w:r>
      <w:r>
        <w:rPr>
          <w:szCs w:val="32"/>
          <w:u w:val="none"/>
        </w:rPr>
        <w:t>小区居家养老服务用房建筑面积等相关指标，并征求民政部门的意见。</w:t>
      </w:r>
      <w:r>
        <mc:AlternateContent>
          <mc:Choice Requires="wps">
            <w:drawing>
              <wp:anchor distT="0" distB="0" distL="113665" distR="113665" simplePos="0" relativeHeight="5" behindDoc="0" locked="0" layoutInCell="0" allowOverlap="1">
                <wp:simplePos x="0" y="0"/>
                <wp:positionH relativeFrom="margin">
                  <wp:posOffset>4743450</wp:posOffset>
                </wp:positionH>
                <wp:positionV relativeFrom="paragraph">
                  <wp:posOffset>1631950</wp:posOffset>
                </wp:positionV>
                <wp:extent cx="881380" cy="332740"/>
                <wp:effectExtent l="0" t="0" r="0" b="0"/>
                <wp:wrapNone/>
                <wp:docPr id="4" name="Frame4"/>
                <a:graphic xmlns:a="http://schemas.openxmlformats.org/drawingml/2006/main">
                  <a:graphicData uri="http://schemas.microsoft.com/office/word/2010/wordprocessingShape">
                    <wps:wsp>
                      <wps:cNvSpPr txBox="1"/>
                      <wps:spPr>
                        <a:xfrm>
                          <a:off x="0" y="0"/>
                          <a:ext cx="881380" cy="33274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t xml:space="preserve">5 </w:t>
                            </w:r>
                            <w:r>
                              <w:rPr>
                                <w:rStyle w:val="PageNumber"/>
                                <w:rFonts w:hint="eastAsia"/>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69.4pt;height:26.2pt;mso-wrap-distance-left:8.95pt;mso-wrap-distance-right:8.95pt;mso-wrap-distance-top:0pt;mso-wrap-distance-bottom:0pt;margin-top:128.5pt;mso-position-vertical-relative:text;margin-left:373.5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t xml:space="preserve">5 </w:t>
                      </w:r>
                      <w:r>
                        <w:rPr>
                          <w:rStyle w:val="PageNumber"/>
                          <w:rFonts w:hint="eastAsia"/>
                          <w:sz w:val="28"/>
                          <w:szCs w:val="28"/>
                        </w:rPr>
                        <w:t xml:space="preserve">— </w:t>
                      </w:r>
                    </w:p>
                  </w:txbxContent>
                </v:textbox>
                <w10:wrap type="none"/>
              </v:rect>
            </w:pict>
          </mc:Fallback>
        </mc:AlternateContent>
      </w:r>
    </w:p>
    <w:p>
      <w:pPr>
        <w:pStyle w:val="Style15"/>
        <w:keepNext w:val="false"/>
        <w:keepLines w:val="false"/>
        <w:pageBreakBefore w:val="false"/>
        <w:widowControl/>
        <w:shd w:fill="FFFFFF" w:val="clear"/>
        <w:kinsoku w:val="true"/>
        <w:bidi w:val="0"/>
        <w:spacing w:lineRule="exact" w:line="560"/>
        <w:ind w:firstLineChars="200" w:startChars="0" w:start="0" w:endChars="0" w:end="0"/>
        <w:jc w:val="both"/>
        <w:textAlignment w:val="auto"/>
        <w:rPr>
          <w:rFonts w:ascii="Times New Roman" w:hAnsi="Times New Roman" w:eastAsia="仿宋_GB2312;仿宋" w:cs="Times New Roman"/>
          <w:sz w:val="32"/>
          <w:szCs w:val="32"/>
          <w:u w:val="none"/>
        </w:rPr>
      </w:pPr>
      <w:r>
        <w:rPr>
          <w:rFonts w:ascii="黑体" w:hAnsi="黑体" w:cs="黑体" w:hint="eastAsia" w:eastAsia="黑体"/>
          <w:sz w:val="32"/>
          <w:szCs w:val="32"/>
          <w:u w:val="none"/>
        </w:rPr>
        <w:t xml:space="preserve">第十一条  </w:t>
      </w:r>
      <w:r>
        <w:rPr>
          <w:rFonts w:ascii="Times New Roman" w:hAnsi="Times New Roman" w:cs="Times New Roman" w:eastAsia="仿宋_GB2312;仿宋"/>
          <w:sz w:val="32"/>
          <w:szCs w:val="32"/>
          <w:u w:val="none"/>
        </w:rPr>
        <w:t>需要配套建设居家养老服务用房的地块，市、县</w:t>
      </w:r>
      <w:r>
        <w:rPr>
          <w:rFonts w:ascii="Times New Roman" w:hAnsi="Times New Roman" w:cs="Times New Roman" w:eastAsia="仿宋_GB2312;仿宋"/>
          <w:sz w:val="32"/>
          <w:szCs w:val="32"/>
        </w:rPr>
        <w:t>（市、区）人民</w:t>
      </w:r>
      <w:r>
        <w:rPr>
          <w:rFonts w:ascii="Times New Roman" w:hAnsi="Times New Roman" w:cs="Times New Roman" w:eastAsia="仿宋_GB2312;仿宋"/>
          <w:sz w:val="32"/>
          <w:szCs w:val="32"/>
          <w:u w:val="none"/>
        </w:rPr>
        <w:t>政府在划拨或者出让土地使用权时，应当</w:t>
      </w:r>
      <w:r>
        <w:rPr>
          <w:rFonts w:ascii="Times New Roman" w:hAnsi="Times New Roman" w:cs="Times New Roman" w:eastAsia="仿宋_GB2312;仿宋"/>
          <w:sz w:val="32"/>
          <w:szCs w:val="32"/>
          <w:u w:val="none"/>
          <w:lang w:eastAsia="zh-CN"/>
        </w:rPr>
        <w:t>在地块规划条件</w:t>
      </w:r>
      <w:r>
        <w:rPr>
          <w:rFonts w:ascii="Times New Roman" w:hAnsi="Times New Roman" w:cs="Times New Roman" w:hint="eastAsia" w:eastAsia="仿宋_GB2312;仿宋"/>
          <w:sz w:val="32"/>
          <w:szCs w:val="32"/>
          <w:u w:val="none"/>
        </w:rPr>
        <w:t>和相关</w:t>
      </w:r>
      <w:r>
        <w:rPr>
          <w:rFonts w:ascii="Times New Roman" w:hAnsi="Times New Roman" w:cs="Times New Roman" w:eastAsia="仿宋_GB2312;仿宋"/>
          <w:sz w:val="32"/>
          <w:szCs w:val="32"/>
          <w:u w:val="none"/>
          <w:lang w:eastAsia="zh-CN"/>
        </w:rPr>
        <w:t>文件中</w:t>
      </w:r>
      <w:r>
        <w:rPr>
          <w:rFonts w:ascii="Times New Roman" w:hAnsi="Times New Roman" w:cs="Times New Roman" w:eastAsia="仿宋_GB2312;仿宋"/>
          <w:sz w:val="32"/>
          <w:szCs w:val="32"/>
          <w:u w:val="none"/>
        </w:rPr>
        <w:t>明确居家养老服务用房的</w:t>
      </w:r>
      <w:r>
        <w:rPr>
          <w:rFonts w:ascii="Times New Roman" w:hAnsi="Times New Roman" w:cs="Times New Roman" w:eastAsia="仿宋_GB2312;仿宋"/>
          <w:sz w:val="32"/>
          <w:szCs w:val="32"/>
          <w:u w:val="none"/>
          <w:lang w:eastAsia="zh-CN"/>
        </w:rPr>
        <w:t>建设要求</w:t>
      </w:r>
      <w:r>
        <w:rPr>
          <w:rFonts w:ascii="Times New Roman" w:hAnsi="Times New Roman" w:cs="Times New Roman" w:eastAsia="仿宋_GB2312;仿宋"/>
          <w:sz w:val="32"/>
          <w:szCs w:val="32"/>
          <w:u w:val="none"/>
        </w:rPr>
        <w:t>、建筑面积、建设期限、交付方式、产权归属等内容。</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rFonts w:hint="eastAsia"/>
          <w:szCs w:val="32"/>
          <w:u w:val="none"/>
        </w:rPr>
      </w:pPr>
      <w:r>
        <w:rPr>
          <w:szCs w:val="32"/>
          <w:u w:val="none"/>
        </w:rPr>
        <w:t>配套建设居家养老服务用房应当与住宅小区同步规划、同步建设、同步验收、同步交付。自然资源和规划部门</w:t>
      </w:r>
      <w:r>
        <w:rPr>
          <w:rFonts w:hint="eastAsia"/>
          <w:szCs w:val="32"/>
          <w:u w:val="none"/>
        </w:rPr>
        <w:t>在审查</w:t>
      </w:r>
      <w:r>
        <w:rPr>
          <w:szCs w:val="32"/>
          <w:u w:val="none"/>
        </w:rPr>
        <w:t>建设</w:t>
      </w:r>
      <w:r>
        <w:rPr>
          <w:rFonts w:hint="eastAsia"/>
          <w:szCs w:val="32"/>
          <w:u w:val="none"/>
        </w:rPr>
        <w:t>工程</w:t>
      </w:r>
      <w:r>
        <w:rPr>
          <w:szCs w:val="32"/>
          <w:u w:val="none"/>
        </w:rPr>
        <w:t>设计方案</w:t>
      </w:r>
      <w:r>
        <w:rPr>
          <w:rFonts w:hint="eastAsia"/>
          <w:szCs w:val="32"/>
          <w:u w:val="none"/>
        </w:rPr>
        <w:t>时，应当征求民政部门的意见。</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rFonts w:hint="eastAsia"/>
          <w:szCs w:val="32"/>
          <w:u w:val="none"/>
        </w:rPr>
      </w:pPr>
      <w:r>
        <w:rPr>
          <w:rFonts w:ascii="黑体" w:hAnsi="黑体" w:cs="黑体" w:hint="eastAsia" w:eastAsia="黑体"/>
          <w:szCs w:val="32"/>
          <w:u w:val="none"/>
        </w:rPr>
        <w:t xml:space="preserve">第十二条  </w:t>
      </w:r>
      <w:r>
        <w:rPr>
          <w:szCs w:val="32"/>
          <w:u w:val="none"/>
        </w:rPr>
        <w:t>乡（镇）人民政府、街道办事处应当根据实际需要至少配置一</w:t>
      </w:r>
      <w:r>
        <w:rPr>
          <w:rFonts w:hint="eastAsia"/>
          <w:szCs w:val="32"/>
          <w:u w:val="none"/>
        </w:rPr>
        <w:t>个</w:t>
      </w:r>
      <w:r>
        <w:rPr>
          <w:szCs w:val="32"/>
          <w:u w:val="none"/>
        </w:rPr>
        <w:t>居家养老服务中心，单</w:t>
      </w:r>
      <w:r>
        <w:rPr>
          <w:rFonts w:hint="eastAsia"/>
          <w:szCs w:val="32"/>
          <w:u w:val="none"/>
        </w:rPr>
        <w:t>个</w:t>
      </w:r>
      <w:r>
        <w:rPr>
          <w:szCs w:val="32"/>
          <w:u w:val="none"/>
        </w:rPr>
        <w:t>建筑面积不少于五百平方米。村</w:t>
      </w:r>
      <w:r>
        <w:rPr>
          <w:rFonts w:hint="eastAsia"/>
          <w:szCs w:val="32"/>
          <w:u w:val="none"/>
        </w:rPr>
        <w:t>（社区）</w:t>
      </w:r>
      <w:r>
        <w:rPr>
          <w:szCs w:val="32"/>
          <w:u w:val="none"/>
        </w:rPr>
        <w:t>根据实际需要至少配置一</w:t>
      </w:r>
      <w:r>
        <w:rPr>
          <w:rFonts w:hint="eastAsia"/>
          <w:szCs w:val="32"/>
          <w:u w:val="none"/>
        </w:rPr>
        <w:t>个</w:t>
      </w:r>
      <w:r>
        <w:rPr>
          <w:szCs w:val="32"/>
          <w:u w:val="none"/>
        </w:rPr>
        <w:t>居家养老服务照料中心</w:t>
      </w:r>
      <w:r>
        <w:rPr>
          <w:rFonts w:hint="eastAsia"/>
          <w:szCs w:val="32"/>
          <w:u w:val="none"/>
        </w:rPr>
        <w:t>，单个建筑面积不少于二百平方米</w:t>
      </w:r>
      <w:r>
        <w:rPr>
          <w:szCs w:val="32"/>
          <w:u w:val="none"/>
        </w:rPr>
        <w:t>。</w:t>
      </w:r>
      <w:r>
        <w:rPr>
          <w:rFonts w:hint="eastAsia"/>
          <w:szCs w:val="32"/>
          <w:u w:val="none"/>
        </w:rPr>
        <w:t>相邻的若干村（社区）可以共同配置</w:t>
      </w:r>
      <w:r>
        <w:rPr>
          <w:szCs w:val="32"/>
          <w:u w:val="none"/>
        </w:rPr>
        <w:t>居家养老服务照料中心</w:t>
      </w:r>
      <w:r>
        <w:rPr>
          <w:rFonts w:hint="eastAsia"/>
          <w:szCs w:val="32"/>
          <w:u w:val="none"/>
        </w:rPr>
        <w:t>，配置方案应当征求共同的上一级民政部门意见。</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Times New Roman" w:hAnsi="Times New Roman" w:cs="Times New Roman" w:hint="eastAsia"/>
          <w:color w:val="000000"/>
          <w:spacing w:val="6"/>
          <w:kern w:val="2"/>
          <w:sz w:val="32"/>
          <w:szCs w:val="24"/>
          <w:u w:val="none"/>
        </w:rPr>
        <w:t>乡镇（街道）居家养老服务中心</w:t>
      </w:r>
      <w:r>
        <w:rPr>
          <w:rFonts w:cs="Times New Roman" w:hint="eastAsia"/>
          <w:color w:val="000000"/>
          <w:spacing w:val="6"/>
          <w:kern w:val="2"/>
          <w:sz w:val="32"/>
          <w:szCs w:val="24"/>
          <w:u w:val="none"/>
        </w:rPr>
        <w:t>、</w:t>
      </w:r>
      <w:r>
        <w:rPr>
          <w:rFonts w:ascii="Times New Roman" w:hAnsi="Times New Roman" w:cs="Times New Roman" w:hint="eastAsia"/>
          <w:color w:val="000000"/>
          <w:spacing w:val="6"/>
          <w:kern w:val="2"/>
          <w:sz w:val="32"/>
          <w:szCs w:val="24"/>
          <w:u w:val="none"/>
        </w:rPr>
        <w:t>村（社区）居家养老服务照料中心</w:t>
      </w:r>
      <w:r>
        <w:rPr>
          <w:szCs w:val="32"/>
          <w:u w:val="none"/>
        </w:rPr>
        <w:t>的服务用房，可以通过购置、置换、租赁、新（改、扩）建等方式完成配置。</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rFonts w:hint="eastAsia"/>
          <w:szCs w:val="32"/>
          <w:u w:val="none"/>
        </w:rPr>
      </w:pPr>
      <w:r>
        <w:rPr>
          <w:rFonts w:hint="eastAsia"/>
          <w:szCs w:val="32"/>
          <w:u w:val="none"/>
        </w:rPr>
        <w:t>村（社区）居家养老服务照料中心由村（居）民委员会负责运营管理，也可以由乡（镇）人民政府、街道办事处通过公开招标等方式</w:t>
      </w:r>
      <w:r>
        <w:rPr>
          <w:szCs w:val="32"/>
          <w:u w:val="none"/>
        </w:rPr>
        <w:t>委托专业组织、机构运营管理</w:t>
      </w:r>
      <w:r>
        <w:rPr>
          <w:rFonts w:hint="eastAsia"/>
          <w:szCs w:val="32"/>
          <w:u w:val="none"/>
        </w:rPr>
        <w:t>。</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第十三条  </w:t>
      </w:r>
      <w:r>
        <w:rPr>
          <w:szCs w:val="32"/>
          <w:u w:val="none"/>
        </w:rPr>
        <w:t>新建住宅小区的居家养老服务用房，按照每百户建筑面积不少于二十平方米、每处不少于二百平方米集中配建</w:t>
      </w:r>
      <w:r>
        <w:rPr>
          <w:rFonts w:hint="eastAsia"/>
          <w:szCs w:val="32"/>
          <w:u w:val="none"/>
        </w:rPr>
        <w:t>；</w:t>
      </w:r>
      <w:r>
        <w:rPr>
          <w:szCs w:val="32"/>
          <w:u w:val="none"/>
        </w:rPr>
        <w:t>在五百米服务半径内，可以将多个</w:t>
      </w:r>
      <w:r>
        <w:rPr>
          <w:rFonts w:hint="eastAsia"/>
          <w:szCs w:val="32"/>
          <w:u w:val="none"/>
        </w:rPr>
        <w:t>住宅</w:t>
      </w:r>
      <w:r>
        <w:rPr>
          <w:szCs w:val="32"/>
          <w:u w:val="none"/>
        </w:rPr>
        <w:t>小区的配建指标进行集中，统一设置居家养老服务用房。</w:t>
      </w:r>
      <w:r>
        <mc:AlternateContent>
          <mc:Choice Requires="wps">
            <w:drawing>
              <wp:anchor distT="0" distB="0" distL="113665" distR="113665" simplePos="0" relativeHeight="6" behindDoc="0" locked="0" layoutInCell="0" allowOverlap="1">
                <wp:simplePos x="0" y="0"/>
                <wp:positionH relativeFrom="margin">
                  <wp:posOffset>76200</wp:posOffset>
                </wp:positionH>
                <wp:positionV relativeFrom="paragraph">
                  <wp:posOffset>1187450</wp:posOffset>
                </wp:positionV>
                <wp:extent cx="881380" cy="332740"/>
                <wp:effectExtent l="0" t="0" r="0" b="0"/>
                <wp:wrapNone/>
                <wp:docPr id="5" name="Frame5"/>
                <a:graphic xmlns:a="http://schemas.openxmlformats.org/drawingml/2006/main">
                  <a:graphicData uri="http://schemas.microsoft.com/office/word/2010/wordprocessingShape">
                    <wps:wsp>
                      <wps:cNvSpPr txBox="1"/>
                      <wps:spPr>
                        <a:xfrm>
                          <a:off x="0" y="0"/>
                          <a:ext cx="881380" cy="33274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t xml:space="preserve">6 </w:t>
                            </w:r>
                            <w:r>
                              <w:rPr>
                                <w:rStyle w:val="PageNumber"/>
                                <w:rFonts w:hint="eastAsia"/>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69.4pt;height:26.2pt;mso-wrap-distance-left:8.95pt;mso-wrap-distance-right:8.95pt;mso-wrap-distance-top:0pt;mso-wrap-distance-bottom:0pt;margin-top:93.5pt;mso-position-vertical-relative:text;margin-left:6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t xml:space="preserve">6 </w:t>
                      </w:r>
                      <w:r>
                        <w:rPr>
                          <w:rStyle w:val="PageNumber"/>
                          <w:rFonts w:hint="eastAsia"/>
                          <w:sz w:val="28"/>
                          <w:szCs w:val="28"/>
                        </w:rPr>
                        <w:t xml:space="preserve">— </w:t>
                      </w:r>
                    </w:p>
                  </w:txbxContent>
                </v:textbox>
                <w10:wrap type="none"/>
              </v:rect>
            </w:pict>
          </mc:Fallback>
        </mc:AlternateConten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已建成住宅小区</w:t>
      </w:r>
      <w:r>
        <w:rPr>
          <w:rFonts w:hint="eastAsia"/>
          <w:szCs w:val="32"/>
          <w:u w:val="none"/>
        </w:rPr>
        <w:t>和老旧住宅区的</w:t>
      </w:r>
      <w:r>
        <w:rPr>
          <w:szCs w:val="32"/>
          <w:u w:val="none"/>
        </w:rPr>
        <w:t>居家养老服务</w:t>
      </w:r>
      <w:r>
        <w:rPr>
          <w:rFonts w:hint="eastAsia"/>
          <w:szCs w:val="32"/>
          <w:u w:val="none"/>
        </w:rPr>
        <w:t>用房，</w:t>
      </w:r>
      <w:r>
        <w:rPr>
          <w:szCs w:val="32"/>
          <w:u w:val="none"/>
        </w:rPr>
        <w:t>按照每百户建筑面积不少于十五平方米、每处不少于二百平方米，以五百米服务半径为区域集中配置；老年人比较集中的社区应当适当提高配置标准。</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已建成住宅小区</w:t>
      </w:r>
      <w:r>
        <w:rPr>
          <w:rFonts w:hint="eastAsia"/>
          <w:szCs w:val="32"/>
          <w:u w:val="none"/>
        </w:rPr>
        <w:t>和老旧住宅区</w:t>
      </w:r>
      <w:r>
        <w:rPr>
          <w:szCs w:val="32"/>
          <w:u w:val="none"/>
        </w:rPr>
        <w:t>的居家养老服务用房未达到前款</w:t>
      </w:r>
      <w:r>
        <w:rPr>
          <w:rFonts w:hint="eastAsia"/>
          <w:szCs w:val="32"/>
          <w:u w:val="none"/>
        </w:rPr>
        <w:t>规定最低</w:t>
      </w:r>
      <w:r>
        <w:rPr>
          <w:szCs w:val="32"/>
          <w:u w:val="none"/>
        </w:rPr>
        <w:t>标准</w:t>
      </w:r>
      <w:r>
        <w:rPr>
          <w:rFonts w:hint="eastAsia"/>
          <w:szCs w:val="32"/>
          <w:u w:val="none"/>
        </w:rPr>
        <w:t>的</w:t>
      </w:r>
      <w:r>
        <w:rPr>
          <w:szCs w:val="32"/>
          <w:u w:val="none"/>
        </w:rPr>
        <w:t>，县（市、区）人民政府应当通过购置、置换、租赁、新（改、扩）建等方式，在本条例施行后两年内配置到位。</w:t>
      </w:r>
    </w:p>
    <w:p>
      <w:pPr>
        <w:pStyle w:val="Style12"/>
        <w:keepNext w:val="false"/>
        <w:keepLines w:val="false"/>
        <w:pageBreakBefore w:val="false"/>
        <w:widowControl w:val="false"/>
        <w:kinsoku w:val="true"/>
        <w:bidi w:val="0"/>
        <w:spacing w:lineRule="exact" w:line="560"/>
        <w:textAlignment w:val="auto"/>
        <w:rPr>
          <w:rFonts w:eastAsia="仿宋_GB2312;仿宋"/>
          <w:szCs w:val="32"/>
          <w:u w:val="none"/>
        </w:rPr>
      </w:pPr>
      <w:r>
        <w:rPr>
          <w:rFonts w:ascii="黑体" w:hAnsi="黑体" w:cs="黑体" w:hint="eastAsia" w:eastAsia="黑体"/>
          <w:szCs w:val="32"/>
          <w:u w:val="none"/>
        </w:rPr>
        <w:t xml:space="preserve">第十四条  </w:t>
      </w:r>
      <w:r>
        <w:rPr>
          <w:rFonts w:eastAsia="仿宋_GB2312;仿宋"/>
          <w:szCs w:val="32"/>
          <w:u w:val="none"/>
        </w:rPr>
        <w:t>农村集体经济组织可以利用闲置的农村住房、村集体用房、生产经营用房等场所，用于配置居家养老服务用房，满足农村居家老年人的基本养老服务需求。</w:t>
      </w:r>
    </w:p>
    <w:p>
      <w:pPr>
        <w:pStyle w:val="Style12"/>
        <w:keepNext w:val="false"/>
        <w:keepLines w:val="false"/>
        <w:pageBreakBefore w:val="false"/>
        <w:widowControl w:val="false"/>
        <w:kinsoku w:val="true"/>
        <w:bidi w:val="0"/>
        <w:spacing w:lineRule="exact" w:line="560"/>
        <w:textAlignment w:val="auto"/>
        <w:rPr>
          <w:rFonts w:eastAsia="仿宋_GB2312;仿宋"/>
          <w:szCs w:val="32"/>
          <w:u w:val="none"/>
        </w:rPr>
      </w:pPr>
      <w:r>
        <w:rPr>
          <w:rFonts w:eastAsia="仿宋_GB2312;仿宋"/>
          <w:szCs w:val="32"/>
          <w:u w:val="none"/>
        </w:rPr>
        <w:t>鼓励农村集体经济组织依法使用集体所有土地为本组织成员建设非营利性居家养老服务用房。</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第十五条  </w:t>
      </w:r>
      <w:r>
        <w:rPr>
          <w:szCs w:val="32"/>
          <w:u w:val="none"/>
        </w:rPr>
        <w:t>居家养老服务用房应当</w:t>
      </w:r>
      <w:r>
        <w:rPr>
          <w:rFonts w:ascii="仿宋_GB2312;仿宋" w:hAnsi="仿宋_GB2312;仿宋" w:hint="eastAsia"/>
          <w:kern w:val="0"/>
          <w:u w:val="none"/>
        </w:rPr>
        <w:t>方便老年人出入和活动，</w:t>
      </w:r>
      <w:r>
        <w:rPr>
          <w:szCs w:val="32"/>
          <w:u w:val="none"/>
        </w:rPr>
        <w:t>设置在建筑低层部分，不得设置在地下室、半地下室。二层以上的居家养老服务用房应当设置电梯或者无障碍坡道。</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rFonts w:hint="eastAsia"/>
          <w:szCs w:val="32"/>
          <w:u w:val="none"/>
        </w:rPr>
      </w:pPr>
      <w:r>
        <w:rPr>
          <w:szCs w:val="32"/>
          <w:u w:val="none"/>
        </w:rPr>
        <w:t>居家养老服务用房应当</w:t>
      </w:r>
      <w:r>
        <w:rPr>
          <w:rFonts w:hint="eastAsia"/>
          <w:szCs w:val="32"/>
          <w:u w:val="none"/>
        </w:rPr>
        <w:t>满足通风、采光、消防安全和应急救援等条件。</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hint="eastAsia"/>
          <w:szCs w:val="32"/>
          <w:u w:val="none"/>
        </w:rPr>
        <w:t>居家养老服务用房用于设置老年人食堂，从事餐饮服务的，不得设置</w:t>
      </w:r>
      <w:r>
        <w:rPr>
          <w:rFonts w:ascii="仿宋_GB2312;仿宋" w:hAnsi="仿宋_GB2312;仿宋" w:hint="eastAsia"/>
          <w:sz w:val="32"/>
          <w:szCs w:val="32"/>
          <w:u w:val="none"/>
        </w:rPr>
        <w:t>在居民住宅楼、未配套设立专用烟道的商住综合楼以及商住综合楼内与居住层相邻的商业楼层内。</w:t>
      </w:r>
      <w:r>
        <mc:AlternateContent>
          <mc:Choice Requires="wps">
            <w:drawing>
              <wp:anchor distT="0" distB="0" distL="113665" distR="113665" simplePos="0" relativeHeight="7" behindDoc="0" locked="0" layoutInCell="0" allowOverlap="1">
                <wp:simplePos x="0" y="0"/>
                <wp:positionH relativeFrom="margin">
                  <wp:posOffset>4705350</wp:posOffset>
                </wp:positionH>
                <wp:positionV relativeFrom="paragraph">
                  <wp:posOffset>1317625</wp:posOffset>
                </wp:positionV>
                <wp:extent cx="881380" cy="332740"/>
                <wp:effectExtent l="0" t="0" r="0" b="0"/>
                <wp:wrapNone/>
                <wp:docPr id="6" name="Frame6"/>
                <a:graphic xmlns:a="http://schemas.openxmlformats.org/drawingml/2006/main">
                  <a:graphicData uri="http://schemas.microsoft.com/office/word/2010/wordprocessingShape">
                    <wps:wsp>
                      <wps:cNvSpPr txBox="1"/>
                      <wps:spPr>
                        <a:xfrm>
                          <a:off x="0" y="0"/>
                          <a:ext cx="881380" cy="33274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t xml:space="preserve">7 </w:t>
                            </w:r>
                            <w:r>
                              <w:rPr>
                                <w:rStyle w:val="PageNumber"/>
                                <w:rFonts w:hint="eastAsia"/>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69.4pt;height:26.2pt;mso-wrap-distance-left:8.95pt;mso-wrap-distance-right:8.95pt;mso-wrap-distance-top:0pt;mso-wrap-distance-bottom:0pt;margin-top:103.75pt;mso-position-vertical-relative:text;margin-left:370.5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t xml:space="preserve">7 </w:t>
                      </w:r>
                      <w:r>
                        <w:rPr>
                          <w:rStyle w:val="PageNumber"/>
                          <w:rFonts w:hint="eastAsia"/>
                          <w:sz w:val="28"/>
                          <w:szCs w:val="28"/>
                        </w:rPr>
                        <w:t xml:space="preserve">— </w:t>
                      </w:r>
                    </w:p>
                  </w:txbxContent>
                </v:textbox>
                <w10:wrap type="none"/>
              </v:rect>
            </w:pict>
          </mc:Fallback>
        </mc:AlternateContent>
      </w:r>
    </w:p>
    <w:p>
      <w:pPr>
        <w:pStyle w:val="E02Body"/>
        <w:keepNext w:val="false"/>
        <w:keepLines w:val="false"/>
        <w:pageBreakBefore w:val="false"/>
        <w:widowControl w:val="false"/>
        <w:kinsoku w:val="true"/>
        <w:overflowPunct w:val="false"/>
        <w:autoSpaceDE w:val="true"/>
        <w:bidi w:val="0"/>
        <w:snapToGrid w:val="true"/>
        <w:spacing w:lineRule="exact" w:line="560"/>
        <w:ind w:endChars="0" w:end="0"/>
        <w:jc w:val="both"/>
        <w:textAlignment w:val="auto"/>
        <w:rPr>
          <w:rFonts w:hint="eastAsia"/>
          <w:color w:val="000000"/>
          <w:u w:val="none"/>
        </w:rPr>
      </w:pPr>
      <w:r>
        <w:rPr>
          <w:rFonts w:ascii="黑体" w:hAnsi="黑体" w:cs="黑体" w:hint="eastAsia" w:eastAsia="黑体"/>
          <w:color w:val="000000"/>
          <w:szCs w:val="32"/>
          <w:u w:val="none"/>
        </w:rPr>
        <w:t xml:space="preserve">第十六条  </w:t>
      </w:r>
      <w:r>
        <w:rPr>
          <w:rFonts w:cs="Times New Roman"/>
          <w:color w:val="000000"/>
          <w:szCs w:val="32"/>
          <w:u w:val="none"/>
        </w:rPr>
        <w:t>住宅小区配套建设的居家养老服务用房经验收合格后，建设单位应当</w:t>
      </w:r>
      <w:r>
        <w:rPr>
          <w:rFonts w:cs="Times New Roman"/>
          <w:color w:val="000000"/>
          <w:szCs w:val="32"/>
          <w:u w:val="none"/>
          <w:lang w:eastAsia="zh-CN"/>
        </w:rPr>
        <w:t>按照</w:t>
      </w:r>
      <w:r>
        <w:rPr>
          <w:rFonts w:cs="Times New Roman" w:hint="eastAsia"/>
          <w:color w:val="000000"/>
          <w:szCs w:val="32"/>
          <w:u w:val="none"/>
        </w:rPr>
        <w:t>土地使用权出让合同等</w:t>
      </w:r>
      <w:r>
        <w:rPr>
          <w:rFonts w:cs="Times New Roman"/>
          <w:color w:val="000000"/>
          <w:szCs w:val="32"/>
          <w:u w:val="none"/>
          <w:lang w:eastAsia="zh-CN"/>
        </w:rPr>
        <w:t>约定</w:t>
      </w:r>
      <w:r>
        <w:rPr>
          <w:rFonts w:cs="Times New Roman" w:hint="eastAsia"/>
          <w:color w:val="000000"/>
          <w:szCs w:val="32"/>
          <w:u w:val="none"/>
        </w:rPr>
        <w:t>协助</w:t>
      </w:r>
      <w:r>
        <w:rPr>
          <w:rFonts w:cs="Times New Roman"/>
          <w:color w:val="000000"/>
          <w:szCs w:val="32"/>
          <w:u w:val="none"/>
          <w:lang w:eastAsia="zh-CN"/>
        </w:rPr>
        <w:t>办理不动产登记</w:t>
      </w:r>
      <w:r>
        <w:rPr>
          <w:rFonts w:cs="Times New Roman" w:hint="eastAsia"/>
          <w:color w:val="000000"/>
          <w:szCs w:val="32"/>
          <w:u w:val="none"/>
        </w:rPr>
        <w:t>，</w:t>
      </w:r>
      <w:r>
        <w:rPr>
          <w:rFonts w:hint="eastAsia"/>
          <w:color w:val="000000"/>
          <w:u w:val="none"/>
        </w:rPr>
        <w:t>将居家养老服务用房以及有关建设资料</w:t>
      </w:r>
      <w:r>
        <w:rPr>
          <w:rFonts w:cs="Times New Roman"/>
          <w:color w:val="000000"/>
          <w:szCs w:val="32"/>
          <w:u w:val="none"/>
          <w:lang w:eastAsia="zh-CN"/>
        </w:rPr>
        <w:t>移交</w:t>
      </w:r>
      <w:r>
        <w:rPr>
          <w:rFonts w:cs="Times New Roman" w:hint="eastAsia"/>
          <w:color w:val="000000"/>
          <w:szCs w:val="32"/>
          <w:u w:val="none"/>
        </w:rPr>
        <w:t>所在地乡（镇）人民政府、街道办事处</w:t>
      </w:r>
      <w:r>
        <w:rPr>
          <w:rFonts w:cs="Times New Roman"/>
          <w:color w:val="000000"/>
          <w:szCs w:val="32"/>
          <w:u w:val="none"/>
        </w:rPr>
        <w:t>。</w:t>
      </w:r>
      <w:r>
        <w:rPr>
          <w:rFonts w:hint="eastAsia"/>
          <w:color w:val="000000"/>
          <w:u w:val="none"/>
        </w:rPr>
        <w:t>乡（镇）人民政府、街道办事处应当将移交信息及时报送民政部门。</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第十七条  </w:t>
      </w:r>
      <w:r>
        <w:rPr>
          <w:szCs w:val="32"/>
          <w:u w:val="none"/>
        </w:rPr>
        <w:t>未经法定程序不得改变居家养老服务用房的性质、用途。因城乡建设需要，经依法批准改变用途的，应当按照不少于原建筑面积原地重建或者就近建设、置换。</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第十八条  </w:t>
      </w:r>
      <w:r>
        <w:rPr>
          <w:szCs w:val="32"/>
          <w:u w:val="none"/>
        </w:rPr>
        <w:t>市、县（市、区）人民政府应当整合利用社区综合服务设施、社会公共服务设施和社会福利设施，为老年人提供居家养老服务。调整社会公共服务设施、城乡社区配套设施用途时，应当优先用于居家养老服务。</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鼓励将闲置</w:t>
      </w:r>
      <w:r>
        <w:rPr>
          <w:rFonts w:hint="eastAsia"/>
          <w:szCs w:val="32"/>
          <w:u w:val="none"/>
        </w:rPr>
        <w:t>的</w:t>
      </w:r>
      <w:r>
        <w:rPr>
          <w:szCs w:val="32"/>
          <w:u w:val="none"/>
        </w:rPr>
        <w:t>国有或者集体房产</w:t>
      </w:r>
      <w:r>
        <w:rPr>
          <w:rFonts w:hint="eastAsia"/>
          <w:szCs w:val="32"/>
          <w:u w:val="none"/>
        </w:rPr>
        <w:t>依法</w:t>
      </w:r>
      <w:r>
        <w:rPr>
          <w:szCs w:val="32"/>
          <w:u w:val="none"/>
        </w:rPr>
        <w:t>无偿或者低偿用于非营利性居家养老服务。</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鼓励国家机关、团体、企</w:t>
      </w:r>
      <w:r>
        <w:rPr>
          <w:rFonts w:hint="eastAsia"/>
          <w:szCs w:val="32"/>
          <w:u w:val="none"/>
        </w:rPr>
        <w:t>业</w:t>
      </w:r>
      <w:r>
        <w:rPr>
          <w:szCs w:val="32"/>
          <w:u w:val="none"/>
        </w:rPr>
        <w:t>事业单位开放所属场所，为居家老年人提供就餐、文化、健身、娱乐等服务。</w:t>
      </w:r>
    </w:p>
    <w:p>
      <w:pPr>
        <w:pStyle w:val="Style12"/>
        <w:keepNext w:val="false"/>
        <w:keepLines w:val="false"/>
        <w:pageBreakBefore w:val="false"/>
        <w:widowControl w:val="false"/>
        <w:kinsoku w:val="true"/>
        <w:bidi w:val="0"/>
        <w:spacing w:lineRule="exact" w:line="560"/>
        <w:textAlignment w:val="auto"/>
        <w:rPr>
          <w:u w:val="none"/>
        </w:rPr>
      </w:pPr>
      <w:r>
        <w:rPr>
          <w:rFonts w:eastAsia="仿宋_GB2312;仿宋"/>
          <w:szCs w:val="32"/>
          <w:u w:val="none"/>
        </w:rPr>
        <w:t>鼓励</w:t>
      </w:r>
      <w:r>
        <w:rPr>
          <w:rFonts w:hint="eastAsia" w:eastAsia="仿宋_GB2312;仿宋"/>
          <w:szCs w:val="32"/>
          <w:u w:val="none"/>
        </w:rPr>
        <w:t>社会力量将</w:t>
      </w:r>
      <w:r>
        <w:rPr>
          <w:rFonts w:eastAsia="仿宋_GB2312;仿宋"/>
          <w:szCs w:val="32"/>
          <w:u w:val="none"/>
        </w:rPr>
        <w:t>闲置的医院、学校、企业厂房、商业设施、农村集体房屋及其他可利用的社会资源，</w:t>
      </w:r>
      <w:r>
        <w:rPr>
          <w:rFonts w:hint="eastAsia" w:eastAsia="仿宋_GB2312;仿宋"/>
          <w:szCs w:val="32"/>
          <w:u w:val="none"/>
        </w:rPr>
        <w:t>依法</w:t>
      </w:r>
      <w:r>
        <w:rPr>
          <w:rFonts w:eastAsia="仿宋_GB2312;仿宋"/>
          <w:szCs w:val="32"/>
          <w:u w:val="none"/>
        </w:rPr>
        <w:t>改造后用于</w:t>
      </w:r>
      <w:r>
        <w:rPr>
          <w:rFonts w:hint="eastAsia" w:eastAsia="仿宋_GB2312;仿宋"/>
          <w:szCs w:val="32"/>
          <w:u w:val="none"/>
        </w:rPr>
        <w:t>居家</w:t>
      </w:r>
      <w:r>
        <w:rPr>
          <w:rFonts w:eastAsia="仿宋_GB2312;仿宋"/>
          <w:szCs w:val="32"/>
          <w:u w:val="none"/>
        </w:rPr>
        <w:t>养老服务。</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第十九条  </w:t>
      </w:r>
      <w:r>
        <w:rPr>
          <w:szCs w:val="32"/>
          <w:u w:val="none"/>
        </w:rPr>
        <w:t>已建成住宅小区内的坡道、楼梯、电梯、公厕等与老年人日常生活密切相关的公共设施，不符合国家无障碍设施强制性</w:t>
      </w:r>
      <w:r>
        <w:rPr>
          <w:rFonts w:hint="eastAsia"/>
          <w:szCs w:val="32"/>
          <w:u w:val="none"/>
        </w:rPr>
        <w:t>标准</w:t>
      </w:r>
      <w:r>
        <w:rPr>
          <w:szCs w:val="32"/>
          <w:u w:val="none"/>
        </w:rPr>
        <w:t>的，市、县（市、区）人民政府应当制定改造计划或者将其纳入老旧小区改造计划并组织实施。</w:t>
      </w:r>
      <w:r>
        <mc:AlternateContent>
          <mc:Choice Requires="wps">
            <w:drawing>
              <wp:anchor distT="0" distB="0" distL="113665" distR="113665" simplePos="0" relativeHeight="8" behindDoc="0" locked="0" layoutInCell="0" allowOverlap="1">
                <wp:simplePos x="0" y="0"/>
                <wp:positionH relativeFrom="margin">
                  <wp:posOffset>76200</wp:posOffset>
                </wp:positionH>
                <wp:positionV relativeFrom="paragraph">
                  <wp:posOffset>1298575</wp:posOffset>
                </wp:positionV>
                <wp:extent cx="881380" cy="332740"/>
                <wp:effectExtent l="0" t="0" r="0" b="0"/>
                <wp:wrapNone/>
                <wp:docPr id="7" name="Frame7"/>
                <a:graphic xmlns:a="http://schemas.openxmlformats.org/drawingml/2006/main">
                  <a:graphicData uri="http://schemas.microsoft.com/office/word/2010/wordprocessingShape">
                    <wps:wsp>
                      <wps:cNvSpPr txBox="1"/>
                      <wps:spPr>
                        <a:xfrm>
                          <a:off x="0" y="0"/>
                          <a:ext cx="881380" cy="33274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t xml:space="preserve">8 </w:t>
                            </w:r>
                            <w:r>
                              <w:rPr>
                                <w:rStyle w:val="PageNumber"/>
                                <w:rFonts w:hint="eastAsia"/>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69.4pt;height:26.2pt;mso-wrap-distance-left:8.95pt;mso-wrap-distance-right:8.95pt;mso-wrap-distance-top:0pt;mso-wrap-distance-bottom:0pt;margin-top:102.25pt;mso-position-vertical-relative:text;margin-left:6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t xml:space="preserve">8 </w:t>
                      </w:r>
                      <w:r>
                        <w:rPr>
                          <w:rStyle w:val="PageNumber"/>
                          <w:rFonts w:hint="eastAsia"/>
                          <w:sz w:val="28"/>
                          <w:szCs w:val="28"/>
                        </w:rPr>
                        <w:t xml:space="preserve">— </w:t>
                      </w:r>
                    </w:p>
                  </w:txbxContent>
                </v:textbox>
                <w10:wrap type="none"/>
              </v:rect>
            </w:pict>
          </mc:Fallback>
        </mc:AlternateConten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hint="eastAsia"/>
          <w:szCs w:val="32"/>
          <w:u w:val="none"/>
        </w:rPr>
        <w:t>鼓励和支持符合条件的既有住宅加装电梯。加装电梯所需的建设、运行使用、维护管理等资金由业主承担，具体费用由业主根据所在楼层等因素协商。市、县（市、区）人民政府可以安排资金用于老旧小区住宅加装电梯项目建设、管线迁移等事项的补助。既有住宅加装电梯的具体办法由市住房和城乡建设部门制定并公布。</w:t>
      </w:r>
    </w:p>
    <w:p>
      <w:pPr>
        <w:pStyle w:val="Normal"/>
        <w:keepNext w:val="false"/>
        <w:keepLines w:val="false"/>
        <w:pageBreakBefore w:val="false"/>
        <w:widowControl w:val="false"/>
        <w:kinsoku w:val="true"/>
        <w:autoSpaceDE w:val="false"/>
        <w:bidi w:val="0"/>
        <w:snapToGrid w:val="false"/>
        <w:spacing w:lineRule="exact" w:line="560"/>
        <w:ind w:firstLineChars="200" w:startChars="0" w:start="0" w:endChars="0" w:end="0"/>
        <w:textAlignment w:val="auto"/>
        <w:rPr>
          <w:rFonts w:ascii="仿宋_GB2312;仿宋" w:hAnsi="仿宋_GB2312;仿宋" w:hint="eastAsia"/>
          <w:u w:val="none"/>
        </w:rPr>
      </w:pPr>
      <w:r>
        <w:rPr>
          <w:rFonts w:ascii="仿宋_GB2312;仿宋" w:hAnsi="仿宋_GB2312;仿宋" w:hint="eastAsia"/>
          <w:u w:val="none"/>
        </w:rPr>
        <w:t>鼓励和支持老年人家庭进行日常生活设施适老化、无障碍改造。</w:t>
      </w:r>
    </w:p>
    <w:p>
      <w:pPr>
        <w:pStyle w:val="Style12"/>
        <w:keepNext w:val="false"/>
        <w:keepLines w:val="false"/>
        <w:pageBreakBefore w:val="false"/>
        <w:widowControl w:val="false"/>
        <w:kinsoku w:val="true"/>
        <w:bidi w:val="0"/>
        <w:spacing w:lineRule="exact" w:line="560"/>
        <w:textAlignment w:val="auto"/>
        <w:rPr>
          <w:rFonts w:ascii="仿宋_GB2312;仿宋" w:hAnsi="仿宋_GB2312;仿宋" w:hint="eastAsia"/>
          <w:u w:val="none"/>
        </w:rPr>
      </w:pPr>
      <w:r>
        <w:rPr>
          <w:rFonts w:hint="eastAsia" w:ascii="仿宋_GB2312;仿宋" w:hAnsi="仿宋_GB2312;仿宋"/>
          <w:u w:val="none"/>
        </w:rPr>
      </w:r>
    </w:p>
    <w:p>
      <w:pPr>
        <w:pStyle w:val="Normal"/>
        <w:keepNext w:val="false"/>
        <w:keepLines w:val="false"/>
        <w:pageBreakBefore w:val="false"/>
        <w:widowControl w:val="false"/>
        <w:kinsoku w:val="true"/>
        <w:bidi w:val="0"/>
        <w:spacing w:lineRule="exact" w:line="560"/>
        <w:jc w:val="center"/>
        <w:textAlignment w:val="auto"/>
        <w:rPr>
          <w:rFonts w:ascii="黑体" w:hAnsi="黑体" w:eastAsia="黑体" w:cs="黑体" w:hint="eastAsia"/>
          <w:szCs w:val="32"/>
          <w:u w:val="none"/>
        </w:rPr>
      </w:pPr>
      <w:r>
        <w:rPr>
          <w:rFonts w:ascii="黑体" w:hAnsi="黑体" w:cs="黑体" w:hint="eastAsia" w:eastAsia="黑体"/>
          <w:szCs w:val="32"/>
          <w:u w:val="none"/>
        </w:rPr>
        <w:t>第三章  服务供给</w:t>
      </w:r>
    </w:p>
    <w:p>
      <w:pPr>
        <w:pStyle w:val="Style12"/>
        <w:keepNext w:val="false"/>
        <w:keepLines w:val="false"/>
        <w:pageBreakBefore w:val="false"/>
        <w:widowControl w:val="false"/>
        <w:kinsoku w:val="true"/>
        <w:bidi w:val="0"/>
        <w:spacing w:lineRule="exact" w:line="560"/>
        <w:ind w:firstLineChars="0" w:firstLine="0" w:endChars="0" w:end="0"/>
        <w:textAlignment w:val="auto"/>
        <w:rPr>
          <w:rFonts w:ascii="黑体" w:hAnsi="黑体" w:eastAsia="黑体" w:cs="黑体" w:hint="eastAsia"/>
          <w:szCs w:val="32"/>
          <w:u w:val="none"/>
        </w:rPr>
      </w:pPr>
      <w:r>
        <w:rPr>
          <w:rFonts w:eastAsia="黑体" w:cs="黑体" w:hint="eastAsia" w:ascii="黑体" w:hAnsi="黑体"/>
          <w:szCs w:val="32"/>
          <w:u w:val="none"/>
        </w:rPr>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第二十条  </w:t>
      </w:r>
      <w:r>
        <w:rPr>
          <w:szCs w:val="32"/>
          <w:u w:val="none"/>
        </w:rPr>
        <w:t>具有本市户籍并且居住在本市的老年人按照规定享受由政府提供的下列基本服务：</w:t>
      </w:r>
    </w:p>
    <w:p>
      <w:pPr>
        <w:pStyle w:val="Normal"/>
        <w:keepNext w:val="false"/>
        <w:keepLines w:val="false"/>
        <w:pageBreakBefore w:val="false"/>
        <w:widowControl w:val="false"/>
        <w:numPr>
          <w:ilvl w:val="0"/>
          <w:numId w:val="4"/>
        </w:numPr>
        <w:tabs>
          <w:tab w:val="clear" w:pos="420"/>
          <w:tab w:val="left" w:pos="0" w:leader="none"/>
        </w:tabs>
        <w:kinsoku w:val="true"/>
        <w:bidi w:val="0"/>
        <w:spacing w:lineRule="exact" w:line="560"/>
        <w:ind w:firstLineChars="200" w:startChars="0" w:start="0" w:endChars="0" w:end="0"/>
        <w:textAlignment w:val="auto"/>
        <w:rPr>
          <w:szCs w:val="32"/>
          <w:u w:val="none"/>
        </w:rPr>
      </w:pPr>
      <w:r>
        <w:rPr>
          <w:szCs w:val="32"/>
          <w:u w:val="none"/>
        </w:rPr>
        <w:t>最低生活保障家庭、最低生活保障边缘家庭中的重度失能失智、中度失能失智的老年人享受一定时间的免费居家养老服务，其中重度失能失智老年人每人每月不少于二十小时，中度失能失智老年人每人每月不少于十小时；</w:t>
      </w:r>
    </w:p>
    <w:p>
      <w:pPr>
        <w:pStyle w:val="Normal"/>
        <w:keepNext w:val="false"/>
        <w:keepLines w:val="false"/>
        <w:pageBreakBefore w:val="false"/>
        <w:widowControl w:val="false"/>
        <w:numPr>
          <w:ilvl w:val="0"/>
          <w:numId w:val="4"/>
        </w:numPr>
        <w:tabs>
          <w:tab w:val="clear" w:pos="420"/>
          <w:tab w:val="left" w:pos="0" w:leader="none"/>
        </w:tabs>
        <w:kinsoku w:val="true"/>
        <w:bidi w:val="0"/>
        <w:spacing w:lineRule="exact" w:line="560"/>
        <w:ind w:firstLineChars="200" w:startChars="0" w:start="0" w:endChars="0" w:end="0"/>
        <w:textAlignment w:val="auto"/>
        <w:rPr>
          <w:szCs w:val="32"/>
          <w:u w:val="none"/>
        </w:rPr>
      </w:pPr>
      <w:r>
        <w:rPr>
          <w:szCs w:val="32"/>
          <w:u w:val="none"/>
        </w:rPr>
        <w:t>八十周岁以上</w:t>
      </w:r>
      <w:r>
        <w:rPr>
          <w:rFonts w:hint="eastAsia"/>
          <w:szCs w:val="32"/>
          <w:u w:val="none"/>
        </w:rPr>
        <w:t>以及</w:t>
      </w:r>
      <w:r>
        <w:rPr>
          <w:szCs w:val="32"/>
          <w:u w:val="none"/>
        </w:rPr>
        <w:t>计划生育特殊困难家庭中</w:t>
      </w:r>
      <w:r>
        <w:rPr>
          <w:rFonts w:hint="eastAsia"/>
          <w:szCs w:val="32"/>
          <w:u w:val="none"/>
        </w:rPr>
        <w:t>的</w:t>
      </w:r>
      <w:r>
        <w:rPr>
          <w:szCs w:val="32"/>
          <w:u w:val="none"/>
        </w:rPr>
        <w:t>七十周岁以上老年人，每人每月享受</w:t>
      </w:r>
      <w:r>
        <w:rPr>
          <w:rFonts w:hint="eastAsia"/>
          <w:szCs w:val="32"/>
          <w:u w:val="none"/>
        </w:rPr>
        <w:t>一定时间</w:t>
      </w:r>
      <w:r>
        <w:rPr>
          <w:szCs w:val="32"/>
          <w:u w:val="none"/>
        </w:rPr>
        <w:t>的免费居家养老服务；</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w:t>
      </w:r>
      <w:r>
        <w:rPr>
          <w:szCs w:val="32"/>
          <w:u w:val="none"/>
          <w:lang w:eastAsia="zh-CN"/>
        </w:rPr>
        <w:t>三</w:t>
      </w:r>
      <w:r>
        <w:rPr>
          <w:szCs w:val="32"/>
          <w:u w:val="none"/>
        </w:rPr>
        <w:t>）定期免费基础体检；</w:t>
      </w:r>
      <w:r>
        <mc:AlternateContent>
          <mc:Choice Requires="wps">
            <w:drawing>
              <wp:anchor distT="0" distB="0" distL="113665" distR="113665" simplePos="0" relativeHeight="9" behindDoc="0" locked="0" layoutInCell="0" allowOverlap="1">
                <wp:simplePos x="0" y="0"/>
                <wp:positionH relativeFrom="margin">
                  <wp:posOffset>4660265</wp:posOffset>
                </wp:positionH>
                <wp:positionV relativeFrom="paragraph">
                  <wp:posOffset>577850</wp:posOffset>
                </wp:positionV>
                <wp:extent cx="881380" cy="332740"/>
                <wp:effectExtent l="0" t="0" r="0" b="0"/>
                <wp:wrapNone/>
                <wp:docPr id="8" name="Frame8"/>
                <a:graphic xmlns:a="http://schemas.openxmlformats.org/drawingml/2006/main">
                  <a:graphicData uri="http://schemas.microsoft.com/office/word/2010/wordprocessingShape">
                    <wps:wsp>
                      <wps:cNvSpPr txBox="1"/>
                      <wps:spPr>
                        <a:xfrm>
                          <a:off x="0" y="0"/>
                          <a:ext cx="881380" cy="33274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t xml:space="preserve">9 </w:t>
                            </w:r>
                            <w:r>
                              <w:rPr>
                                <w:rStyle w:val="PageNumber"/>
                                <w:rFonts w:hint="eastAsia"/>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69.4pt;height:26.2pt;mso-wrap-distance-left:8.95pt;mso-wrap-distance-right:8.95pt;mso-wrap-distance-top:0pt;mso-wrap-distance-bottom:0pt;margin-top:45.5pt;mso-position-vertical-relative:text;margin-left:366.95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t xml:space="preserve">9 </w:t>
                      </w:r>
                      <w:r>
                        <w:rPr>
                          <w:rStyle w:val="PageNumber"/>
                          <w:rFonts w:hint="eastAsia"/>
                          <w:sz w:val="28"/>
                          <w:szCs w:val="28"/>
                        </w:rPr>
                        <w:t xml:space="preserve">— </w:t>
                      </w:r>
                    </w:p>
                  </w:txbxContent>
                </v:textbox>
                <w10:wrap type="none"/>
              </v:rect>
            </w:pict>
          </mc:Fallback>
        </mc:AlternateConten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w:t>
      </w:r>
      <w:r>
        <w:rPr>
          <w:szCs w:val="32"/>
          <w:u w:val="none"/>
          <w:lang w:eastAsia="zh-CN"/>
        </w:rPr>
        <w:t>四</w:t>
      </w:r>
      <w:r>
        <w:rPr>
          <w:szCs w:val="32"/>
          <w:u w:val="none"/>
        </w:rPr>
        <w:t>）最低生活保障、最低生活保障边缘老年人家庭进行生活设施适老化改造由政府提供资金补助；</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w:t>
      </w:r>
      <w:r>
        <w:rPr>
          <w:szCs w:val="32"/>
          <w:u w:val="none"/>
          <w:lang w:eastAsia="zh-CN"/>
        </w:rPr>
        <w:t>五</w:t>
      </w:r>
      <w:r>
        <w:rPr>
          <w:szCs w:val="32"/>
          <w:u w:val="none"/>
        </w:rPr>
        <w:t>）国家、省和市规定的其他基本服务。</w:t>
      </w:r>
    </w:p>
    <w:p>
      <w:pPr>
        <w:pStyle w:val="Style12"/>
        <w:keepNext w:val="false"/>
        <w:keepLines w:val="false"/>
        <w:pageBreakBefore w:val="false"/>
        <w:widowControl w:val="false"/>
        <w:kinsoku w:val="true"/>
        <w:bidi w:val="0"/>
        <w:spacing w:lineRule="exact" w:line="560"/>
        <w:textAlignment w:val="auto"/>
        <w:rPr>
          <w:rFonts w:eastAsia="仿宋_GB2312;仿宋" w:hint="eastAsia"/>
          <w:szCs w:val="32"/>
          <w:u w:val="none"/>
        </w:rPr>
      </w:pPr>
      <w:r>
        <w:rPr>
          <w:rFonts w:eastAsia="仿宋_GB2312;仿宋"/>
          <w:szCs w:val="32"/>
          <w:u w:val="none"/>
        </w:rPr>
        <w:t>前款规定的</w:t>
      </w:r>
      <w:r>
        <w:rPr>
          <w:rFonts w:hint="eastAsia" w:eastAsia="仿宋_GB2312;仿宋"/>
          <w:szCs w:val="32"/>
          <w:u w:val="none"/>
        </w:rPr>
        <w:t>服务实施主体、</w:t>
      </w:r>
      <w:r>
        <w:rPr>
          <w:rFonts w:eastAsia="仿宋_GB2312;仿宋"/>
          <w:szCs w:val="32"/>
          <w:u w:val="none"/>
        </w:rPr>
        <w:t>服务对象和内容，由县（市、区）人民政府制定具体实施办法并公布。</w:t>
      </w:r>
    </w:p>
    <w:p>
      <w:pPr>
        <w:pStyle w:val="E02Body"/>
        <w:keepNext w:val="false"/>
        <w:keepLines w:val="false"/>
        <w:pageBreakBefore w:val="false"/>
        <w:widowControl w:val="false"/>
        <w:kinsoku w:val="true"/>
        <w:overflowPunct w:val="false"/>
        <w:bidi w:val="0"/>
        <w:spacing w:lineRule="exact" w:line="560"/>
        <w:textAlignment w:val="auto"/>
        <w:rPr>
          <w:rFonts w:cs="Times New Roman"/>
          <w:color w:val="000000"/>
          <w:kern w:val="2"/>
          <w:szCs w:val="22"/>
          <w:u w:val="none"/>
        </w:rPr>
      </w:pPr>
      <w:r>
        <w:rPr>
          <w:rFonts w:cs="Times New Roman" w:hint="eastAsia"/>
          <w:color w:val="000000"/>
          <w:kern w:val="2"/>
          <w:szCs w:val="22"/>
          <w:u w:val="none"/>
        </w:rPr>
        <w:t>市、县（市、区）人民政府应当根据人口老龄化程度、经济社会发展水平和养老服务供给状况，逐步优化居家养老服务项目、提高服务标准、扩大服务保障对象。</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第二十一条  </w:t>
      </w:r>
      <w:r>
        <w:rPr>
          <w:szCs w:val="32"/>
          <w:u w:val="none"/>
        </w:rPr>
        <w:t>县（市、区）人民政府应当</w:t>
      </w:r>
      <w:r>
        <w:rPr>
          <w:rFonts w:hint="eastAsia"/>
          <w:szCs w:val="32"/>
          <w:u w:val="none"/>
        </w:rPr>
        <w:t>完善</w:t>
      </w:r>
      <w:r>
        <w:rPr>
          <w:szCs w:val="32"/>
          <w:u w:val="none"/>
        </w:rPr>
        <w:t>老年人能力</w:t>
      </w:r>
      <w:r>
        <w:rPr>
          <w:rFonts w:hint="eastAsia"/>
          <w:szCs w:val="32"/>
          <w:u w:val="none"/>
        </w:rPr>
        <w:t>综合</w:t>
      </w:r>
      <w:r>
        <w:rPr>
          <w:szCs w:val="32"/>
          <w:u w:val="none"/>
        </w:rPr>
        <w:t>评估</w:t>
      </w:r>
      <w:r>
        <w:rPr>
          <w:rFonts w:hint="eastAsia"/>
          <w:szCs w:val="32"/>
          <w:u w:val="none"/>
        </w:rPr>
        <w:t>机制</w:t>
      </w:r>
      <w:r>
        <w:rPr>
          <w:szCs w:val="32"/>
          <w:u w:val="none"/>
        </w:rPr>
        <w:t>，为老年人开展能力</w:t>
      </w:r>
      <w:r>
        <w:rPr>
          <w:rFonts w:hint="eastAsia"/>
          <w:szCs w:val="32"/>
          <w:u w:val="none"/>
        </w:rPr>
        <w:t>综合</w:t>
      </w:r>
      <w:r>
        <w:rPr>
          <w:szCs w:val="32"/>
          <w:u w:val="none"/>
        </w:rPr>
        <w:t>评估。</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民政部门应当会同有关部门根据评估结论确定由政府提供居家养老服务的对象、照护等级和服务标准，并向社会公示。</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第二十二条  </w:t>
      </w:r>
      <w:r>
        <w:rPr>
          <w:szCs w:val="32"/>
          <w:u w:val="none"/>
        </w:rPr>
        <w:t>乡镇（街道）居家养老服务中心通过上门或者集中等形式为居家老年人提供</w:t>
      </w:r>
      <w:r>
        <w:rPr>
          <w:rFonts w:hint="eastAsia"/>
          <w:szCs w:val="32"/>
          <w:u w:val="none"/>
        </w:rPr>
        <w:t>社会化</w:t>
      </w:r>
      <w:r>
        <w:rPr>
          <w:szCs w:val="32"/>
          <w:u w:val="none"/>
        </w:rPr>
        <w:t>服务，主要包括下列内容：</w:t>
      </w:r>
    </w:p>
    <w:p>
      <w:pPr>
        <w:pStyle w:val="Normal"/>
        <w:keepNext w:val="false"/>
        <w:keepLines w:val="false"/>
        <w:pageBreakBefore w:val="false"/>
        <w:widowControl w:val="false"/>
        <w:numPr>
          <w:ilvl w:val="0"/>
          <w:numId w:val="6"/>
        </w:numPr>
        <w:tabs>
          <w:tab w:val="clear" w:pos="420"/>
          <w:tab w:val="left" w:pos="0" w:leader="none"/>
        </w:tabs>
        <w:kinsoku w:val="true"/>
        <w:bidi w:val="0"/>
        <w:spacing w:lineRule="exact" w:line="560"/>
        <w:ind w:firstLineChars="200" w:startChars="0" w:start="0" w:endChars="0" w:end="0"/>
        <w:textAlignment w:val="auto"/>
        <w:rPr>
          <w:szCs w:val="32"/>
          <w:u w:val="none"/>
        </w:rPr>
      </w:pPr>
      <w:r>
        <w:rPr>
          <w:szCs w:val="32"/>
          <w:u w:val="none"/>
        </w:rPr>
        <w:t>助餐、助浴、助行、家政等生活服务；</w:t>
      </w:r>
    </w:p>
    <w:p>
      <w:pPr>
        <w:pStyle w:val="Normal"/>
        <w:keepNext w:val="false"/>
        <w:keepLines w:val="false"/>
        <w:pageBreakBefore w:val="false"/>
        <w:widowControl w:val="false"/>
        <w:numPr>
          <w:ilvl w:val="0"/>
          <w:numId w:val="6"/>
        </w:numPr>
        <w:tabs>
          <w:tab w:val="clear" w:pos="420"/>
          <w:tab w:val="left" w:pos="0" w:leader="none"/>
        </w:tabs>
        <w:kinsoku w:val="true"/>
        <w:bidi w:val="0"/>
        <w:spacing w:lineRule="exact" w:line="560"/>
        <w:ind w:firstLineChars="200" w:startChars="0" w:start="0" w:endChars="0" w:end="0"/>
        <w:textAlignment w:val="auto"/>
        <w:rPr>
          <w:szCs w:val="32"/>
          <w:u w:val="none"/>
        </w:rPr>
      </w:pPr>
      <w:r>
        <w:rPr>
          <w:szCs w:val="32"/>
          <w:u w:val="none"/>
        </w:rPr>
        <w:t>护理、康复、用药指导等康复护理服务；</w:t>
      </w:r>
    </w:p>
    <w:p>
      <w:pPr>
        <w:pStyle w:val="Normal"/>
        <w:keepNext w:val="false"/>
        <w:keepLines w:val="false"/>
        <w:pageBreakBefore w:val="false"/>
        <w:widowControl w:val="false"/>
        <w:numPr>
          <w:ilvl w:val="0"/>
          <w:numId w:val="6"/>
        </w:numPr>
        <w:tabs>
          <w:tab w:val="clear" w:pos="420"/>
          <w:tab w:val="left" w:pos="0" w:leader="none"/>
        </w:tabs>
        <w:kinsoku w:val="true"/>
        <w:bidi w:val="0"/>
        <w:spacing w:lineRule="exact" w:line="560"/>
        <w:ind w:firstLineChars="200" w:startChars="0" w:start="0" w:endChars="0" w:end="0"/>
        <w:textAlignment w:val="auto"/>
        <w:rPr>
          <w:szCs w:val="32"/>
          <w:u w:val="none"/>
        </w:rPr>
      </w:pPr>
      <w:r>
        <w:rPr>
          <w:szCs w:val="32"/>
          <w:u w:val="none"/>
        </w:rPr>
        <w:t>日间照料、临时托养等服务；</w:t>
      </w:r>
    </w:p>
    <w:p>
      <w:pPr>
        <w:pStyle w:val="Normal"/>
        <w:keepNext w:val="false"/>
        <w:keepLines w:val="false"/>
        <w:pageBreakBefore w:val="false"/>
        <w:widowControl w:val="false"/>
        <w:numPr>
          <w:ilvl w:val="0"/>
          <w:numId w:val="6"/>
        </w:numPr>
        <w:tabs>
          <w:tab w:val="clear" w:pos="420"/>
          <w:tab w:val="left" w:pos="0" w:leader="none"/>
        </w:tabs>
        <w:kinsoku w:val="true"/>
        <w:bidi w:val="0"/>
        <w:spacing w:lineRule="exact" w:line="560"/>
        <w:ind w:firstLineChars="200" w:startChars="0" w:start="0" w:endChars="0" w:end="0"/>
        <w:textAlignment w:val="auto"/>
        <w:rPr>
          <w:szCs w:val="32"/>
          <w:u w:val="none"/>
        </w:rPr>
      </w:pPr>
      <w:r>
        <w:rPr>
          <w:szCs w:val="32"/>
          <w:u w:val="none"/>
        </w:rPr>
        <w:t>关怀探访、生活陪伴、心理咨询、情绪疏导等精神慰藉服务；</w:t>
      </w:r>
    </w:p>
    <w:p>
      <w:pPr>
        <w:pStyle w:val="Normal"/>
        <w:keepNext w:val="false"/>
        <w:keepLines w:val="false"/>
        <w:pageBreakBefore w:val="false"/>
        <w:widowControl w:val="false"/>
        <w:numPr>
          <w:ilvl w:val="0"/>
          <w:numId w:val="6"/>
        </w:numPr>
        <w:tabs>
          <w:tab w:val="clear" w:pos="420"/>
          <w:tab w:val="left" w:pos="0" w:leader="none"/>
        </w:tabs>
        <w:kinsoku w:val="true"/>
        <w:bidi w:val="0"/>
        <w:spacing w:lineRule="exact" w:line="560"/>
        <w:ind w:firstLineChars="200" w:startChars="0" w:start="0" w:endChars="0" w:end="0"/>
        <w:textAlignment w:val="auto"/>
        <w:rPr>
          <w:szCs w:val="32"/>
          <w:u w:val="none"/>
        </w:rPr>
      </w:pPr>
      <w:r>
        <w:rPr>
          <w:szCs w:val="32"/>
          <w:u w:val="none"/>
        </w:rPr>
        <w:t>家庭照护技能培训、康复辅助器具租赁等家庭支持服务；</w:t>
      </w:r>
      <w:r>
        <mc:AlternateContent>
          <mc:Choice Requires="wps">
            <w:drawing>
              <wp:anchor distT="0" distB="0" distL="113665" distR="113665" simplePos="0" relativeHeight="10" behindDoc="0" locked="0" layoutInCell="0" allowOverlap="1">
                <wp:simplePos x="0" y="0"/>
                <wp:positionH relativeFrom="margin">
                  <wp:posOffset>76200</wp:posOffset>
                </wp:positionH>
                <wp:positionV relativeFrom="paragraph">
                  <wp:posOffset>963295</wp:posOffset>
                </wp:positionV>
                <wp:extent cx="881380" cy="332740"/>
                <wp:effectExtent l="0" t="0" r="0" b="0"/>
                <wp:wrapNone/>
                <wp:docPr id="9" name="Frame9"/>
                <a:graphic xmlns:a="http://schemas.openxmlformats.org/drawingml/2006/main">
                  <a:graphicData uri="http://schemas.microsoft.com/office/word/2010/wordprocessingShape">
                    <wps:wsp>
                      <wps:cNvSpPr txBox="1"/>
                      <wps:spPr>
                        <a:xfrm>
                          <a:off x="0" y="0"/>
                          <a:ext cx="881380" cy="33274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t xml:space="preserve">10 </w:t>
                            </w:r>
                            <w:r>
                              <w:rPr>
                                <w:rStyle w:val="PageNumber"/>
                                <w:rFonts w:hint="eastAsia"/>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69.4pt;height:26.2pt;mso-wrap-distance-left:8.95pt;mso-wrap-distance-right:8.95pt;mso-wrap-distance-top:0pt;mso-wrap-distance-bottom:0pt;margin-top:75.85pt;mso-position-vertical-relative:text;margin-left:6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t xml:space="preserve">10 </w:t>
                      </w:r>
                      <w:r>
                        <w:rPr>
                          <w:rStyle w:val="PageNumber"/>
                          <w:rFonts w:hint="eastAsia"/>
                          <w:sz w:val="28"/>
                          <w:szCs w:val="28"/>
                        </w:rPr>
                        <w:t xml:space="preserve">— </w:t>
                      </w:r>
                    </w:p>
                  </w:txbxContent>
                </v:textbox>
                <w10:wrap type="none"/>
              </v:rect>
            </w:pict>
          </mc:Fallback>
        </mc:AlternateContent>
      </w:r>
    </w:p>
    <w:p>
      <w:pPr>
        <w:pStyle w:val="Normal"/>
        <w:keepNext w:val="false"/>
        <w:keepLines w:val="false"/>
        <w:pageBreakBefore w:val="false"/>
        <w:widowControl w:val="false"/>
        <w:numPr>
          <w:ilvl w:val="0"/>
          <w:numId w:val="6"/>
        </w:numPr>
        <w:tabs>
          <w:tab w:val="clear" w:pos="420"/>
          <w:tab w:val="left" w:pos="0" w:leader="none"/>
        </w:tabs>
        <w:kinsoku w:val="true"/>
        <w:bidi w:val="0"/>
        <w:spacing w:lineRule="exact" w:line="560"/>
        <w:ind w:firstLineChars="200" w:startChars="0" w:start="0" w:endChars="0" w:end="0"/>
        <w:textAlignment w:val="auto"/>
        <w:rPr>
          <w:szCs w:val="32"/>
          <w:u w:val="none"/>
        </w:rPr>
      </w:pPr>
      <w:r>
        <w:rPr>
          <w:rFonts w:hint="eastAsia"/>
          <w:szCs w:val="32"/>
          <w:u w:val="none"/>
        </w:rPr>
        <w:t>老年教育、</w:t>
      </w:r>
      <w:r>
        <w:rPr>
          <w:szCs w:val="32"/>
          <w:u w:val="none"/>
        </w:rPr>
        <w:t>文化娱乐、体育健身等有益于老年人身心健康的服务；</w:t>
      </w:r>
    </w:p>
    <w:p>
      <w:pPr>
        <w:pStyle w:val="Normal"/>
        <w:keepNext w:val="false"/>
        <w:keepLines w:val="false"/>
        <w:pageBreakBefore w:val="false"/>
        <w:widowControl w:val="false"/>
        <w:numPr>
          <w:ilvl w:val="0"/>
          <w:numId w:val="6"/>
        </w:numPr>
        <w:tabs>
          <w:tab w:val="clear" w:pos="420"/>
          <w:tab w:val="left" w:pos="0" w:leader="none"/>
        </w:tabs>
        <w:kinsoku w:val="true"/>
        <w:bidi w:val="0"/>
        <w:spacing w:lineRule="exact" w:line="560"/>
        <w:ind w:firstLineChars="200" w:startChars="0" w:start="0" w:endChars="0" w:end="0"/>
        <w:textAlignment w:val="auto"/>
        <w:rPr>
          <w:szCs w:val="32"/>
          <w:u w:val="none"/>
        </w:rPr>
      </w:pPr>
      <w:r>
        <w:rPr>
          <w:szCs w:val="32"/>
          <w:u w:val="none"/>
        </w:rPr>
        <w:t>法律咨询等其他服务。</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rFonts w:hint="eastAsia"/>
          <w:szCs w:val="32"/>
          <w:u w:val="none"/>
          <w:lang w:val="zh-CN"/>
        </w:rPr>
      </w:pPr>
      <w:r>
        <w:rPr>
          <w:szCs w:val="32"/>
          <w:u w:val="none"/>
        </w:rPr>
        <w:t>村（</w:t>
      </w:r>
      <w:r>
        <w:rPr>
          <w:rFonts w:hint="eastAsia"/>
          <w:szCs w:val="32"/>
          <w:u w:val="none"/>
        </w:rPr>
        <w:t>社区</w:t>
      </w:r>
      <w:r>
        <w:rPr>
          <w:szCs w:val="32"/>
          <w:u w:val="none"/>
        </w:rPr>
        <w:t>）</w:t>
      </w:r>
      <w:r>
        <w:rPr>
          <w:szCs w:val="32"/>
          <w:u w:val="none"/>
          <w:lang w:val="zh-CN"/>
        </w:rPr>
        <w:t>居家养老服务照料中心应当</w:t>
      </w:r>
      <w:r>
        <w:rPr>
          <w:rFonts w:hint="eastAsia"/>
          <w:szCs w:val="32"/>
          <w:u w:val="none"/>
          <w:lang w:val="zh-CN"/>
        </w:rPr>
        <w:t>根据服务区域居家老年人的需求，针对性提供前款规定的居家养老服务，并根据实际情况为居家老年人提供上门服务或者个性化服务。</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eastAsia="黑体"/>
          <w:szCs w:val="32"/>
          <w:u w:val="none"/>
        </w:rPr>
        <w:t>第</w:t>
      </w:r>
      <w:r>
        <w:rPr>
          <w:rFonts w:hint="eastAsia" w:eastAsia="黑体"/>
          <w:szCs w:val="32"/>
          <w:u w:val="none"/>
        </w:rPr>
        <w:t>二</w:t>
      </w:r>
      <w:r>
        <w:rPr>
          <w:rFonts w:eastAsia="黑体"/>
          <w:szCs w:val="32"/>
          <w:u w:val="none"/>
        </w:rPr>
        <w:t>十</w:t>
      </w:r>
      <w:r>
        <w:rPr>
          <w:rFonts w:hint="eastAsia" w:eastAsia="黑体"/>
          <w:szCs w:val="32"/>
          <w:u w:val="none"/>
        </w:rPr>
        <w:t>三</w:t>
      </w:r>
      <w:r>
        <w:rPr>
          <w:rFonts w:eastAsia="黑体"/>
          <w:szCs w:val="32"/>
          <w:u w:val="none"/>
        </w:rPr>
        <w:t>条</w:t>
      </w:r>
      <w:r>
        <w:rPr>
          <w:rFonts w:ascii="黑体" w:hAnsi="黑体" w:cs="黑体" w:hint="eastAsia" w:eastAsia="黑体"/>
          <w:szCs w:val="32"/>
          <w:u w:val="none"/>
        </w:rPr>
        <w:t xml:space="preserve">  </w:t>
      </w:r>
      <w:r>
        <w:rPr>
          <w:szCs w:val="32"/>
          <w:u w:val="none"/>
        </w:rPr>
        <w:t>乡镇（街道）居家养老服务中心</w:t>
      </w:r>
      <w:r>
        <w:rPr>
          <w:rFonts w:hint="eastAsia"/>
          <w:szCs w:val="32"/>
          <w:u w:val="none"/>
        </w:rPr>
        <w:t>和有条件的</w:t>
      </w:r>
      <w:r>
        <w:rPr>
          <w:szCs w:val="32"/>
          <w:u w:val="none"/>
        </w:rPr>
        <w:t>村（</w:t>
      </w:r>
      <w:r>
        <w:rPr>
          <w:rFonts w:hint="eastAsia"/>
          <w:szCs w:val="32"/>
          <w:u w:val="none"/>
        </w:rPr>
        <w:t>社区</w:t>
      </w:r>
      <w:r>
        <w:rPr>
          <w:szCs w:val="32"/>
          <w:u w:val="none"/>
        </w:rPr>
        <w:t>）</w:t>
      </w:r>
      <w:r>
        <w:rPr>
          <w:szCs w:val="32"/>
          <w:u w:val="none"/>
          <w:lang w:val="zh-CN"/>
        </w:rPr>
        <w:t>居家养老服务照料中心</w:t>
      </w:r>
      <w:r>
        <w:rPr>
          <w:rFonts w:hint="eastAsia"/>
          <w:szCs w:val="32"/>
          <w:u w:val="none"/>
        </w:rPr>
        <w:t>按照“十五分钟幸福生活圈”的要求，通过设置老年人食堂、助餐点等方式，为有需求的老年人提供助餐服务</w:t>
      </w:r>
      <w:r>
        <w:rPr>
          <w:szCs w:val="32"/>
          <w:u w:val="none"/>
        </w:rPr>
        <w:t>。</w:t>
      </w:r>
      <w:r>
        <w:rPr>
          <w:rFonts w:hint="eastAsia"/>
          <w:szCs w:val="32"/>
          <w:u w:val="none"/>
        </w:rPr>
        <w:t>助餐服务应当遵守食品安全法律法规，保障老年人用餐安全。</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rFonts w:hint="eastAsia"/>
          <w:szCs w:val="32"/>
          <w:u w:val="none"/>
        </w:rPr>
      </w:pPr>
      <w:r>
        <w:rPr>
          <w:rFonts w:hint="eastAsia"/>
          <w:szCs w:val="32"/>
          <w:u w:val="none"/>
        </w:rPr>
        <w:t>提供集中就餐式助餐服务的，应当在就餐地点显著位置告知餐饮价格、服务时间、服务须知等内容。</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hint="eastAsia"/>
          <w:szCs w:val="32"/>
          <w:u w:val="none"/>
        </w:rPr>
        <w:t>提供配送餐式助餐服务的，应当在宣传资料上告知覆盖范围、餐饮价格、服务时间、服务须知等内容，在承诺服务时间内将膳食配送到户或者助餐点。</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rFonts w:hint="eastAsia"/>
          <w:szCs w:val="32"/>
          <w:u w:val="none"/>
        </w:rPr>
      </w:pPr>
      <w:r>
        <w:rPr>
          <w:rFonts w:hint="eastAsia"/>
          <w:szCs w:val="32"/>
          <w:u w:val="none"/>
        </w:rPr>
        <w:t>民政部门应当会同市场监督管理部门</w:t>
      </w:r>
      <w:r>
        <w:rPr>
          <w:szCs w:val="32"/>
          <w:u w:val="none"/>
        </w:rPr>
        <w:t>建立居家养老</w:t>
      </w:r>
      <w:r>
        <w:rPr>
          <w:rFonts w:hint="eastAsia"/>
          <w:szCs w:val="32"/>
          <w:u w:val="none"/>
        </w:rPr>
        <w:t>助</w:t>
      </w:r>
      <w:r>
        <w:rPr>
          <w:szCs w:val="32"/>
          <w:u w:val="none"/>
        </w:rPr>
        <w:t>餐服务</w:t>
      </w:r>
      <w:r>
        <w:rPr>
          <w:rFonts w:hint="eastAsia"/>
          <w:szCs w:val="32"/>
          <w:u w:val="none"/>
        </w:rPr>
        <w:t>质量评价和监督</w:t>
      </w:r>
      <w:r>
        <w:rPr>
          <w:szCs w:val="32"/>
          <w:u w:val="none"/>
        </w:rPr>
        <w:t>体系。</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第二十四条  </w:t>
      </w:r>
      <w:r>
        <w:rPr>
          <w:szCs w:val="32"/>
          <w:u w:val="none"/>
        </w:rPr>
        <w:t>卫生健康部门应当完善基层医疗卫生服务网络，指导并督促基层医疗卫生机构为居家老年人提供下列服务：</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（一）建立个人健康档案，开展慢性病管理、健康咨询、疾病预防、心理健康等公共卫生服务，开展自救和自我保健等健康指导；</w:t>
      </w:r>
      <w:r>
        <mc:AlternateContent>
          <mc:Choice Requires="wps">
            <w:drawing>
              <wp:anchor distT="0" distB="0" distL="113665" distR="113665" simplePos="0" relativeHeight="11" behindDoc="0" locked="0" layoutInCell="0" allowOverlap="1">
                <wp:simplePos x="0" y="0"/>
                <wp:positionH relativeFrom="margin">
                  <wp:posOffset>4676775</wp:posOffset>
                </wp:positionH>
                <wp:positionV relativeFrom="paragraph">
                  <wp:posOffset>574675</wp:posOffset>
                </wp:positionV>
                <wp:extent cx="881380" cy="332740"/>
                <wp:effectExtent l="0" t="0" r="0" b="0"/>
                <wp:wrapNone/>
                <wp:docPr id="10" name="Frame10"/>
                <a:graphic xmlns:a="http://schemas.openxmlformats.org/drawingml/2006/main">
                  <a:graphicData uri="http://schemas.microsoft.com/office/word/2010/wordprocessingShape">
                    <wps:wsp>
                      <wps:cNvSpPr txBox="1"/>
                      <wps:spPr>
                        <a:xfrm>
                          <a:off x="0" y="0"/>
                          <a:ext cx="881380" cy="33274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t xml:space="preserve">11 </w:t>
                            </w:r>
                            <w:r>
                              <w:rPr>
                                <w:rStyle w:val="PageNumber"/>
                                <w:rFonts w:hint="eastAsia"/>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69.4pt;height:26.2pt;mso-wrap-distance-left:8.95pt;mso-wrap-distance-right:8.95pt;mso-wrap-distance-top:0pt;mso-wrap-distance-bottom:0pt;margin-top:45.25pt;mso-position-vertical-relative:text;margin-left:368.25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t xml:space="preserve">11 </w:t>
                      </w:r>
                      <w:r>
                        <w:rPr>
                          <w:rStyle w:val="PageNumber"/>
                          <w:rFonts w:hint="eastAsia"/>
                          <w:sz w:val="28"/>
                          <w:szCs w:val="28"/>
                        </w:rPr>
                        <w:t xml:space="preserve">— </w:t>
                      </w:r>
                    </w:p>
                  </w:txbxContent>
                </v:textbox>
                <w10:wrap type="none"/>
              </v:rect>
            </w:pict>
          </mc:Fallback>
        </mc:AlternateConten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（二）开展家庭医生签约服务，为签约老年人提供慢性病连续处方服务，实施慢性病跟踪防治管理，为行动不便确有需要的老年人提供上门巡诊和家庭病床服务；</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（三）</w:t>
      </w:r>
      <w:r>
        <w:rPr>
          <w:rFonts w:hint="eastAsia"/>
          <w:szCs w:val="32"/>
          <w:u w:val="none"/>
        </w:rPr>
        <w:t>为</w:t>
      </w:r>
      <w:r>
        <w:rPr>
          <w:szCs w:val="32"/>
          <w:u w:val="none"/>
        </w:rPr>
        <w:t>老年人提供优先就诊和转诊服务；</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（四）与</w:t>
      </w:r>
      <w:r>
        <w:rPr>
          <w:rFonts w:hint="eastAsia"/>
          <w:szCs w:val="32"/>
          <w:u w:val="none"/>
        </w:rPr>
        <w:t>有需要的</w:t>
      </w:r>
      <w:r>
        <w:rPr>
          <w:szCs w:val="32"/>
          <w:u w:val="none"/>
        </w:rPr>
        <w:t>居家养老服务机构签约合作，</w:t>
      </w:r>
      <w:r>
        <w:rPr>
          <w:rFonts w:hint="eastAsia"/>
          <w:szCs w:val="32"/>
          <w:u w:val="none"/>
        </w:rPr>
        <w:t>为老年人提供</w:t>
      </w:r>
      <w:r>
        <w:rPr>
          <w:szCs w:val="32"/>
          <w:u w:val="none"/>
        </w:rPr>
        <w:t>医疗服务；</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（五）提高康复、护理床位占比。</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卫生健康、医疗保障部门应当完善社区用药、医保报销政策，保障基层医疗卫生机构药物供应，为老年人在社区治疗常见病、慢性病用药、家庭病床配药、医疗费用结算提供</w:t>
      </w:r>
      <w:r>
        <w:rPr>
          <w:rFonts w:hint="eastAsia"/>
          <w:szCs w:val="32"/>
          <w:u w:val="none"/>
        </w:rPr>
        <w:t>便利</w:t>
      </w:r>
      <w:r>
        <w:rPr>
          <w:szCs w:val="32"/>
          <w:u w:val="none"/>
        </w:rPr>
        <w:t>。</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rFonts w:hint="eastAsia"/>
          <w:szCs w:val="32"/>
          <w:u w:val="none"/>
        </w:rPr>
      </w:pPr>
      <w:r>
        <w:rPr>
          <w:rFonts w:hint="eastAsia" w:eastAsia="黑体"/>
          <w:szCs w:val="32"/>
          <w:u w:val="none"/>
        </w:rPr>
        <w:t>第二</w:t>
      </w:r>
      <w:r>
        <w:rPr>
          <w:rFonts w:eastAsia="黑体"/>
          <w:szCs w:val="32"/>
          <w:u w:val="none"/>
        </w:rPr>
        <w:t>十</w:t>
      </w:r>
      <w:r>
        <w:rPr>
          <w:rFonts w:hint="eastAsia" w:eastAsia="黑体"/>
          <w:szCs w:val="32"/>
          <w:u w:val="none"/>
        </w:rPr>
        <w:t>五条</w:t>
      </w:r>
      <w:r>
        <w:rPr>
          <w:rFonts w:ascii="黑体" w:hAnsi="黑体" w:cs="黑体" w:hint="eastAsia" w:eastAsia="黑体"/>
          <w:szCs w:val="32"/>
          <w:u w:val="none"/>
        </w:rPr>
        <w:t xml:space="preserve">  </w:t>
      </w:r>
      <w:r>
        <w:rPr>
          <w:szCs w:val="32"/>
          <w:u w:val="none"/>
        </w:rPr>
        <w:t>市、县（市、区）人民政府</w:t>
      </w:r>
      <w:r>
        <w:rPr>
          <w:rFonts w:hint="eastAsia"/>
          <w:szCs w:val="32"/>
          <w:u w:val="none"/>
        </w:rPr>
        <w:t>应当统筹推进老年教育，建立和完善各级老年教育网络，推进老年教育资源共享，为老年人学习、社交生活搭建平台。</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rFonts w:hint="eastAsia"/>
          <w:szCs w:val="32"/>
          <w:u w:val="none"/>
        </w:rPr>
      </w:pPr>
      <w:r>
        <w:rPr>
          <w:rFonts w:hint="eastAsia"/>
          <w:szCs w:val="32"/>
          <w:u w:val="none"/>
        </w:rPr>
        <w:t>鼓励各类教育机构通过多种形式举办或者参与老年教育，在农村文化礼堂、乡村振兴讲堂、</w:t>
      </w:r>
      <w:r>
        <w:rPr>
          <w:rFonts w:ascii="Times New Roman" w:hAnsi="Times New Roman" w:cs="Times New Roman" w:hint="eastAsia"/>
          <w:color w:val="000000"/>
          <w:spacing w:val="6"/>
          <w:kern w:val="2"/>
          <w:sz w:val="32"/>
          <w:szCs w:val="24"/>
          <w:u w:val="none"/>
        </w:rPr>
        <w:t>乡镇（街道）居家养老服务中心</w:t>
      </w:r>
      <w:r>
        <w:rPr>
          <w:rFonts w:cs="Times New Roman" w:hint="eastAsia"/>
          <w:color w:val="000000"/>
          <w:spacing w:val="6"/>
          <w:kern w:val="2"/>
          <w:sz w:val="32"/>
          <w:szCs w:val="24"/>
          <w:u w:val="none"/>
        </w:rPr>
        <w:t>、</w:t>
      </w:r>
      <w:r>
        <w:rPr>
          <w:rFonts w:ascii="Times New Roman" w:hAnsi="Times New Roman" w:cs="Times New Roman" w:hint="eastAsia"/>
          <w:color w:val="000000"/>
          <w:spacing w:val="6"/>
          <w:kern w:val="2"/>
          <w:sz w:val="32"/>
          <w:szCs w:val="24"/>
          <w:u w:val="none"/>
        </w:rPr>
        <w:t>村（社区）居家养老服务照料中心</w:t>
      </w:r>
      <w:r>
        <w:rPr>
          <w:rFonts w:cs="Times New Roman" w:hint="eastAsia"/>
          <w:color w:val="000000"/>
          <w:spacing w:val="6"/>
          <w:kern w:val="2"/>
          <w:sz w:val="32"/>
          <w:szCs w:val="24"/>
          <w:u w:val="none"/>
        </w:rPr>
        <w:t>等</w:t>
      </w:r>
      <w:r>
        <w:rPr>
          <w:rFonts w:hint="eastAsia"/>
          <w:szCs w:val="32"/>
          <w:u w:val="none"/>
        </w:rPr>
        <w:t>开设老年教育教学点，方便老年人就近学习。</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第二十六条  </w:t>
      </w:r>
      <w:r>
        <w:rPr>
          <w:szCs w:val="32"/>
          <w:u w:val="none"/>
        </w:rPr>
        <w:t>充分利用网格化服务管理手段，发挥联村（</w:t>
      </w:r>
      <w:r>
        <w:rPr>
          <w:rFonts w:hint="eastAsia"/>
          <w:szCs w:val="32"/>
          <w:u w:val="none"/>
        </w:rPr>
        <w:t>社区</w:t>
      </w:r>
      <w:r>
        <w:rPr>
          <w:szCs w:val="32"/>
          <w:u w:val="none"/>
        </w:rPr>
        <w:t>）服务团队、联户党员、志愿者、物业服务企业的作用，为老年人提供居家养老志愿服务。</w:t>
      </w:r>
      <w:r>
        <mc:AlternateContent>
          <mc:Choice Requires="wps">
            <w:drawing>
              <wp:anchor distT="0" distB="0" distL="113665" distR="113665" simplePos="0" relativeHeight="12" behindDoc="0" locked="0" layoutInCell="0" allowOverlap="1">
                <wp:simplePos x="0" y="0"/>
                <wp:positionH relativeFrom="margin">
                  <wp:posOffset>95250</wp:posOffset>
                </wp:positionH>
                <wp:positionV relativeFrom="paragraph">
                  <wp:posOffset>1355725</wp:posOffset>
                </wp:positionV>
                <wp:extent cx="881380" cy="332740"/>
                <wp:effectExtent l="0" t="0" r="0" b="0"/>
                <wp:wrapNone/>
                <wp:docPr id="11" name="Frame11"/>
                <a:graphic xmlns:a="http://schemas.openxmlformats.org/drawingml/2006/main">
                  <a:graphicData uri="http://schemas.microsoft.com/office/word/2010/wordprocessingShape">
                    <wps:wsp>
                      <wps:cNvSpPr txBox="1"/>
                      <wps:spPr>
                        <a:xfrm>
                          <a:off x="0" y="0"/>
                          <a:ext cx="881380" cy="33274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t xml:space="preserve">12 </w:t>
                            </w:r>
                            <w:r>
                              <w:rPr>
                                <w:rStyle w:val="PageNumber"/>
                                <w:rFonts w:hint="eastAsia"/>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69.4pt;height:26.2pt;mso-wrap-distance-left:8.95pt;mso-wrap-distance-right:8.95pt;mso-wrap-distance-top:0pt;mso-wrap-distance-bottom:0pt;margin-top:106.75pt;mso-position-vertical-relative:text;margin-left:7.5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t xml:space="preserve">12 </w:t>
                      </w:r>
                      <w:r>
                        <w:rPr>
                          <w:rStyle w:val="PageNumber"/>
                          <w:rFonts w:hint="eastAsia"/>
                          <w:sz w:val="28"/>
                          <w:szCs w:val="28"/>
                        </w:rPr>
                        <w:t xml:space="preserve">— </w:t>
                      </w:r>
                    </w:p>
                  </w:txbxContent>
                </v:textbox>
                <w10:wrap type="none"/>
              </v:rect>
            </w:pict>
          </mc:Fallback>
        </mc:AlternateConten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r>
    </w:p>
    <w:p>
      <w:pPr>
        <w:pStyle w:val="Normal"/>
        <w:keepNext w:val="false"/>
        <w:keepLines w:val="false"/>
        <w:pageBreakBefore w:val="false"/>
        <w:widowControl w:val="false"/>
        <w:kinsoku w:val="true"/>
        <w:bidi w:val="0"/>
        <w:spacing w:lineRule="exact" w:line="560"/>
        <w:jc w:val="center"/>
        <w:textAlignment w:val="auto"/>
        <w:rPr>
          <w:rFonts w:ascii="黑体" w:hAnsi="黑体" w:eastAsia="黑体" w:cs="黑体" w:hint="eastAsia"/>
          <w:szCs w:val="32"/>
          <w:u w:val="none"/>
        </w:rPr>
      </w:pPr>
      <w:r>
        <w:rPr>
          <w:rFonts w:ascii="黑体" w:hAnsi="黑体" w:cs="黑体" w:hint="eastAsia" w:eastAsia="黑体"/>
          <w:szCs w:val="32"/>
          <w:u w:val="none"/>
        </w:rPr>
        <w:t>第四章  保障激励</w:t>
      </w:r>
    </w:p>
    <w:p>
      <w:pPr>
        <w:pStyle w:val="Style12"/>
        <w:keepNext w:val="false"/>
        <w:keepLines w:val="false"/>
        <w:pageBreakBefore w:val="false"/>
        <w:widowControl w:val="false"/>
        <w:kinsoku w:val="true"/>
        <w:bidi w:val="0"/>
        <w:spacing w:lineRule="exact" w:line="560"/>
        <w:ind w:firstLineChars="0" w:firstLine="0" w:endChars="0" w:end="0"/>
        <w:textAlignment w:val="auto"/>
        <w:rPr>
          <w:rFonts w:ascii="黑体" w:hAnsi="黑体" w:eastAsia="黑体" w:cs="黑体" w:hint="eastAsia"/>
          <w:szCs w:val="32"/>
          <w:u w:val="none"/>
        </w:rPr>
      </w:pPr>
      <w:r>
        <w:rPr>
          <w:rFonts w:eastAsia="黑体" w:cs="黑体" w:hint="eastAsia" w:ascii="黑体" w:hAnsi="黑体"/>
          <w:szCs w:val="32"/>
          <w:u w:val="none"/>
        </w:rPr>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第二十七条  </w:t>
      </w:r>
      <w:r>
        <w:rPr>
          <w:szCs w:val="32"/>
          <w:u w:val="none"/>
          <w:lang w:val="zh-CN"/>
        </w:rPr>
        <w:t>各级人民政府应当将</w:t>
      </w:r>
      <w:r>
        <w:rPr>
          <w:szCs w:val="32"/>
          <w:u w:val="none"/>
        </w:rPr>
        <w:t>居家</w:t>
      </w:r>
      <w:r>
        <w:rPr>
          <w:szCs w:val="32"/>
          <w:u w:val="none"/>
          <w:lang w:val="zh-CN"/>
        </w:rPr>
        <w:t>养老服务事业所需经费列入本级财政预算</w:t>
      </w:r>
      <w:r>
        <w:rPr>
          <w:rFonts w:hint="eastAsia"/>
          <w:szCs w:val="32"/>
          <w:u w:val="none"/>
          <w:lang w:val="zh-CN"/>
        </w:rPr>
        <w:t>，</w:t>
      </w:r>
      <w:r>
        <w:rPr>
          <w:szCs w:val="32"/>
          <w:u w:val="none"/>
          <w:lang w:val="zh-CN"/>
        </w:rPr>
        <w:t>建立与</w:t>
      </w:r>
      <w:r>
        <w:rPr>
          <w:rFonts w:ascii="仿宋_GB2312;仿宋" w:hAnsi="仿宋_GB2312;仿宋" w:hint="eastAsia"/>
          <w:szCs w:val="32"/>
          <w:u w:val="none"/>
        </w:rPr>
        <w:t>老年人口增加和</w:t>
      </w:r>
      <w:r>
        <w:rPr>
          <w:szCs w:val="32"/>
          <w:u w:val="none"/>
        </w:rPr>
        <w:t>居家</w:t>
      </w:r>
      <w:r>
        <w:rPr>
          <w:szCs w:val="32"/>
          <w:u w:val="none"/>
          <w:lang w:val="zh-CN"/>
        </w:rPr>
        <w:t>养老服务发展需求相适应的财政投入机制。</w:t>
      </w:r>
      <w:r>
        <w:rPr>
          <w:rFonts w:hint="eastAsia"/>
          <w:szCs w:val="32"/>
          <w:u w:val="none"/>
        </w:rPr>
        <w:t>本市地方留成的社会福利事业彩票公益金的百分之五十五以上应当用于养老服务和医养结合服务。</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Times New Roman" w:hAnsi="Times New Roman" w:cs="Times New Roman" w:hint="eastAsia"/>
          <w:color w:val="000000"/>
          <w:spacing w:val="6"/>
          <w:kern w:val="2"/>
          <w:sz w:val="32"/>
          <w:szCs w:val="24"/>
          <w:u w:val="none"/>
        </w:rPr>
        <w:t>乡镇（街道）居家养老服务中心</w:t>
      </w:r>
      <w:r>
        <w:rPr>
          <w:rFonts w:cs="Times New Roman" w:hint="eastAsia"/>
          <w:color w:val="000000"/>
          <w:spacing w:val="6"/>
          <w:kern w:val="2"/>
          <w:sz w:val="32"/>
          <w:szCs w:val="24"/>
          <w:u w:val="none"/>
        </w:rPr>
        <w:t>、</w:t>
      </w:r>
      <w:r>
        <w:rPr>
          <w:rFonts w:ascii="Times New Roman" w:hAnsi="Times New Roman" w:cs="Times New Roman" w:hint="eastAsia"/>
          <w:color w:val="000000"/>
          <w:spacing w:val="6"/>
          <w:kern w:val="2"/>
          <w:sz w:val="32"/>
          <w:szCs w:val="24"/>
          <w:u w:val="none"/>
        </w:rPr>
        <w:t>村（社区）居家养老服务照料中心</w:t>
      </w:r>
      <w:r>
        <w:rPr>
          <w:szCs w:val="32"/>
          <w:u w:val="none"/>
        </w:rPr>
        <w:t>的</w:t>
      </w:r>
      <w:r>
        <w:rPr>
          <w:rFonts w:hint="eastAsia"/>
          <w:szCs w:val="32"/>
          <w:u w:val="none"/>
        </w:rPr>
        <w:t>建设、</w:t>
      </w:r>
      <w:r>
        <w:rPr>
          <w:szCs w:val="32"/>
          <w:u w:val="none"/>
        </w:rPr>
        <w:t>运营和改造</w:t>
      </w:r>
      <w:r>
        <w:rPr>
          <w:rFonts w:hint="eastAsia"/>
          <w:szCs w:val="32"/>
          <w:u w:val="none"/>
        </w:rPr>
        <w:t>，</w:t>
      </w:r>
      <w:r>
        <w:rPr>
          <w:szCs w:val="32"/>
          <w:u w:val="none"/>
        </w:rPr>
        <w:t>市、县（市、区）人民政府应当</w:t>
      </w:r>
      <w:r>
        <w:rPr>
          <w:rFonts w:hint="eastAsia"/>
          <w:szCs w:val="32"/>
          <w:u w:val="none"/>
        </w:rPr>
        <w:t>给予</w:t>
      </w:r>
      <w:r>
        <w:rPr>
          <w:szCs w:val="32"/>
          <w:u w:val="none"/>
        </w:rPr>
        <w:t>资金</w:t>
      </w:r>
      <w:r>
        <w:rPr>
          <w:rFonts w:hint="eastAsia"/>
          <w:szCs w:val="32"/>
          <w:u w:val="none"/>
        </w:rPr>
        <w:t>保障</w:t>
      </w:r>
      <w:r>
        <w:rPr>
          <w:szCs w:val="32"/>
          <w:u w:val="none"/>
        </w:rPr>
        <w:t>。</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鼓励各类组织和个人以捐赠、捐助等方式支持居家养老服务。</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第二十八条  </w:t>
      </w:r>
      <w:r>
        <w:rPr>
          <w:szCs w:val="32"/>
          <w:u w:val="none"/>
        </w:rPr>
        <w:t>鼓励医疗机构、养老机构承接居家养老服务</w:t>
      </w:r>
      <w:r>
        <w:rPr>
          <w:rFonts w:hint="eastAsia"/>
          <w:szCs w:val="32"/>
          <w:u w:val="none"/>
        </w:rPr>
        <w:t>，</w:t>
      </w:r>
      <w:r>
        <w:rPr>
          <w:szCs w:val="32"/>
          <w:u w:val="none"/>
        </w:rPr>
        <w:t>支持物业服务企业、家政服务企业以及其他社会组织和个人参与居家养老服务</w:t>
      </w:r>
      <w:r>
        <w:rPr>
          <w:rFonts w:hint="eastAsia"/>
          <w:szCs w:val="32"/>
          <w:u w:val="none"/>
        </w:rPr>
        <w:t>，</w:t>
      </w:r>
      <w:r>
        <w:rPr>
          <w:szCs w:val="32"/>
          <w:u w:val="none"/>
        </w:rPr>
        <w:t>推动居家养老服务融合发展。</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乡镇（街道）居家养老服务中心、村（</w:t>
      </w:r>
      <w:r>
        <w:rPr>
          <w:rFonts w:hint="eastAsia"/>
          <w:szCs w:val="32"/>
          <w:u w:val="none"/>
        </w:rPr>
        <w:t>社区</w:t>
      </w:r>
      <w:r>
        <w:rPr>
          <w:szCs w:val="32"/>
          <w:u w:val="none"/>
        </w:rPr>
        <w:t>）居家养老服务照料中心和居家养老服务机构使用水、电、燃气等，有关单位应当按照居民</w:t>
      </w:r>
      <w:r>
        <w:rPr>
          <w:rFonts w:hint="eastAsia"/>
          <w:szCs w:val="32"/>
          <w:u w:val="none"/>
        </w:rPr>
        <w:t>生活类价格</w:t>
      </w:r>
      <w:r>
        <w:rPr>
          <w:szCs w:val="32"/>
          <w:u w:val="none"/>
        </w:rPr>
        <w:t>收取费用。</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rFonts w:hint="eastAsia"/>
          <w:szCs w:val="32"/>
          <w:u w:val="none"/>
        </w:rPr>
      </w:pPr>
      <w:r>
        <w:rPr>
          <w:rFonts w:ascii="黑体" w:hAnsi="黑体" w:cs="黑体" w:hint="eastAsia" w:eastAsia="黑体"/>
          <w:szCs w:val="32"/>
          <w:u w:val="none"/>
        </w:rPr>
        <w:t xml:space="preserve">第二十九条  </w:t>
      </w:r>
      <w:r>
        <w:rPr>
          <w:rFonts w:hint="eastAsia"/>
          <w:szCs w:val="32"/>
          <w:u w:val="none"/>
        </w:rPr>
        <w:t>民政部门应当运用智慧养老综合服务平台，定期公布、动态调整政府提供的基本养老服务项目、居家养老服务组织名录等信息，为老年人提供政策咨询、信息查询、供需对接等服务，并依托平台做好居家养老服务质量监督评价工作。智慧养老综合服务平台应当实现养老服务信息与户籍、医疗、社会保险、社会救助等信息共享，有关部门应当按规定提供养老服务相关的基础数据和信息。</w:t>
      </w:r>
      <w:r>
        <mc:AlternateContent>
          <mc:Choice Requires="wps">
            <w:drawing>
              <wp:anchor distT="0" distB="0" distL="113665" distR="113665" simplePos="0" relativeHeight="13" behindDoc="0" locked="0" layoutInCell="0" allowOverlap="1">
                <wp:simplePos x="0" y="0"/>
                <wp:positionH relativeFrom="margin">
                  <wp:posOffset>4724400</wp:posOffset>
                </wp:positionH>
                <wp:positionV relativeFrom="paragraph">
                  <wp:posOffset>1346200</wp:posOffset>
                </wp:positionV>
                <wp:extent cx="881380" cy="332740"/>
                <wp:effectExtent l="0" t="0" r="0" b="0"/>
                <wp:wrapNone/>
                <wp:docPr id="12" name="Frame12"/>
                <a:graphic xmlns:a="http://schemas.openxmlformats.org/drawingml/2006/main">
                  <a:graphicData uri="http://schemas.microsoft.com/office/word/2010/wordprocessingShape">
                    <wps:wsp>
                      <wps:cNvSpPr txBox="1"/>
                      <wps:spPr>
                        <a:xfrm>
                          <a:off x="0" y="0"/>
                          <a:ext cx="881380" cy="33274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t xml:space="preserve">13 </w:t>
                            </w:r>
                            <w:r>
                              <w:rPr>
                                <w:rStyle w:val="PageNumber"/>
                                <w:rFonts w:hint="eastAsia"/>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69.4pt;height:26.2pt;mso-wrap-distance-left:8.95pt;mso-wrap-distance-right:8.95pt;mso-wrap-distance-top:0pt;mso-wrap-distance-bottom:0pt;margin-top:106pt;mso-position-vertical-relative:text;margin-left:372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t xml:space="preserve">13 </w:t>
                      </w:r>
                      <w:r>
                        <w:rPr>
                          <w:rStyle w:val="PageNumber"/>
                          <w:rFonts w:hint="eastAsia"/>
                          <w:sz w:val="28"/>
                          <w:szCs w:val="28"/>
                        </w:rPr>
                        <w:t xml:space="preserve">— </w:t>
                      </w:r>
                    </w:p>
                  </w:txbxContent>
                </v:textbox>
                <w10:wrap type="none"/>
              </v:rect>
            </w:pict>
          </mc:Fallback>
        </mc:AlternateConten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rFonts w:hint="eastAsia"/>
          <w:szCs w:val="32"/>
          <w:u w:val="none"/>
        </w:rPr>
      </w:pPr>
      <w:r>
        <w:rPr>
          <w:rFonts w:hint="eastAsia"/>
          <w:szCs w:val="32"/>
          <w:u w:val="none"/>
        </w:rPr>
        <w:t>鼓励社会力量参与智慧养老服务产业，开发智慧养老服务产品，为老年人提供生活呼叫、健康管理、远程照护、应急救援、</w:t>
      </w:r>
      <w:r>
        <w:rPr>
          <w:szCs w:val="32"/>
          <w:u w:val="none"/>
        </w:rPr>
        <w:t>居家安防、家政预约、助餐助浴、辅助出行、代缴代购</w:t>
      </w:r>
      <w:r>
        <w:rPr>
          <w:rFonts w:hint="eastAsia"/>
          <w:szCs w:val="32"/>
          <w:u w:val="none"/>
        </w:rPr>
        <w:t>等智慧养老服务。</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rFonts w:hint="eastAsia"/>
          <w:szCs w:val="32"/>
          <w:u w:val="none"/>
        </w:rPr>
      </w:pPr>
      <w:r>
        <w:rPr>
          <w:rFonts w:hint="eastAsia"/>
          <w:szCs w:val="32"/>
          <w:u w:val="none"/>
        </w:rPr>
        <w:t>相关部门、提供公共服务的机构和企业在各类日常活动和服务中，应当保留老年人熟悉的传统服务方式，保障运用智能技术困难的老年人基本需求。</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第三十条  </w:t>
      </w:r>
      <w:r>
        <w:rPr>
          <w:szCs w:val="32"/>
          <w:u w:val="none"/>
        </w:rPr>
        <w:t>鼓励</w:t>
      </w:r>
      <w:r>
        <w:rPr>
          <w:rFonts w:ascii="Times New Roman" w:hAnsi="Times New Roman" w:cs="Times New Roman" w:hint="eastAsia"/>
          <w:color w:val="000000"/>
          <w:spacing w:val="6"/>
          <w:kern w:val="2"/>
          <w:sz w:val="32"/>
          <w:szCs w:val="24"/>
          <w:u w:val="none"/>
        </w:rPr>
        <w:t>乡镇（街道）居家养老服务中心</w:t>
      </w:r>
      <w:r>
        <w:rPr>
          <w:szCs w:val="32"/>
          <w:u w:val="none"/>
        </w:rPr>
        <w:t>与医疗机构、</w:t>
      </w:r>
      <w:r>
        <w:rPr>
          <w:rFonts w:hint="eastAsia"/>
          <w:szCs w:val="32"/>
          <w:u w:val="none"/>
        </w:rPr>
        <w:t>养老</w:t>
      </w:r>
      <w:r>
        <w:rPr>
          <w:szCs w:val="32"/>
          <w:u w:val="none"/>
        </w:rPr>
        <w:t>机构合作，通过医养护</w:t>
      </w:r>
      <w:r>
        <w:rPr>
          <w:rFonts w:hint="eastAsia"/>
          <w:szCs w:val="32"/>
          <w:u w:val="none"/>
        </w:rPr>
        <w:t>融合</w:t>
      </w:r>
      <w:r>
        <w:rPr>
          <w:szCs w:val="32"/>
          <w:u w:val="none"/>
        </w:rPr>
        <w:t>等多种方式，整合养老、医疗、康复和护理资源，为居家老年人提供</w:t>
      </w:r>
      <w:r>
        <w:rPr>
          <w:rFonts w:hint="eastAsia"/>
          <w:szCs w:val="32"/>
          <w:u w:val="none"/>
        </w:rPr>
        <w:t>疾病预防、健康管理、住院治疗、</w:t>
      </w:r>
      <w:r>
        <w:rPr>
          <w:szCs w:val="32"/>
          <w:u w:val="none"/>
        </w:rPr>
        <w:t>康复护理、生活照料等一体化的养老、医疗和护理服务。</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居家养老服务</w:t>
      </w:r>
      <w:r>
        <w:rPr>
          <w:rFonts w:hint="eastAsia"/>
          <w:szCs w:val="32"/>
          <w:u w:val="none"/>
        </w:rPr>
        <w:t>机构</w:t>
      </w:r>
      <w:r>
        <w:rPr>
          <w:szCs w:val="32"/>
          <w:u w:val="none"/>
        </w:rPr>
        <w:t>内部设置</w:t>
      </w:r>
      <w:r>
        <w:rPr>
          <w:rFonts w:hint="eastAsia"/>
          <w:szCs w:val="32"/>
          <w:u w:val="none"/>
        </w:rPr>
        <w:t>医疗机构</w:t>
      </w:r>
      <w:r>
        <w:rPr>
          <w:szCs w:val="32"/>
          <w:u w:val="none"/>
        </w:rPr>
        <w:t>的，应当按照国家有关规定</w:t>
      </w:r>
      <w:r>
        <w:rPr>
          <w:rFonts w:hint="eastAsia"/>
          <w:szCs w:val="32"/>
          <w:u w:val="none"/>
        </w:rPr>
        <w:t>报</w:t>
      </w:r>
      <w:r>
        <w:rPr>
          <w:szCs w:val="32"/>
          <w:u w:val="none"/>
        </w:rPr>
        <w:t>卫生健康部门审批或者备案。</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color w:val="000000"/>
          <w:szCs w:val="32"/>
          <w:u w:val="none"/>
        </w:rPr>
      </w:pPr>
      <w:r>
        <w:rPr>
          <w:szCs w:val="32"/>
          <w:u w:val="none"/>
        </w:rPr>
        <w:t>卫生健康部门在新</w:t>
      </w:r>
      <w:r>
        <w:rPr>
          <w:rFonts w:hint="eastAsia"/>
          <w:szCs w:val="32"/>
          <w:u w:val="none"/>
        </w:rPr>
        <w:t>建</w:t>
      </w:r>
      <w:r>
        <w:rPr>
          <w:szCs w:val="32"/>
          <w:u w:val="none"/>
        </w:rPr>
        <w:t>基层医疗</w:t>
      </w:r>
      <w:r>
        <w:rPr>
          <w:rFonts w:hint="eastAsia"/>
          <w:szCs w:val="32"/>
          <w:u w:val="none"/>
        </w:rPr>
        <w:t>卫生</w:t>
      </w:r>
      <w:r>
        <w:rPr>
          <w:szCs w:val="32"/>
          <w:u w:val="none"/>
        </w:rPr>
        <w:t>机构时，应当结合</w:t>
      </w:r>
      <w:r>
        <w:rPr>
          <w:rFonts w:ascii="Times New Roman" w:hAnsi="Times New Roman" w:cs="Times New Roman" w:hint="eastAsia"/>
          <w:color w:val="000000"/>
          <w:spacing w:val="6"/>
          <w:kern w:val="2"/>
          <w:sz w:val="32"/>
          <w:szCs w:val="24"/>
          <w:u w:val="none"/>
        </w:rPr>
        <w:t>乡镇（街道）居家养老服务中心</w:t>
      </w:r>
      <w:r>
        <w:rPr>
          <w:rFonts w:cs="Times New Roman" w:hint="eastAsia"/>
          <w:color w:val="000000"/>
          <w:spacing w:val="6"/>
          <w:kern w:val="2"/>
          <w:sz w:val="32"/>
          <w:szCs w:val="24"/>
          <w:u w:val="none"/>
        </w:rPr>
        <w:t>、</w:t>
      </w:r>
      <w:r>
        <w:rPr>
          <w:rFonts w:ascii="Times New Roman" w:hAnsi="Times New Roman" w:cs="Times New Roman" w:hint="eastAsia"/>
          <w:color w:val="000000"/>
          <w:spacing w:val="6"/>
          <w:kern w:val="2"/>
          <w:sz w:val="32"/>
          <w:szCs w:val="24"/>
          <w:u w:val="none"/>
        </w:rPr>
        <w:t>村（社区）居家养老服务照料中心</w:t>
      </w:r>
      <w:r>
        <w:rPr>
          <w:color w:val="000000"/>
          <w:szCs w:val="32"/>
          <w:u w:val="none"/>
        </w:rPr>
        <w:t>建设规划科学设置，方便老年人就近就医。</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rFonts w:hint="eastAsia"/>
          <w:szCs w:val="32"/>
          <w:u w:val="none"/>
        </w:rPr>
      </w:pPr>
      <w:r>
        <w:rPr>
          <w:rFonts w:ascii="黑体" w:hAnsi="黑体" w:cs="黑体" w:hint="eastAsia" w:eastAsia="黑体"/>
          <w:szCs w:val="32"/>
          <w:u w:val="none"/>
        </w:rPr>
        <w:t xml:space="preserve">第三十一条  </w:t>
      </w:r>
      <w:r>
        <w:rPr>
          <w:rFonts w:hint="eastAsia"/>
          <w:szCs w:val="32"/>
          <w:u w:val="none"/>
        </w:rPr>
        <w:t>市、</w:t>
      </w:r>
      <w:r>
        <w:rPr>
          <w:szCs w:val="32"/>
          <w:u w:val="none"/>
        </w:rPr>
        <w:t>县（市、区）人民政府应当</w:t>
      </w:r>
      <w:r>
        <w:rPr>
          <w:rFonts w:hint="eastAsia"/>
          <w:szCs w:val="32"/>
          <w:u w:val="none"/>
        </w:rPr>
        <w:t>采取下列措施</w:t>
      </w:r>
      <w:r>
        <w:rPr>
          <w:szCs w:val="32"/>
          <w:u w:val="none"/>
        </w:rPr>
        <w:t>建立养老服务人员培养、使用、评价和激励机制，加大养老服务人员培养力度，逐步改善和提高养老服务人员的待遇</w:t>
      </w:r>
      <w:r>
        <w:rPr>
          <w:rFonts w:hint="eastAsia"/>
          <w:szCs w:val="32"/>
          <w:u w:val="none"/>
        </w:rPr>
        <w:t>：</w:t>
      </w:r>
      <w:r>
        <mc:AlternateContent>
          <mc:Choice Requires="wps">
            <w:drawing>
              <wp:anchor distT="0" distB="0" distL="113665" distR="113665" simplePos="0" relativeHeight="14" behindDoc="0" locked="0" layoutInCell="0" allowOverlap="1">
                <wp:simplePos x="0" y="0"/>
                <wp:positionH relativeFrom="margin">
                  <wp:posOffset>76200</wp:posOffset>
                </wp:positionH>
                <wp:positionV relativeFrom="paragraph">
                  <wp:posOffset>539750</wp:posOffset>
                </wp:positionV>
                <wp:extent cx="881380" cy="332740"/>
                <wp:effectExtent l="0" t="0" r="0" b="0"/>
                <wp:wrapNone/>
                <wp:docPr id="13" name="Frame13"/>
                <a:graphic xmlns:a="http://schemas.openxmlformats.org/drawingml/2006/main">
                  <a:graphicData uri="http://schemas.microsoft.com/office/word/2010/wordprocessingShape">
                    <wps:wsp>
                      <wps:cNvSpPr txBox="1"/>
                      <wps:spPr>
                        <a:xfrm>
                          <a:off x="0" y="0"/>
                          <a:ext cx="881380" cy="33274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t xml:space="preserve">14 </w:t>
                            </w:r>
                            <w:r>
                              <w:rPr>
                                <w:rStyle w:val="PageNumber"/>
                                <w:rFonts w:hint="eastAsia"/>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69.4pt;height:26.2pt;mso-wrap-distance-left:8.95pt;mso-wrap-distance-right:8.95pt;mso-wrap-distance-top:0pt;mso-wrap-distance-bottom:0pt;margin-top:42.5pt;mso-position-vertical-relative:text;margin-left:6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t xml:space="preserve">14 </w:t>
                      </w:r>
                      <w:r>
                        <w:rPr>
                          <w:rStyle w:val="PageNumber"/>
                          <w:rFonts w:hint="eastAsia"/>
                          <w:sz w:val="28"/>
                          <w:szCs w:val="28"/>
                        </w:rPr>
                        <w:t xml:space="preserve">— </w:t>
                      </w:r>
                    </w:p>
                  </w:txbxContent>
                </v:textbox>
                <w10:wrap type="none"/>
              </v:rect>
            </w:pict>
          </mc:Fallback>
        </mc:AlternateContent>
      </w:r>
    </w:p>
    <w:p>
      <w:pPr>
        <w:pStyle w:val="Normal"/>
        <w:keepNext w:val="false"/>
        <w:keepLines w:val="false"/>
        <w:pageBreakBefore w:val="false"/>
        <w:widowControl w:val="false"/>
        <w:numPr>
          <w:ilvl w:val="0"/>
          <w:numId w:val="5"/>
        </w:numPr>
        <w:tabs>
          <w:tab w:val="clear" w:pos="420"/>
          <w:tab w:val="left" w:pos="0" w:leader="none"/>
        </w:tabs>
        <w:kinsoku w:val="true"/>
        <w:bidi w:val="0"/>
        <w:spacing w:lineRule="exact" w:line="560"/>
        <w:ind w:firstLineChars="200" w:startChars="0" w:start="0" w:endChars="0" w:end="0"/>
        <w:textAlignment w:val="auto"/>
        <w:rPr>
          <w:rFonts w:hint="eastAsia"/>
          <w:szCs w:val="32"/>
          <w:u w:val="none"/>
        </w:rPr>
      </w:pPr>
      <w:r>
        <w:rPr>
          <w:szCs w:val="32"/>
          <w:u w:val="none"/>
        </w:rPr>
        <w:t>为长期在家照顾</w:t>
      </w:r>
      <w:r>
        <w:rPr>
          <w:rFonts w:hint="eastAsia"/>
          <w:szCs w:val="32"/>
          <w:u w:val="none"/>
        </w:rPr>
        <w:t>高龄、</w:t>
      </w:r>
      <w:r>
        <w:rPr>
          <w:szCs w:val="32"/>
          <w:u w:val="none"/>
        </w:rPr>
        <w:t>失能老年人的赡养人、扶养人或者雇用人员，提供护理培训</w:t>
      </w:r>
      <w:r>
        <w:rPr>
          <w:rFonts w:hint="eastAsia"/>
          <w:szCs w:val="32"/>
          <w:u w:val="none"/>
        </w:rPr>
        <w:t>；</w:t>
      </w:r>
    </w:p>
    <w:p>
      <w:pPr>
        <w:pStyle w:val="Normal"/>
        <w:keepNext w:val="false"/>
        <w:keepLines w:val="false"/>
        <w:pageBreakBefore w:val="false"/>
        <w:widowControl w:val="false"/>
        <w:numPr>
          <w:ilvl w:val="0"/>
          <w:numId w:val="5"/>
        </w:numPr>
        <w:tabs>
          <w:tab w:val="clear" w:pos="420"/>
          <w:tab w:val="left" w:pos="0" w:leader="none"/>
        </w:tabs>
        <w:kinsoku w:val="true"/>
        <w:bidi w:val="0"/>
        <w:spacing w:lineRule="exact" w:line="560"/>
        <w:ind w:firstLineChars="200" w:startChars="0" w:start="0" w:endChars="0" w:end="0"/>
        <w:textAlignment w:val="auto"/>
        <w:rPr>
          <w:szCs w:val="32"/>
          <w:u w:val="none"/>
        </w:rPr>
      </w:pPr>
      <w:r>
        <w:rPr>
          <w:szCs w:val="32"/>
          <w:u w:val="none"/>
        </w:rPr>
        <w:t>定期举办养老护理员技能竞赛</w:t>
      </w:r>
      <w:r>
        <w:rPr>
          <w:rFonts w:hint="eastAsia"/>
          <w:szCs w:val="32"/>
          <w:u w:val="none"/>
        </w:rPr>
        <w:t>，</w:t>
      </w:r>
      <w:r>
        <w:rPr>
          <w:szCs w:val="32"/>
          <w:u w:val="none"/>
        </w:rPr>
        <w:t>支持推荐优秀养老护理员参加各级各类评选表彰；</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w:t>
      </w:r>
      <w:r>
        <w:rPr>
          <w:rFonts w:hint="eastAsia"/>
          <w:szCs w:val="32"/>
          <w:u w:val="none"/>
        </w:rPr>
        <w:t>三</w:t>
      </w:r>
      <w:r>
        <w:rPr>
          <w:szCs w:val="32"/>
          <w:u w:val="none"/>
        </w:rPr>
        <w:t>）鼓励高等院校、职业学校、技工学校和培训机构设置相关专业或者培训项目，以助学、奖学、免除学费、委托培养等方式引导学生选择养老服务专业</w:t>
      </w:r>
      <w:r>
        <w:rPr>
          <w:rFonts w:hint="eastAsia"/>
          <w:szCs w:val="32"/>
          <w:u w:val="none"/>
        </w:rPr>
        <w:t>；</w:t>
      </w:r>
      <w:r>
        <w:rPr>
          <w:szCs w:val="32"/>
          <w:u w:val="none"/>
        </w:rPr>
        <w:t>在居家养老服务机构设立教学实习基地，培养专业人才</w:t>
      </w:r>
      <w:r>
        <w:rPr>
          <w:rFonts w:hint="eastAsia"/>
          <w:szCs w:val="32"/>
          <w:u w:val="none"/>
        </w:rPr>
        <w:t>；</w:t>
      </w:r>
      <w:r>
        <w:rPr>
          <w:szCs w:val="32"/>
          <w:u w:val="none"/>
        </w:rPr>
        <w:t>大专院校毕业生进入居家养老服务机构、医养结合机构工作的，按照有关规定给予入职奖励和补贴；</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hint="eastAsia"/>
          <w:szCs w:val="32"/>
          <w:u w:val="none"/>
        </w:rPr>
        <w:t>（四）鼓励居家养老服务机构从对口帮扶（援助、协作）地区招聘人员从事居家养老服务，并开展专业技能培训；</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w:t>
      </w:r>
      <w:r>
        <w:rPr>
          <w:rFonts w:hint="eastAsia"/>
          <w:szCs w:val="32"/>
          <w:u w:val="none"/>
        </w:rPr>
        <w:t>五</w:t>
      </w:r>
      <w:r>
        <w:rPr>
          <w:szCs w:val="32"/>
          <w:u w:val="none"/>
        </w:rPr>
        <w:t>）鼓励执业医师、注册护士到居家养老服务机构设置的医疗机构、医养结合机构多点执业，支持有相关专业特长的医师及专业人员在居家养老服务机构规范开展疾病预防、营养、中医调理养生、用药指导等非诊疗行为的健康服务；</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w:t>
      </w:r>
      <w:r>
        <w:rPr>
          <w:rFonts w:hint="eastAsia"/>
          <w:szCs w:val="32"/>
          <w:u w:val="none"/>
        </w:rPr>
        <w:t>六</w:t>
      </w:r>
      <w:r>
        <w:rPr>
          <w:szCs w:val="32"/>
          <w:u w:val="none"/>
        </w:rPr>
        <w:t>）居家养老服务机构内设医疗机构的医</w:t>
      </w:r>
      <w:r>
        <w:rPr>
          <w:rFonts w:hint="eastAsia"/>
          <w:szCs w:val="32"/>
          <w:u w:val="none"/>
        </w:rPr>
        <w:t>务</w:t>
      </w:r>
      <w:r>
        <w:rPr>
          <w:szCs w:val="32"/>
          <w:u w:val="none"/>
        </w:rPr>
        <w:t>人员</w:t>
      </w:r>
      <w:r>
        <w:rPr>
          <w:rFonts w:hint="eastAsia"/>
          <w:szCs w:val="32"/>
          <w:u w:val="none"/>
        </w:rPr>
        <w:t>享有与其他医疗卫生机构同等的</w:t>
      </w:r>
      <w:r>
        <w:rPr>
          <w:szCs w:val="32"/>
          <w:u w:val="none"/>
        </w:rPr>
        <w:t>职称评定</w:t>
      </w:r>
      <w:r>
        <w:rPr>
          <w:rFonts w:hint="eastAsia"/>
          <w:szCs w:val="32"/>
          <w:u w:val="none"/>
        </w:rPr>
        <w:t>、专业技术人员继续教育等待遇。</w:t>
      </w:r>
      <w:r>
        <mc:AlternateContent>
          <mc:Choice Requires="wps">
            <w:drawing>
              <wp:anchor distT="0" distB="0" distL="113665" distR="113665" simplePos="0" relativeHeight="15" behindDoc="0" locked="0" layoutInCell="0" allowOverlap="1">
                <wp:simplePos x="0" y="0"/>
                <wp:positionH relativeFrom="margin">
                  <wp:posOffset>4648200</wp:posOffset>
                </wp:positionH>
                <wp:positionV relativeFrom="paragraph">
                  <wp:posOffset>1622425</wp:posOffset>
                </wp:positionV>
                <wp:extent cx="881380" cy="332740"/>
                <wp:effectExtent l="0" t="0" r="0" b="0"/>
                <wp:wrapNone/>
                <wp:docPr id="14" name="Frame14"/>
                <a:graphic xmlns:a="http://schemas.openxmlformats.org/drawingml/2006/main">
                  <a:graphicData uri="http://schemas.microsoft.com/office/word/2010/wordprocessingShape">
                    <wps:wsp>
                      <wps:cNvSpPr txBox="1"/>
                      <wps:spPr>
                        <a:xfrm>
                          <a:off x="0" y="0"/>
                          <a:ext cx="881380" cy="33274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t xml:space="preserve">15 </w:t>
                            </w:r>
                            <w:r>
                              <w:rPr>
                                <w:rStyle w:val="PageNumber"/>
                                <w:rFonts w:hint="eastAsia"/>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69.4pt;height:26.2pt;mso-wrap-distance-left:8.95pt;mso-wrap-distance-right:8.95pt;mso-wrap-distance-top:0pt;mso-wrap-distance-bottom:0pt;margin-top:127.75pt;mso-position-vertical-relative:text;margin-left:366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t xml:space="preserve">15 </w:t>
                      </w:r>
                      <w:r>
                        <w:rPr>
                          <w:rStyle w:val="PageNumber"/>
                          <w:rFonts w:hint="eastAsia"/>
                          <w:sz w:val="28"/>
                          <w:szCs w:val="28"/>
                        </w:rPr>
                        <w:t xml:space="preserve">— </w:t>
                      </w:r>
                    </w:p>
                  </w:txbxContent>
                </v:textbox>
                <w10:wrap type="none"/>
              </v:rect>
            </w:pict>
          </mc:Fallback>
        </mc:AlternateContent>
      </w:r>
    </w:p>
    <w:p>
      <w:pPr>
        <w:pStyle w:val="Style12"/>
        <w:keepNext w:val="false"/>
        <w:keepLines w:val="false"/>
        <w:pageBreakBefore w:val="false"/>
        <w:widowControl/>
        <w:shd w:fill="FFFFFF" w:val="clear"/>
        <w:kinsoku w:val="true"/>
        <w:bidi w:val="0"/>
        <w:spacing w:lineRule="exact" w:line="560"/>
        <w:textAlignment w:val="auto"/>
        <w:rPr>
          <w:rFonts w:eastAsia="仿宋_GB2312;仿宋"/>
          <w:szCs w:val="32"/>
          <w:u w:val="none"/>
        </w:rPr>
      </w:pPr>
      <w:r>
        <w:rPr>
          <w:rFonts w:ascii="黑体" w:hAnsi="黑体" w:cs="黑体" w:hint="eastAsia" w:eastAsia="黑体"/>
          <w:szCs w:val="32"/>
          <w:u w:val="none"/>
        </w:rPr>
        <w:t xml:space="preserve">第三十二条  </w:t>
      </w:r>
      <w:r>
        <w:rPr>
          <w:rFonts w:eastAsia="仿宋_GB2312;仿宋"/>
          <w:szCs w:val="32"/>
          <w:u w:val="none"/>
        </w:rPr>
        <w:t>市、县（市、区）民政部门应当培育和扶持各类为老年人服务的志愿服务组织，完善志愿服务</w:t>
      </w:r>
      <w:r>
        <w:rPr>
          <w:rFonts w:hint="eastAsia" w:eastAsia="仿宋_GB2312;仿宋"/>
          <w:szCs w:val="32"/>
          <w:u w:val="none"/>
        </w:rPr>
        <w:t>确认</w:t>
      </w:r>
      <w:r>
        <w:rPr>
          <w:rFonts w:eastAsia="仿宋_GB2312;仿宋"/>
          <w:szCs w:val="32"/>
          <w:u w:val="none"/>
        </w:rPr>
        <w:t>、评估体系，对志愿者的服务时间、服务内容、服务质量等方面进行记录与认定，建立健全服务时间记录、储蓄、回馈等激励机制。鼓励用人单位在同等条件下优先招用有良好志愿服务记录的志愿者</w:t>
      </w:r>
      <w:r>
        <w:rPr>
          <w:rFonts w:hint="eastAsia" w:eastAsia="仿宋_GB2312;仿宋"/>
          <w:szCs w:val="32"/>
          <w:u w:val="none"/>
        </w:rPr>
        <w:t>。志愿者、志愿者组织的管理，依照《志愿服务条例》等法律、法规执行。</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u w:val="none"/>
        </w:rPr>
      </w:pPr>
      <w:r>
        <w:rPr>
          <w:szCs w:val="32"/>
          <w:u w:val="none"/>
        </w:rPr>
        <w:t>鼓励国家工作人员和企</w:t>
      </w:r>
      <w:r>
        <w:rPr>
          <w:rFonts w:hint="eastAsia"/>
          <w:szCs w:val="32"/>
          <w:u w:val="none"/>
        </w:rPr>
        <w:t>业</w:t>
      </w:r>
      <w:r>
        <w:rPr>
          <w:szCs w:val="32"/>
          <w:u w:val="none"/>
        </w:rPr>
        <w:t>事业单位职工、在校学生参加居家养老志愿服务活动</w:t>
      </w:r>
      <w:r>
        <w:rPr>
          <w:rFonts w:hint="eastAsia"/>
          <w:szCs w:val="32"/>
          <w:u w:val="none"/>
        </w:rPr>
        <w:t>，</w:t>
      </w:r>
      <w:r>
        <w:rPr>
          <w:szCs w:val="32"/>
          <w:u w:val="none"/>
        </w:rPr>
        <w:t>开展结对帮扶等关爱老年人活动。</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第三十三条  </w:t>
      </w:r>
      <w:r>
        <w:rPr>
          <w:szCs w:val="32"/>
          <w:u w:val="none"/>
        </w:rPr>
        <w:t>鼓励邻里互助养老，鼓励低龄健康老年人帮扶高龄、失能失智、残疾等老年人。</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第三十四条  </w:t>
      </w:r>
      <w:r>
        <w:rPr>
          <w:szCs w:val="32"/>
          <w:u w:val="none"/>
        </w:rPr>
        <w:t>市、县（市、区）人民政府应当对在居家养老服务工作中作出突出贡献的单位和个人给予褒扬和奖励。</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rFonts w:hint="eastAsia"/>
          <w:szCs w:val="32"/>
          <w:u w:val="none"/>
        </w:rPr>
      </w:pPr>
      <w:r>
        <w:rPr>
          <w:rFonts w:ascii="黑体" w:hAnsi="黑体" w:cs="黑体" w:hint="eastAsia" w:eastAsia="黑体"/>
          <w:szCs w:val="32"/>
          <w:u w:val="none"/>
        </w:rPr>
        <w:t xml:space="preserve">第三十五条  </w:t>
      </w:r>
      <w:r>
        <w:rPr>
          <w:szCs w:val="32"/>
          <w:u w:val="none"/>
        </w:rPr>
        <w:t>老年人患病住院治疗期间，</w:t>
      </w:r>
      <w:r>
        <w:rPr>
          <w:rFonts w:hint="eastAsia"/>
          <w:szCs w:val="32"/>
          <w:u w:val="none"/>
        </w:rPr>
        <w:t>鼓励</w:t>
      </w:r>
      <w:r>
        <w:rPr>
          <w:szCs w:val="32"/>
          <w:u w:val="none"/>
          <w:lang w:eastAsia="zh-CN"/>
        </w:rPr>
        <w:t>子女所在单位给予</w:t>
      </w:r>
      <w:r>
        <w:rPr>
          <w:rFonts w:hint="eastAsia"/>
          <w:szCs w:val="32"/>
          <w:u w:val="none"/>
        </w:rPr>
        <w:t>其护理照料</w:t>
      </w:r>
      <w:r>
        <w:rPr>
          <w:szCs w:val="32"/>
          <w:u w:val="none"/>
          <w:lang w:eastAsia="zh-CN"/>
        </w:rPr>
        <w:t>时间</w:t>
      </w:r>
      <w:r>
        <w:rPr>
          <w:szCs w:val="32"/>
          <w:u w:val="none"/>
        </w:rPr>
        <w:t>，</w:t>
      </w:r>
      <w:r>
        <w:rPr>
          <w:rFonts w:hint="eastAsia"/>
          <w:szCs w:val="32"/>
          <w:u w:val="none"/>
        </w:rPr>
        <w:t xml:space="preserve">独生子女的护理照料时间每年累计十五日、非独生子女的护理照料时间每年累计十日。护理照料时间应当通过用人单位与职工平等协商或者用人单位制定相关制度等形式予以确定。护理照料期间工资福利待遇不变。 </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rFonts w:hint="eastAsia"/>
          <w:szCs w:val="32"/>
          <w:u w:val="none"/>
        </w:rPr>
      </w:pPr>
      <w:r>
        <w:rPr>
          <w:rFonts w:hint="eastAsia"/>
          <w:szCs w:val="32"/>
          <w:u w:val="none"/>
        </w:rPr>
      </w:r>
    </w:p>
    <w:p>
      <w:pPr>
        <w:pStyle w:val="Normal"/>
        <w:keepNext w:val="false"/>
        <w:keepLines w:val="false"/>
        <w:pageBreakBefore w:val="false"/>
        <w:widowControl w:val="false"/>
        <w:kinsoku w:val="true"/>
        <w:bidi w:val="0"/>
        <w:spacing w:lineRule="exact" w:line="560"/>
        <w:jc w:val="center"/>
        <w:textAlignment w:val="auto"/>
        <w:rPr>
          <w:rFonts w:ascii="黑体" w:hAnsi="黑体" w:eastAsia="黑体" w:cs="黑体" w:hint="eastAsia"/>
          <w:szCs w:val="32"/>
          <w:u w:val="none"/>
        </w:rPr>
      </w:pPr>
      <w:r>
        <w:rPr>
          <w:rFonts w:ascii="黑体" w:hAnsi="黑体" w:cs="黑体" w:hint="eastAsia" w:eastAsia="黑体"/>
          <w:szCs w:val="32"/>
          <w:u w:val="none"/>
        </w:rPr>
        <w:t>第五章  监督管理</w:t>
      </w:r>
    </w:p>
    <w:p>
      <w:pPr>
        <w:pStyle w:val="Style12"/>
        <w:keepNext w:val="false"/>
        <w:keepLines w:val="false"/>
        <w:pageBreakBefore w:val="false"/>
        <w:widowControl w:val="false"/>
        <w:kinsoku w:val="true"/>
        <w:bidi w:val="0"/>
        <w:spacing w:lineRule="exact" w:line="560"/>
        <w:ind w:firstLineChars="0" w:firstLine="0" w:endChars="0" w:end="0"/>
        <w:textAlignment w:val="auto"/>
        <w:rPr>
          <w:rFonts w:ascii="黑体" w:hAnsi="黑体" w:eastAsia="黑体" w:cs="黑体" w:hint="eastAsia"/>
          <w:szCs w:val="32"/>
          <w:u w:val="none"/>
        </w:rPr>
      </w:pPr>
      <w:r>
        <w:rPr>
          <w:rFonts w:eastAsia="黑体" w:cs="黑体" w:hint="eastAsia" w:ascii="黑体" w:hAnsi="黑体"/>
          <w:szCs w:val="32"/>
          <w:u w:val="none"/>
        </w:rPr>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第三十六条  </w:t>
      </w:r>
      <w:r>
        <w:rPr>
          <w:szCs w:val="32"/>
          <w:u w:val="none"/>
        </w:rPr>
        <w:t>设立居家养老服务机构应当符合国家规定的有关条件，并依法办理相应的登记手续。</w:t>
      </w:r>
      <w:r>
        <mc:AlternateContent>
          <mc:Choice Requires="wps">
            <w:drawing>
              <wp:anchor distT="0" distB="0" distL="113665" distR="113665" simplePos="0" relativeHeight="16" behindDoc="0" locked="0" layoutInCell="0" allowOverlap="1">
                <wp:simplePos x="0" y="0"/>
                <wp:positionH relativeFrom="margin">
                  <wp:posOffset>114300</wp:posOffset>
                </wp:positionH>
                <wp:positionV relativeFrom="paragraph">
                  <wp:posOffset>587375</wp:posOffset>
                </wp:positionV>
                <wp:extent cx="881380" cy="332740"/>
                <wp:effectExtent l="0" t="0" r="0" b="0"/>
                <wp:wrapNone/>
                <wp:docPr id="15" name="Frame15"/>
                <a:graphic xmlns:a="http://schemas.openxmlformats.org/drawingml/2006/main">
                  <a:graphicData uri="http://schemas.microsoft.com/office/word/2010/wordprocessingShape">
                    <wps:wsp>
                      <wps:cNvSpPr txBox="1"/>
                      <wps:spPr>
                        <a:xfrm>
                          <a:off x="0" y="0"/>
                          <a:ext cx="881380" cy="33274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t xml:space="preserve">16 </w:t>
                            </w:r>
                            <w:r>
                              <w:rPr>
                                <w:rStyle w:val="PageNumber"/>
                                <w:rFonts w:hint="eastAsia"/>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69.4pt;height:26.2pt;mso-wrap-distance-left:8.95pt;mso-wrap-distance-right:8.95pt;mso-wrap-distance-top:0pt;mso-wrap-distance-bottom:0pt;margin-top:46.25pt;mso-position-vertical-relative:text;margin-left:9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t xml:space="preserve">16 </w:t>
                      </w:r>
                      <w:r>
                        <w:rPr>
                          <w:rStyle w:val="PageNumber"/>
                          <w:rFonts w:hint="eastAsia"/>
                          <w:sz w:val="28"/>
                          <w:szCs w:val="28"/>
                        </w:rPr>
                        <w:t xml:space="preserve">— </w:t>
                      </w:r>
                    </w:p>
                  </w:txbxContent>
                </v:textbox>
                <w10:wrap type="none"/>
              </v:rect>
            </w:pict>
          </mc:Fallback>
        </mc:AlternateConten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第三十七条  </w:t>
      </w:r>
      <w:r>
        <w:rPr>
          <w:szCs w:val="32"/>
          <w:u w:val="none"/>
        </w:rPr>
        <w:t>居家养老服务机构应当按照居家养老服务规范开展服务，在乡镇（街道）居家养老服务中心、村（</w:t>
      </w:r>
      <w:r>
        <w:rPr>
          <w:rFonts w:hint="eastAsia"/>
          <w:szCs w:val="32"/>
          <w:u w:val="none"/>
        </w:rPr>
        <w:t>社区</w:t>
      </w:r>
      <w:r>
        <w:rPr>
          <w:szCs w:val="32"/>
          <w:u w:val="none"/>
        </w:rPr>
        <w:t>）居家养老服务照料中心的显著位置公示服务项目、服务内容、收费标准、投诉</w:t>
      </w:r>
      <w:r>
        <w:rPr>
          <w:rFonts w:hint="eastAsia"/>
          <w:szCs w:val="32"/>
          <w:u w:val="none"/>
        </w:rPr>
        <w:t>渠道</w:t>
      </w:r>
      <w:r>
        <w:rPr>
          <w:szCs w:val="32"/>
          <w:u w:val="none"/>
        </w:rPr>
        <w:t>等。</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居家养老服务机构应当与接受托养、照护等服务的老年人或者其</w:t>
      </w:r>
      <w:r>
        <w:rPr>
          <w:rFonts w:hint="eastAsia"/>
          <w:szCs w:val="32"/>
          <w:u w:val="none"/>
        </w:rPr>
        <w:t>代理人</w:t>
      </w:r>
      <w:r>
        <w:rPr>
          <w:szCs w:val="32"/>
          <w:u w:val="none"/>
        </w:rPr>
        <w:t>签订服务合同，制定服务方案，建立服务档案。</w:t>
      </w:r>
      <w:r>
        <w:rPr>
          <w:rFonts w:hint="eastAsia"/>
          <w:szCs w:val="32"/>
          <w:u w:val="none"/>
        </w:rPr>
        <w:t>市</w:t>
      </w:r>
      <w:r>
        <w:rPr>
          <w:szCs w:val="32"/>
          <w:u w:val="none"/>
        </w:rPr>
        <w:t>民政部门应当制定居家养老服务合同示范文本。</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szCs w:val="32"/>
          <w:u w:val="none"/>
        </w:rPr>
        <w:t>居家养老</w:t>
      </w:r>
      <w:r>
        <w:rPr>
          <w:rFonts w:hint="eastAsia"/>
          <w:szCs w:val="32"/>
          <w:u w:val="none"/>
        </w:rPr>
        <w:t>服务</w:t>
      </w:r>
      <w:r>
        <w:rPr>
          <w:szCs w:val="32"/>
          <w:u w:val="none"/>
        </w:rPr>
        <w:t>机构应当加强</w:t>
      </w:r>
      <w:r>
        <w:rPr>
          <w:rFonts w:hint="eastAsia"/>
          <w:szCs w:val="32"/>
          <w:u w:val="none"/>
        </w:rPr>
        <w:t>从业</w:t>
      </w:r>
      <w:r>
        <w:rPr>
          <w:szCs w:val="32"/>
          <w:u w:val="none"/>
        </w:rPr>
        <w:t>人员的职业道德教育和管理。居家养老服务机构及其从业人员应当维护老年人尊严、保护老年人隐私，不得侮辱、虐待老年人或者以其他方式侵害老年人的合法权益</w:t>
      </w:r>
      <w:r>
        <w:rPr>
          <w:rFonts w:hint="eastAsia"/>
          <w:szCs w:val="32"/>
          <w:u w:val="none"/>
        </w:rPr>
        <w:t>；不得以欺骗方式诱导老年人消费；不得诱导老年人参与传销或者非法集资等违法行为。</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rFonts w:hint="eastAsia"/>
          <w:szCs w:val="32"/>
          <w:u w:val="none"/>
        </w:rPr>
      </w:pPr>
      <w:r>
        <w:rPr>
          <w:rFonts w:ascii="黑体" w:hAnsi="黑体" w:cs="黑体" w:hint="eastAsia" w:eastAsia="黑体"/>
          <w:szCs w:val="32"/>
          <w:u w:val="none"/>
        </w:rPr>
        <w:t xml:space="preserve">第三十八条  </w:t>
      </w:r>
      <w:r>
        <w:rPr>
          <w:rFonts w:hint="eastAsia"/>
          <w:szCs w:val="32"/>
          <w:u w:val="none"/>
        </w:rPr>
        <w:t>市民政部门应当会同市市场监督管理部门依法制定居家养老服务规范。</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仿宋_GB2312;仿宋" w:hAnsi="仿宋_GB2312;仿宋" w:hint="eastAsia"/>
          <w:szCs w:val="32"/>
          <w:u w:val="none"/>
        </w:rPr>
        <w:t>民政部门应当加强对居家养老服务机构设立、服务质量和运营情况的监督检查，发现问题，及时督促整改，并</w:t>
      </w:r>
      <w:r>
        <w:rPr>
          <w:szCs w:val="32"/>
          <w:u w:val="none"/>
        </w:rPr>
        <w:t>会同自然资源和规划、住房和城乡建设等部门，对居家养老服务用房的配置和使用情况进行监督检查。</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rFonts w:ascii="仿宋_GB2312;仿宋" w:hAnsi="仿宋_GB2312;仿宋" w:hint="eastAsia"/>
          <w:szCs w:val="32"/>
          <w:u w:val="none"/>
        </w:rPr>
      </w:pPr>
      <w:r>
        <w:rPr>
          <w:rFonts w:ascii="仿宋_GB2312;仿宋" w:hAnsi="仿宋_GB2312;仿宋" w:hint="eastAsia"/>
          <w:szCs w:val="32"/>
          <w:u w:val="none"/>
        </w:rPr>
        <w:t>公安、</w:t>
      </w:r>
      <w:r>
        <w:rPr>
          <w:rFonts w:hint="eastAsia"/>
          <w:szCs w:val="32"/>
          <w:u w:val="none"/>
        </w:rPr>
        <w:t>消防救援</w:t>
      </w:r>
      <w:r>
        <w:rPr>
          <w:rFonts w:ascii="仿宋_GB2312;仿宋" w:hAnsi="仿宋_GB2312;仿宋" w:hint="eastAsia"/>
          <w:szCs w:val="32"/>
          <w:u w:val="none"/>
        </w:rPr>
        <w:t>、卫生健康、生态环境、市场监督管理等部门按照各自职责依法加强对居家养老服务机构的安全指导和监督检查。</w:t>
      </w:r>
      <w:r>
        <mc:AlternateContent>
          <mc:Choice Requires="wps">
            <w:drawing>
              <wp:anchor distT="0" distB="0" distL="113665" distR="113665" simplePos="0" relativeHeight="17" behindDoc="0" locked="0" layoutInCell="0" allowOverlap="1">
                <wp:simplePos x="0" y="0"/>
                <wp:positionH relativeFrom="margin">
                  <wp:posOffset>4572000</wp:posOffset>
                </wp:positionH>
                <wp:positionV relativeFrom="paragraph">
                  <wp:posOffset>1336675</wp:posOffset>
                </wp:positionV>
                <wp:extent cx="881380" cy="332740"/>
                <wp:effectExtent l="0" t="0" r="0" b="0"/>
                <wp:wrapNone/>
                <wp:docPr id="16" name="Frame16"/>
                <a:graphic xmlns:a="http://schemas.openxmlformats.org/drawingml/2006/main">
                  <a:graphicData uri="http://schemas.microsoft.com/office/word/2010/wordprocessingShape">
                    <wps:wsp>
                      <wps:cNvSpPr txBox="1"/>
                      <wps:spPr>
                        <a:xfrm>
                          <a:off x="0" y="0"/>
                          <a:ext cx="881380" cy="33274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t xml:space="preserve">17 </w:t>
                            </w:r>
                            <w:r>
                              <w:rPr>
                                <w:rStyle w:val="PageNumber"/>
                                <w:rFonts w:hint="eastAsia"/>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69.4pt;height:26.2pt;mso-wrap-distance-left:8.95pt;mso-wrap-distance-right:8.95pt;mso-wrap-distance-top:0pt;mso-wrap-distance-bottom:0pt;margin-top:105.25pt;mso-position-vertical-relative:text;margin-left:360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t xml:space="preserve">17 </w:t>
                      </w:r>
                      <w:r>
                        <w:rPr>
                          <w:rStyle w:val="PageNumber"/>
                          <w:rFonts w:hint="eastAsia"/>
                          <w:sz w:val="28"/>
                          <w:szCs w:val="28"/>
                        </w:rPr>
                        <w:t xml:space="preserve">— </w:t>
                      </w:r>
                    </w:p>
                  </w:txbxContent>
                </v:textbox>
                <w10:wrap type="none"/>
              </v:rect>
            </w:pict>
          </mc:Fallback>
        </mc:AlternateConten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rFonts w:hint="eastAsia"/>
          <w:szCs w:val="32"/>
          <w:u w:val="none"/>
        </w:rPr>
      </w:pPr>
      <w:r>
        <w:rPr>
          <w:rFonts w:ascii="黑体" w:hAnsi="黑体" w:cs="黑体" w:hint="eastAsia" w:eastAsia="黑体"/>
          <w:szCs w:val="32"/>
          <w:u w:val="none"/>
        </w:rPr>
        <w:t xml:space="preserve">第三十九条  </w:t>
      </w:r>
      <w:r>
        <w:rPr>
          <w:szCs w:val="32"/>
          <w:u w:val="none"/>
        </w:rPr>
        <w:t>民政部门应当建立居家养老服务</w:t>
      </w:r>
      <w:r>
        <w:rPr>
          <w:rFonts w:hint="eastAsia"/>
          <w:szCs w:val="32"/>
          <w:u w:val="none"/>
        </w:rPr>
        <w:t>质量</w:t>
      </w:r>
      <w:r>
        <w:rPr>
          <w:szCs w:val="32"/>
          <w:u w:val="none"/>
        </w:rPr>
        <w:t>评估制度，定期组织有关方面专家或者委托第三方专业机构等对</w:t>
      </w:r>
      <w:r>
        <w:rPr>
          <w:rFonts w:ascii="Times New Roman" w:hAnsi="Times New Roman" w:cs="Times New Roman" w:hint="eastAsia"/>
          <w:color w:val="000000"/>
          <w:spacing w:val="6"/>
          <w:kern w:val="2"/>
          <w:sz w:val="32"/>
          <w:szCs w:val="24"/>
          <w:u w:val="none"/>
        </w:rPr>
        <w:t>乡镇（街道）居家养老服务中心</w:t>
      </w:r>
      <w:r>
        <w:rPr>
          <w:rFonts w:cs="Times New Roman" w:hint="eastAsia"/>
          <w:color w:val="000000"/>
          <w:spacing w:val="6"/>
          <w:kern w:val="2"/>
          <w:sz w:val="32"/>
          <w:szCs w:val="24"/>
          <w:u w:val="none"/>
        </w:rPr>
        <w:t>、</w:t>
      </w:r>
      <w:r>
        <w:rPr>
          <w:rFonts w:ascii="Times New Roman" w:hAnsi="Times New Roman" w:cs="Times New Roman" w:hint="eastAsia"/>
          <w:color w:val="000000"/>
          <w:spacing w:val="6"/>
          <w:kern w:val="2"/>
          <w:sz w:val="32"/>
          <w:szCs w:val="24"/>
          <w:u w:val="none"/>
        </w:rPr>
        <w:t>村（社区）居家养老服务照料中心</w:t>
      </w:r>
      <w:r>
        <w:rPr>
          <w:rFonts w:hint="eastAsia"/>
          <w:b/>
          <w:bCs/>
          <w:color w:val="000000"/>
          <w:szCs w:val="32"/>
          <w:u w:val="none"/>
        </w:rPr>
        <w:t>、</w:t>
      </w:r>
      <w:r>
        <w:rPr>
          <w:szCs w:val="32"/>
          <w:u w:val="none"/>
        </w:rPr>
        <w:t>居家养老服务</w:t>
      </w:r>
      <w:r>
        <w:rPr>
          <w:rFonts w:hint="eastAsia"/>
          <w:szCs w:val="32"/>
          <w:u w:val="none"/>
        </w:rPr>
        <w:t>机构</w:t>
      </w:r>
      <w:r>
        <w:rPr>
          <w:szCs w:val="32"/>
          <w:u w:val="none"/>
        </w:rPr>
        <w:t>人员配备、设施设备</w:t>
      </w:r>
      <w:r>
        <w:rPr>
          <w:rFonts w:hint="eastAsia"/>
          <w:szCs w:val="32"/>
          <w:u w:val="none"/>
        </w:rPr>
        <w:t>条件</w:t>
      </w:r>
      <w:r>
        <w:rPr>
          <w:szCs w:val="32"/>
          <w:u w:val="none"/>
        </w:rPr>
        <w:t>、管理水平、服务质量、服务对象满意度</w:t>
      </w:r>
      <w:r>
        <w:rPr>
          <w:rFonts w:hint="eastAsia"/>
          <w:szCs w:val="32"/>
          <w:u w:val="none"/>
        </w:rPr>
        <w:t>、社会信誉</w:t>
      </w:r>
      <w:r>
        <w:rPr>
          <w:szCs w:val="32"/>
          <w:u w:val="none"/>
        </w:rPr>
        <w:t>等进行综合评估，建立统一的考评档案，并向社会公布，作为政府购买服务、</w:t>
      </w:r>
      <w:r>
        <w:rPr>
          <w:rFonts w:hint="eastAsia"/>
          <w:szCs w:val="32"/>
          <w:u w:val="none"/>
        </w:rPr>
        <w:t>财政</w:t>
      </w:r>
      <w:r>
        <w:rPr>
          <w:szCs w:val="32"/>
          <w:u w:val="none"/>
        </w:rPr>
        <w:t>补贴等的参考依据。</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hint="eastAsia"/>
          <w:szCs w:val="32"/>
          <w:u w:val="none"/>
        </w:rPr>
        <w:t>民政部门应当会同有关部门建立居家养老服务机构及其从业人员信用管理制度，加强动态监管，依法实施失信联合惩戒。</w:t>
      </w:r>
    </w:p>
    <w:p>
      <w:pPr>
        <w:pStyle w:val="Style12"/>
        <w:keepNext w:val="false"/>
        <w:keepLines w:val="false"/>
        <w:pageBreakBefore w:val="false"/>
        <w:widowControl w:val="false"/>
        <w:kinsoku w:val="true"/>
        <w:bidi w:val="0"/>
        <w:spacing w:lineRule="exact" w:line="560"/>
        <w:textAlignment w:val="auto"/>
        <w:rPr>
          <w:szCs w:val="32"/>
          <w:u w:val="none"/>
        </w:rPr>
      </w:pPr>
      <w:r>
        <w:rPr>
          <w:szCs w:val="32"/>
          <w:u w:val="none"/>
        </w:rPr>
      </w:r>
    </w:p>
    <w:p>
      <w:pPr>
        <w:pStyle w:val="Normal"/>
        <w:keepNext w:val="false"/>
        <w:keepLines w:val="false"/>
        <w:pageBreakBefore w:val="false"/>
        <w:widowControl w:val="false"/>
        <w:kinsoku w:val="true"/>
        <w:bidi w:val="0"/>
        <w:spacing w:lineRule="exact" w:line="560"/>
        <w:jc w:val="center"/>
        <w:textAlignment w:val="auto"/>
        <w:rPr>
          <w:rFonts w:ascii="黑体" w:hAnsi="黑体" w:eastAsia="黑体" w:cs="黑体" w:hint="eastAsia"/>
          <w:szCs w:val="32"/>
          <w:u w:val="none"/>
        </w:rPr>
      </w:pPr>
      <w:r>
        <w:rPr>
          <w:rFonts w:ascii="黑体" w:hAnsi="黑体" w:cs="黑体" w:hint="eastAsia" w:eastAsia="黑体"/>
          <w:szCs w:val="32"/>
          <w:u w:val="none"/>
        </w:rPr>
        <w:t>第六章  法律责任</w:t>
      </w:r>
    </w:p>
    <w:p>
      <w:pPr>
        <w:pStyle w:val="Style12"/>
        <w:keepNext w:val="false"/>
        <w:keepLines w:val="false"/>
        <w:pageBreakBefore w:val="false"/>
        <w:widowControl w:val="false"/>
        <w:kinsoku w:val="true"/>
        <w:bidi w:val="0"/>
        <w:spacing w:lineRule="exact" w:line="560"/>
        <w:ind w:firstLineChars="0" w:firstLine="0" w:endChars="0" w:end="0"/>
        <w:textAlignment w:val="auto"/>
        <w:rPr>
          <w:rFonts w:ascii="黑体" w:hAnsi="黑体" w:eastAsia="黑体" w:cs="黑体" w:hint="eastAsia"/>
          <w:szCs w:val="32"/>
          <w:u w:val="none"/>
        </w:rPr>
      </w:pPr>
      <w:r>
        <w:rPr>
          <w:rFonts w:eastAsia="黑体" w:cs="黑体" w:hint="eastAsia" w:ascii="黑体" w:hAnsi="黑体"/>
          <w:szCs w:val="32"/>
          <w:u w:val="none"/>
        </w:rPr>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第四十条  </w:t>
      </w:r>
      <w:r>
        <w:rPr>
          <w:szCs w:val="32"/>
          <w:u w:val="none"/>
        </w:rPr>
        <w:t>违反本条例规定的行为，法律、</w:t>
      </w:r>
      <w:r>
        <w:rPr>
          <w:rFonts w:hint="eastAsia"/>
          <w:szCs w:val="32"/>
          <w:u w:val="none"/>
        </w:rPr>
        <w:t>行政</w:t>
      </w:r>
      <w:r>
        <w:rPr>
          <w:szCs w:val="32"/>
          <w:u w:val="none"/>
        </w:rPr>
        <w:t>法规</w:t>
      </w:r>
      <w:r>
        <w:rPr>
          <w:rFonts w:hint="eastAsia"/>
          <w:szCs w:val="32"/>
          <w:u w:val="none"/>
        </w:rPr>
        <w:t>和省的地方性法规</w:t>
      </w:r>
      <w:r>
        <w:rPr>
          <w:szCs w:val="32"/>
          <w:u w:val="none"/>
        </w:rPr>
        <w:t>已有</w:t>
      </w:r>
      <w:r>
        <w:rPr>
          <w:rFonts w:hint="eastAsia"/>
          <w:szCs w:val="32"/>
          <w:u w:val="none"/>
        </w:rPr>
        <w:t>法律责任</w:t>
      </w:r>
      <w:r>
        <w:rPr>
          <w:szCs w:val="32"/>
          <w:u w:val="none"/>
        </w:rPr>
        <w:t>规定的，从其规定。</w:t>
      </w:r>
    </w:p>
    <w:p>
      <w:pPr>
        <w:pStyle w:val="Style12"/>
        <w:keepNext w:val="false"/>
        <w:keepLines w:val="false"/>
        <w:pageBreakBefore w:val="false"/>
        <w:widowControl w:val="false"/>
        <w:kinsoku w:val="true"/>
        <w:bidi w:val="0"/>
        <w:spacing w:lineRule="exact" w:line="560"/>
        <w:textAlignment w:val="auto"/>
        <w:rPr>
          <w:rFonts w:eastAsia="仿宋_GB2312;仿宋"/>
          <w:u w:val="none"/>
        </w:rPr>
      </w:pPr>
      <w:r>
        <w:rPr>
          <w:rFonts w:eastAsia="仿宋_GB2312;仿宋"/>
          <w:szCs w:val="32"/>
          <w:u w:val="none"/>
        </w:rPr>
        <w:t>本条例规定的行政处罚，依法实行综合行政执法的，由综合行政执法部门实施</w:t>
      </w:r>
      <w:r>
        <w:rPr>
          <w:rFonts w:hint="eastAsia" w:eastAsia="仿宋_GB2312;仿宋"/>
          <w:szCs w:val="32"/>
          <w:u w:val="none"/>
        </w:rPr>
        <w:t>；依法实行乡（镇）人民政府、街道办事处执法的，由乡（镇）人民政府、街道办事处</w:t>
      </w:r>
      <w:r>
        <w:rPr>
          <w:rFonts w:eastAsia="仿宋_GB2312;仿宋"/>
          <w:szCs w:val="32"/>
          <w:u w:val="none"/>
        </w:rPr>
        <w:t>实施</w:t>
      </w:r>
      <w:r>
        <w:rPr>
          <w:rFonts w:hint="eastAsia" w:eastAsia="仿宋_GB2312;仿宋"/>
          <w:szCs w:val="32"/>
          <w:u w:val="none"/>
        </w:rPr>
        <w:t>。</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第四十一条  </w:t>
      </w:r>
      <w:r>
        <w:rPr>
          <w:szCs w:val="32"/>
          <w:u w:val="none"/>
        </w:rPr>
        <w:t>违反本条例第十</w:t>
      </w:r>
      <w:r>
        <w:rPr>
          <w:rFonts w:hint="eastAsia"/>
          <w:szCs w:val="32"/>
          <w:u w:val="none"/>
        </w:rPr>
        <w:t>七</w:t>
      </w:r>
      <w:r>
        <w:rPr>
          <w:szCs w:val="32"/>
          <w:u w:val="none"/>
        </w:rPr>
        <w:t>条规定，擅自改变居家养老服务用房用途的，由自然资源和规划部门责令限期改正，没收违法所得，对个人处以二千元以上二万元以下罚款，对单位处以一万元以上十万元以下罚款。</w:t>
      </w:r>
      <w:r>
        <mc:AlternateContent>
          <mc:Choice Requires="wps">
            <w:drawing>
              <wp:anchor distT="0" distB="0" distL="113665" distR="113665" simplePos="0" relativeHeight="18" behindDoc="0" locked="0" layoutInCell="0" allowOverlap="1">
                <wp:simplePos x="0" y="0"/>
                <wp:positionH relativeFrom="margin">
                  <wp:posOffset>76200</wp:posOffset>
                </wp:positionH>
                <wp:positionV relativeFrom="paragraph">
                  <wp:posOffset>1587500</wp:posOffset>
                </wp:positionV>
                <wp:extent cx="881380" cy="332740"/>
                <wp:effectExtent l="0" t="0" r="0" b="0"/>
                <wp:wrapNone/>
                <wp:docPr id="17" name="Frame17"/>
                <a:graphic xmlns:a="http://schemas.openxmlformats.org/drawingml/2006/main">
                  <a:graphicData uri="http://schemas.microsoft.com/office/word/2010/wordprocessingShape">
                    <wps:wsp>
                      <wps:cNvSpPr txBox="1"/>
                      <wps:spPr>
                        <a:xfrm>
                          <a:off x="0" y="0"/>
                          <a:ext cx="881380" cy="33274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t xml:space="preserve">18 </w:t>
                            </w:r>
                            <w:r>
                              <w:rPr>
                                <w:rStyle w:val="PageNumber"/>
                                <w:rFonts w:hint="eastAsia"/>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69.4pt;height:26.2pt;mso-wrap-distance-left:8.95pt;mso-wrap-distance-right:8.95pt;mso-wrap-distance-top:0pt;mso-wrap-distance-bottom:0pt;margin-top:125pt;mso-position-vertical-relative:text;margin-left:6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t xml:space="preserve">18 </w:t>
                      </w:r>
                      <w:r>
                        <w:rPr>
                          <w:rStyle w:val="PageNumber"/>
                          <w:rFonts w:hint="eastAsia"/>
                          <w:sz w:val="28"/>
                          <w:szCs w:val="28"/>
                        </w:rPr>
                        <w:t xml:space="preserve">— </w:t>
                      </w:r>
                    </w:p>
                  </w:txbxContent>
                </v:textbox>
                <w10:wrap type="none"/>
              </v:rect>
            </w:pict>
          </mc:Fallback>
        </mc:AlternateConten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第四十二条  </w:t>
      </w:r>
      <w:r>
        <w:rPr>
          <w:szCs w:val="32"/>
          <w:u w:val="none"/>
        </w:rPr>
        <w:t>违反本</w:t>
      </w:r>
      <w:r>
        <w:rPr>
          <w:rFonts w:hint="eastAsia"/>
          <w:szCs w:val="32"/>
          <w:u w:val="none"/>
        </w:rPr>
        <w:t>条例</w:t>
      </w:r>
      <w:r>
        <w:rPr>
          <w:szCs w:val="32"/>
          <w:u w:val="none"/>
        </w:rPr>
        <w:t>第三十</w:t>
      </w:r>
      <w:r>
        <w:rPr>
          <w:rFonts w:hint="eastAsia"/>
          <w:szCs w:val="32"/>
          <w:u w:val="none"/>
        </w:rPr>
        <w:t>七</w:t>
      </w:r>
      <w:r>
        <w:rPr>
          <w:szCs w:val="32"/>
          <w:u w:val="none"/>
        </w:rPr>
        <w:t>条第二款规定，居家养老服务</w:t>
      </w:r>
      <w:r>
        <w:rPr>
          <w:rFonts w:hint="eastAsia"/>
          <w:szCs w:val="32"/>
          <w:u w:val="none"/>
        </w:rPr>
        <w:t>机构</w:t>
      </w:r>
      <w:r>
        <w:rPr>
          <w:szCs w:val="32"/>
          <w:u w:val="none"/>
        </w:rPr>
        <w:t>未与接受托养、照护等服务的老年人或</w:t>
      </w:r>
      <w:r>
        <w:rPr>
          <w:rFonts w:hint="eastAsia"/>
          <w:szCs w:val="32"/>
          <w:u w:val="none"/>
        </w:rPr>
        <w:t>者其代理人签订服</w:t>
      </w:r>
      <w:r>
        <w:rPr>
          <w:szCs w:val="32"/>
          <w:u w:val="none"/>
        </w:rPr>
        <w:t>务合同的，由民政部门责令限期改正；逾期不改正的，处一万元以上三万元以下罚款。</w:t>
      </w:r>
    </w:p>
    <w:p>
      <w:pPr>
        <w:pStyle w:val="Normal"/>
        <w:keepNext w:val="false"/>
        <w:keepLines w:val="false"/>
        <w:pageBreakBefore w:val="false"/>
        <w:widowControl w:val="false"/>
        <w:kinsoku w:val="true"/>
        <w:bidi w:val="0"/>
        <w:spacing w:lineRule="exact" w:line="560"/>
        <w:ind w:firstLine="664" w:end="0"/>
        <w:textAlignment w:val="auto"/>
        <w:rPr>
          <w:szCs w:val="32"/>
          <w:u w:val="none"/>
        </w:rPr>
      </w:pPr>
      <w:r>
        <w:rPr>
          <w:rFonts w:ascii="黑体" w:hAnsi="黑体" w:cs="黑体" w:hint="eastAsia" w:eastAsia="黑体"/>
          <w:szCs w:val="32"/>
          <w:u w:val="none"/>
        </w:rPr>
        <w:t xml:space="preserve">第四十三条  </w:t>
      </w:r>
      <w:r>
        <w:rPr>
          <w:szCs w:val="32"/>
          <w:u w:val="none"/>
        </w:rPr>
        <w:t>违反本</w:t>
      </w:r>
      <w:r>
        <w:rPr>
          <w:rFonts w:hint="eastAsia"/>
          <w:szCs w:val="32"/>
          <w:u w:val="none"/>
        </w:rPr>
        <w:t>条例</w:t>
      </w:r>
      <w:r>
        <w:rPr>
          <w:szCs w:val="32"/>
          <w:u w:val="none"/>
        </w:rPr>
        <w:t>第三十</w:t>
      </w:r>
      <w:r>
        <w:rPr>
          <w:rFonts w:hint="eastAsia"/>
          <w:szCs w:val="32"/>
          <w:u w:val="none"/>
        </w:rPr>
        <w:t>七</w:t>
      </w:r>
      <w:r>
        <w:rPr>
          <w:szCs w:val="32"/>
          <w:u w:val="none"/>
        </w:rPr>
        <w:t>条第三款规定，居家养老服务</w:t>
      </w:r>
      <w:r>
        <w:rPr>
          <w:rFonts w:hint="eastAsia"/>
          <w:szCs w:val="32"/>
          <w:u w:val="none"/>
        </w:rPr>
        <w:t>机构</w:t>
      </w:r>
      <w:r>
        <w:rPr>
          <w:szCs w:val="32"/>
          <w:u w:val="none"/>
        </w:rPr>
        <w:t>及其从业人员侵害老年人合法权益的，由民政部门责令改正，给予警告；情节严重的，对居家养老服务</w:t>
      </w:r>
      <w:r>
        <w:rPr>
          <w:rFonts w:hint="eastAsia"/>
          <w:szCs w:val="32"/>
          <w:u w:val="none"/>
        </w:rPr>
        <w:t>机构</w:t>
      </w:r>
      <w:r>
        <w:rPr>
          <w:szCs w:val="32"/>
          <w:u w:val="none"/>
        </w:rPr>
        <w:t>处三千元以上三万元以下罚款</w:t>
      </w:r>
      <w:r>
        <w:rPr>
          <w:rFonts w:hint="eastAsia"/>
          <w:szCs w:val="32"/>
          <w:u w:val="none"/>
        </w:rPr>
        <w:t>；</w:t>
      </w:r>
      <w:r>
        <w:rPr>
          <w:rFonts w:ascii="仿宋_GB2312;仿宋" w:hAnsi="仿宋_GB2312;仿宋" w:hint="eastAsia"/>
          <w:u w:val="none"/>
        </w:rPr>
        <w:t>构成违反治安管理行为的，依照《中华人民共和国治安管理处罚法》的有关规定处罚。</w:t>
      </w:r>
    </w:p>
    <w:p>
      <w:pPr>
        <w:pStyle w:val="Normal"/>
        <w:keepNext w:val="false"/>
        <w:keepLines w:val="false"/>
        <w:pageBreakBefore w:val="false"/>
        <w:widowControl w:val="false"/>
        <w:kinsoku w:val="true"/>
        <w:bidi w:val="0"/>
        <w:spacing w:lineRule="exact" w:line="560"/>
        <w:ind w:firstLineChars="200" w:startChars="0" w:start="0" w:endChars="0" w:end="0"/>
        <w:textAlignment w:val="auto"/>
        <w:rPr>
          <w:szCs w:val="32"/>
          <w:u w:val="none"/>
        </w:rPr>
      </w:pPr>
      <w:r>
        <w:rPr>
          <w:rFonts w:ascii="黑体" w:hAnsi="黑体" w:cs="黑体" w:hint="eastAsia" w:eastAsia="黑体"/>
          <w:szCs w:val="32"/>
          <w:u w:val="none"/>
        </w:rPr>
        <w:t xml:space="preserve">第四十四条  </w:t>
      </w:r>
      <w:r>
        <w:rPr>
          <w:szCs w:val="32"/>
          <w:u w:val="none"/>
        </w:rPr>
        <w:t>违反本条例规定，采取虚报、隐瞒、伪造等手段，骗取补助资金或者居家养老服务补贴的，由民政部门责令退回非法获取的补助资金或者居家养老服务补贴，可以处非法所得一倍以上三倍以下罚款。</w:t>
      </w:r>
    </w:p>
    <w:p>
      <w:pPr>
        <w:pStyle w:val="Normal"/>
        <w:keepNext w:val="false"/>
        <w:keepLines w:val="false"/>
        <w:pageBreakBefore w:val="false"/>
        <w:widowControl w:val="false"/>
        <w:kinsoku w:val="true"/>
        <w:bidi w:val="0"/>
        <w:spacing w:lineRule="exact" w:line="560"/>
        <w:ind w:firstLine="664" w:end="0"/>
        <w:textAlignment w:val="auto"/>
        <w:rPr>
          <w:szCs w:val="32"/>
          <w:u w:val="none"/>
        </w:rPr>
      </w:pPr>
      <w:r>
        <w:rPr>
          <w:szCs w:val="32"/>
          <w:u w:val="none"/>
        </w:rPr>
      </w:r>
    </w:p>
    <w:p>
      <w:pPr>
        <w:pStyle w:val="Normal"/>
        <w:keepNext w:val="false"/>
        <w:keepLines w:val="false"/>
        <w:pageBreakBefore w:val="false"/>
        <w:widowControl w:val="false"/>
        <w:kinsoku w:val="true"/>
        <w:bidi w:val="0"/>
        <w:spacing w:lineRule="exact" w:line="560"/>
        <w:jc w:val="center"/>
        <w:textAlignment w:val="auto"/>
        <w:rPr>
          <w:rFonts w:ascii="黑体" w:hAnsi="黑体" w:eastAsia="黑体" w:cs="黑体" w:hint="eastAsia"/>
          <w:szCs w:val="32"/>
          <w:u w:val="none"/>
        </w:rPr>
      </w:pPr>
      <w:r>
        <w:rPr>
          <w:rFonts w:ascii="黑体" w:hAnsi="黑体" w:cs="黑体" w:hint="eastAsia" w:eastAsia="黑体"/>
          <w:szCs w:val="32"/>
          <w:u w:val="none"/>
        </w:rPr>
        <w:t>第七章  附则</w:t>
      </w:r>
    </w:p>
    <w:p>
      <w:pPr>
        <w:pStyle w:val="Style12"/>
        <w:keepNext w:val="false"/>
        <w:keepLines w:val="false"/>
        <w:pageBreakBefore w:val="false"/>
        <w:widowControl w:val="false"/>
        <w:kinsoku w:val="true"/>
        <w:bidi w:val="0"/>
        <w:spacing w:lineRule="exact" w:line="560"/>
        <w:ind w:firstLineChars="0" w:firstLine="0" w:endChars="0" w:end="0"/>
        <w:textAlignment w:val="auto"/>
        <w:rPr>
          <w:rFonts w:ascii="黑体" w:hAnsi="黑体" w:eastAsia="黑体" w:cs="黑体" w:hint="eastAsia"/>
          <w:szCs w:val="32"/>
          <w:u w:val="none"/>
        </w:rPr>
      </w:pPr>
      <w:r>
        <w:rPr>
          <w:rFonts w:eastAsia="黑体" w:cs="黑体" w:hint="eastAsia" w:ascii="黑体" w:hAnsi="黑体"/>
          <w:szCs w:val="32"/>
          <w:u w:val="none"/>
        </w:rPr>
      </w:r>
    </w:p>
    <w:p>
      <w:pPr>
        <w:pStyle w:val="Style12"/>
        <w:keepNext w:val="false"/>
        <w:keepLines w:val="false"/>
        <w:pageBreakBefore w:val="false"/>
        <w:widowControl w:val="false"/>
        <w:kinsoku w:val="true"/>
        <w:bidi w:val="0"/>
        <w:spacing w:lineRule="exact" w:line="560"/>
        <w:ind w:firstLineChars="0" w:firstLine="0" w:endChars="0" w:end="0"/>
        <w:textAlignment w:val="auto"/>
        <w:rPr>
          <w:rFonts w:eastAsia="仿宋_GB2312;仿宋"/>
          <w:szCs w:val="32"/>
          <w:u w:val="none"/>
        </w:rPr>
      </w:pPr>
      <w:r>
        <w:rPr>
          <w:rFonts w:eastAsia="仿宋_GB2312;仿宋"/>
          <w:szCs w:val="32"/>
          <w:u w:val="none"/>
        </w:rPr>
        <w:t xml:space="preserve"> </w:t>
      </w:r>
      <w:r>
        <w:rPr>
          <w:rFonts w:eastAsia="黑体" w:cs="黑体" w:hint="eastAsia" w:ascii="黑体" w:hAnsi="黑体"/>
          <w:szCs w:val="32"/>
          <w:u w:val="none"/>
        </w:rPr>
        <w:t xml:space="preserve">   </w:t>
      </w:r>
      <w:r>
        <w:rPr>
          <w:rFonts w:ascii="黑体" w:hAnsi="黑体" w:cs="黑体" w:hint="eastAsia" w:eastAsia="黑体"/>
          <w:szCs w:val="32"/>
          <w:u w:val="none"/>
        </w:rPr>
        <w:t xml:space="preserve">第四十五条  </w:t>
      </w:r>
      <w:r>
        <w:rPr>
          <w:rFonts w:eastAsia="仿宋_GB2312;仿宋"/>
          <w:szCs w:val="32"/>
          <w:u w:val="none"/>
        </w:rPr>
        <w:t>本条例中下列用语的含义：</w:t>
      </w:r>
    </w:p>
    <w:p>
      <w:pPr>
        <w:pStyle w:val="Style12"/>
        <w:keepNext w:val="false"/>
        <w:keepLines w:val="false"/>
        <w:pageBreakBefore w:val="false"/>
        <w:widowControl w:val="false"/>
        <w:kinsoku w:val="true"/>
        <w:bidi w:val="0"/>
        <w:spacing w:lineRule="exact" w:line="560"/>
        <w:ind w:firstLineChars="0" w:firstLine="0" w:endChars="0" w:end="0"/>
        <w:textAlignment w:val="auto"/>
        <w:rPr>
          <w:rFonts w:eastAsia="仿宋_GB2312;仿宋"/>
          <w:szCs w:val="32"/>
          <w:u w:val="none"/>
        </w:rPr>
      </w:pPr>
      <w:r>
        <w:rPr>
          <w:rFonts w:eastAsia="仿宋_GB2312;仿宋"/>
          <w:szCs w:val="32"/>
          <w:u w:val="none"/>
        </w:rPr>
        <w:t>（一）居家养老服务设施，是指为居家老年人提供养老服务的房屋或者场地及其附属设施，包括乡镇（街道）居家养老服务中心、村（</w:t>
      </w:r>
      <w:r>
        <w:rPr>
          <w:rFonts w:hint="eastAsia" w:eastAsia="仿宋_GB2312;仿宋"/>
          <w:szCs w:val="32"/>
          <w:u w:val="none"/>
        </w:rPr>
        <w:t>社区</w:t>
      </w:r>
      <w:r>
        <w:rPr>
          <w:rFonts w:eastAsia="仿宋_GB2312;仿宋"/>
          <w:szCs w:val="32"/>
          <w:u w:val="none"/>
        </w:rPr>
        <w:t>）居家养老服务照料中心等。</w:t>
      </w:r>
    </w:p>
    <w:p>
      <w:pPr>
        <w:pStyle w:val="Style12"/>
        <w:keepNext w:val="false"/>
        <w:keepLines w:val="false"/>
        <w:pageBreakBefore w:val="false"/>
        <w:widowControl w:val="false"/>
        <w:kinsoku w:val="true"/>
        <w:bidi w:val="0"/>
        <w:spacing w:lineRule="exact" w:line="560"/>
        <w:ind w:firstLineChars="0" w:firstLine="0" w:endChars="0" w:end="0"/>
        <w:textAlignment w:val="auto"/>
        <w:rPr>
          <w:rFonts w:eastAsia="仿宋_GB2312;仿宋"/>
          <w:szCs w:val="32"/>
          <w:u w:val="none"/>
        </w:rPr>
      </w:pPr>
      <w:r>
        <w:rPr>
          <w:rFonts w:eastAsia="仿宋_GB2312;仿宋"/>
          <w:szCs w:val="32"/>
          <w:u w:val="none"/>
        </w:rPr>
        <w:t>（二）居家养老服务机构，是指</w:t>
      </w:r>
      <w:r>
        <w:rPr>
          <w:rFonts w:hint="eastAsia" w:eastAsia="仿宋_GB2312;仿宋"/>
          <w:szCs w:val="32"/>
          <w:u w:val="none"/>
        </w:rPr>
        <w:t>经依法登记，</w:t>
      </w:r>
      <w:r>
        <w:rPr>
          <w:rFonts w:eastAsia="仿宋_GB2312;仿宋"/>
          <w:szCs w:val="32"/>
          <w:u w:val="none"/>
        </w:rPr>
        <w:t>从事居家养老服务的组织。</w:t>
      </w:r>
      <w:r>
        <mc:AlternateContent>
          <mc:Choice Requires="wps">
            <w:drawing>
              <wp:anchor distT="0" distB="0" distL="113665" distR="113665" simplePos="0" relativeHeight="19" behindDoc="0" locked="0" layoutInCell="0" allowOverlap="1">
                <wp:simplePos x="0" y="0"/>
                <wp:positionH relativeFrom="margin">
                  <wp:posOffset>4667250</wp:posOffset>
                </wp:positionH>
                <wp:positionV relativeFrom="paragraph">
                  <wp:posOffset>933450</wp:posOffset>
                </wp:positionV>
                <wp:extent cx="881380" cy="332740"/>
                <wp:effectExtent l="0" t="0" r="0" b="0"/>
                <wp:wrapNone/>
                <wp:docPr id="18" name="Frame18"/>
                <a:graphic xmlns:a="http://schemas.openxmlformats.org/drawingml/2006/main">
                  <a:graphicData uri="http://schemas.microsoft.com/office/word/2010/wordprocessingShape">
                    <wps:wsp>
                      <wps:cNvSpPr txBox="1"/>
                      <wps:spPr>
                        <a:xfrm>
                          <a:off x="0" y="0"/>
                          <a:ext cx="881380" cy="33274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t xml:space="preserve">19 </w:t>
                            </w:r>
                            <w:r>
                              <w:rPr>
                                <w:rStyle w:val="PageNumber"/>
                                <w:rFonts w:hint="eastAsia"/>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69.4pt;height:26.2pt;mso-wrap-distance-left:8.95pt;mso-wrap-distance-right:8.95pt;mso-wrap-distance-top:0pt;mso-wrap-distance-bottom:0pt;margin-top:73.5pt;mso-position-vertical-relative:text;margin-left:367.5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t xml:space="preserve">19 </w:t>
                      </w:r>
                      <w:r>
                        <w:rPr>
                          <w:rStyle w:val="PageNumber"/>
                          <w:rFonts w:hint="eastAsia"/>
                          <w:sz w:val="28"/>
                          <w:szCs w:val="28"/>
                        </w:rPr>
                        <w:t xml:space="preserve">— </w:t>
                      </w:r>
                    </w:p>
                  </w:txbxContent>
                </v:textbox>
                <w10:wrap type="none"/>
              </v:rect>
            </w:pict>
          </mc:Fallback>
        </mc:AlternateContent>
      </w:r>
    </w:p>
    <w:p>
      <w:pPr>
        <w:pStyle w:val="Style12"/>
        <w:keepNext w:val="false"/>
        <w:keepLines w:val="false"/>
        <w:pageBreakBefore w:val="false"/>
        <w:widowControl w:val="false"/>
        <w:kinsoku w:val="true"/>
        <w:bidi w:val="0"/>
        <w:spacing w:lineRule="exact" w:line="560"/>
        <w:ind w:firstLineChars="0" w:firstLine="0" w:endChars="0" w:end="0"/>
        <w:textAlignment w:val="auto"/>
        <w:rPr>
          <w:rFonts w:eastAsia="仿宋_GB2312;仿宋" w:hint="eastAsia"/>
          <w:szCs w:val="32"/>
          <w:u w:val="none"/>
        </w:rPr>
      </w:pPr>
      <w:r>
        <w:rPr>
          <w:rFonts w:hint="eastAsia" w:eastAsia="仿宋_GB2312;仿宋"/>
          <w:szCs w:val="32"/>
          <w:u w:val="none"/>
        </w:rPr>
        <w:t>（三）十五分钟幸福生活圈，是指十五分钟步行可达范围内，布局和配备生活所需教育、文化、医疗、卫生、健身、养老等基本服务功能与公共活动空间的生活单元。</w:t>
      </w:r>
    </w:p>
    <w:p>
      <w:pPr>
        <w:pStyle w:val="Style12"/>
        <w:keepNext w:val="false"/>
        <w:keepLines w:val="false"/>
        <w:pageBreakBefore w:val="false"/>
        <w:widowControl w:val="false"/>
        <w:kinsoku w:val="true"/>
        <w:bidi w:val="0"/>
        <w:spacing w:lineRule="exact" w:line="560"/>
        <w:ind w:firstLineChars="0" w:firstLine="0" w:endChars="0" w:end="0"/>
        <w:textAlignment w:val="auto"/>
        <w:rPr>
          <w:rFonts w:eastAsia="仿宋_GB2312;仿宋"/>
          <w:szCs w:val="32"/>
          <w:u w:val="none"/>
        </w:rPr>
      </w:pPr>
      <w:r>
        <w:rPr>
          <w:rFonts w:eastAsia="仿宋_GB2312;仿宋"/>
          <w:szCs w:val="32"/>
          <w:u w:val="none"/>
        </w:rPr>
        <w:t>（</w:t>
      </w:r>
      <w:r>
        <w:rPr>
          <w:rFonts w:hint="eastAsia" w:eastAsia="仿宋_GB2312;仿宋"/>
          <w:szCs w:val="32"/>
          <w:u w:val="none"/>
        </w:rPr>
        <w:t>四</w:t>
      </w:r>
      <w:r>
        <w:rPr>
          <w:rFonts w:eastAsia="仿宋_GB2312;仿宋"/>
          <w:szCs w:val="32"/>
          <w:u w:val="none"/>
        </w:rPr>
        <w:t>）计划生育特殊困难家庭，是指独生子女发生三级以上伤残或者死亡、未再生育或者收养子女的家庭。</w:t>
      </w:r>
    </w:p>
    <w:p>
      <w:pPr>
        <w:pStyle w:val="Style12"/>
        <w:keepNext w:val="false"/>
        <w:keepLines w:val="false"/>
        <w:pageBreakBefore w:val="false"/>
        <w:widowControl w:val="false"/>
        <w:kinsoku w:val="true"/>
        <w:spacing w:lineRule="exact" w:line="560"/>
        <w:ind w:firstLineChars="0" w:firstLine="0" w:endChars="0" w:end="0"/>
        <w:rPr>
          <w:rFonts w:eastAsia="仿宋_GB2312;仿宋"/>
        </w:rPr>
      </w:pPr>
      <w:r>
        <w:rPr>
          <w:rFonts w:ascii="黑体" w:hAnsi="黑体" w:cs="黑体" w:hint="eastAsia" w:eastAsia="黑体"/>
          <w:szCs w:val="32"/>
          <w:u w:val="none"/>
        </w:rPr>
        <w:t xml:space="preserve">第四十六条  </w:t>
      </w:r>
      <w:r>
        <w:rPr>
          <w:rFonts w:eastAsia="仿宋_GB2312;仿宋"/>
        </w:rPr>
        <w:t>本条例自</w:t>
      </w:r>
      <w:r>
        <w:rPr>
          <w:rFonts w:eastAsia="仿宋_GB2312;仿宋" w:hint="eastAsia"/>
          <w:spacing w:val="10"/>
        </w:rPr>
        <w:t>2022</w:t>
      </w:r>
      <w:r>
        <w:rPr>
          <w:rFonts w:eastAsia="仿宋_GB2312;仿宋"/>
        </w:rPr>
        <w:t>年</w:t>
      </w:r>
      <w:r>
        <w:rPr>
          <w:rFonts w:eastAsia="仿宋_GB2312;仿宋" w:hint="eastAsia"/>
          <w:spacing w:val="10"/>
        </w:rPr>
        <w:t>1</w:t>
      </w:r>
      <w:r>
        <w:rPr>
          <w:rFonts w:eastAsia="仿宋_GB2312;仿宋"/>
        </w:rPr>
        <w:t>月</w:t>
      </w:r>
      <w:r>
        <w:rPr>
          <w:rFonts w:eastAsia="仿宋_GB2312;仿宋" w:hint="eastAsia"/>
          <w:spacing w:val="10"/>
        </w:rPr>
        <w:t>1</w:t>
      </w:r>
      <w:r>
        <w:rPr>
          <w:rFonts w:eastAsia="仿宋_GB2312;仿宋"/>
        </w:rPr>
        <w:t>日起施行。</w:t>
      </w:r>
    </w:p>
    <w:p>
      <w:pPr>
        <w:pStyle w:val="Style12"/>
        <w:keepNext w:val="false"/>
        <w:keepLines w:val="false"/>
        <w:pageBreakBefore w:val="false"/>
        <w:widowControl w:val="false"/>
        <w:kinsoku w:val="true"/>
        <w:spacing w:lineRule="exact" w:line="560"/>
        <w:ind w:firstLineChars="0" w:firstLine="0" w:endChars="0" w:end="0"/>
        <w:rPr>
          <w:rFonts w:eastAsia="仿宋_GB2312;仿宋" w:hint="eastAsia"/>
        </w:rPr>
      </w:pPr>
      <w:r>
        <w:rPr>
          <w:rFonts w:eastAsia="仿宋_GB2312;仿宋" w:hint="eastAsia"/>
        </w:rPr>
      </w:r>
    </w:p>
    <w:p>
      <w:pPr>
        <w:pStyle w:val="Style12"/>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Style12"/>
        <w:rPr>
          <w:rFonts w:ascii="仿宋_GB2312;仿宋" w:hAnsi="仿宋_GB2312;仿宋" w:cs="仿宋_GB2312;仿宋" w:hint="eastAsia"/>
        </w:rPr>
      </w:pPr>
      <w:r>
        <w:rPr>
          <w:rFonts w:cs="仿宋_GB2312;仿宋" w:hint="eastAsia" w:ascii="仿宋_GB2312;仿宋" w:hAnsi="仿宋_GB2312;仿宋"/>
        </w:rPr>
      </w:r>
    </w:p>
    <w:p>
      <w:pPr>
        <w:pStyle w:val="Style12"/>
        <w:rPr>
          <w:rFonts w:ascii="仿宋_GB2312;仿宋" w:hAnsi="仿宋_GB2312;仿宋" w:cs="仿宋_GB2312;仿宋" w:hint="eastAsia"/>
        </w:rPr>
      </w:pPr>
      <w:r>
        <w:rPr>
          <w:rFonts w:cs="仿宋_GB2312;仿宋" w:hint="eastAsia" w:ascii="仿宋_GB2312;仿宋" w:hAnsi="仿宋_GB2312;仿宋"/>
        </w:rPr>
      </w:r>
    </w:p>
    <w:p>
      <w:pPr>
        <w:pStyle w:val="Style12"/>
        <w:rPr>
          <w:rFonts w:ascii="仿宋_GB2312;仿宋" w:hAnsi="仿宋_GB2312;仿宋" w:cs="仿宋_GB2312;仿宋" w:hint="eastAsia"/>
        </w:rPr>
      </w:pPr>
      <w:r>
        <w:rPr>
          <w:rFonts w:cs="仿宋_GB2312;仿宋" w:hint="eastAsia" w:ascii="仿宋_GB2312;仿宋" w:hAnsi="仿宋_GB2312;仿宋"/>
        </w:rPr>
      </w:r>
    </w:p>
    <w:p>
      <w:pPr>
        <w:pStyle w:val="Normal"/>
        <w:keepNext w:val="false"/>
        <w:keepLines w:val="false"/>
        <w:pageBreakBefore w:val="false"/>
        <w:widowControl w:val="false"/>
        <w:tabs>
          <w:tab w:val="clear" w:pos="420"/>
          <w:tab w:val="left" w:pos="2520" w:leader="none"/>
        </w:tabs>
        <w:kinsoku w:val="true"/>
        <w:bidi w:val="0"/>
        <w:spacing w:lineRule="exact" w:line="560"/>
        <w:ind w:firstLineChars="200" w:startChars="0" w:start="0" w:endChars="0" w:end="0"/>
        <w:textAlignment w:val="auto"/>
        <w:rPr>
          <w:rFonts w:ascii="仿宋_GB2312;仿宋" w:hAnsi="仿宋_GB2312;仿宋" w:cs="仿宋_GB2312;仿宋" w:hint="eastAsia"/>
          <w:lang w:val="zh-CN"/>
        </w:rPr>
      </w:pPr>
      <w:r>
        <w:rPr>
          <w:rFonts w:cs="仿宋_GB2312;仿宋" w:hint="eastAsia" w:ascii="仿宋_GB2312;仿宋" w:hAnsi="仿宋_GB2312;仿宋"/>
          <w:lang w:val="zh-CN"/>
        </w:rPr>
      </w:r>
    </w:p>
    <w:p>
      <w:pPr>
        <w:pStyle w:val="Style12"/>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mc:AlternateContent>
          <mc:Choice Requires="wps">
            <w:drawing>
              <wp:anchor distT="0" distB="0" distL="113665" distR="113665" simplePos="0" relativeHeight="20" behindDoc="0" locked="0" layoutInCell="0" allowOverlap="1">
                <wp:simplePos x="0" y="0"/>
                <wp:positionH relativeFrom="margin">
                  <wp:posOffset>59690</wp:posOffset>
                </wp:positionH>
                <wp:positionV relativeFrom="paragraph">
                  <wp:posOffset>3581400</wp:posOffset>
                </wp:positionV>
                <wp:extent cx="881380" cy="332740"/>
                <wp:effectExtent l="0" t="0" r="0" b="0"/>
                <wp:wrapNone/>
                <wp:docPr id="19" name="Frame19"/>
                <a:graphic xmlns:a="http://schemas.openxmlformats.org/drawingml/2006/main">
                  <a:graphicData uri="http://schemas.microsoft.com/office/word/2010/wordprocessingShape">
                    <wps:wsp>
                      <wps:cNvSpPr txBox="1"/>
                      <wps:spPr>
                        <a:xfrm>
                          <a:off x="0" y="0"/>
                          <a:ext cx="881380" cy="33274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t xml:space="preserve">20 </w:t>
                            </w:r>
                            <w:r>
                              <w:rPr>
                                <w:rStyle w:val="PageNumber"/>
                                <w:rFonts w:hint="eastAsia"/>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69.4pt;height:26.2pt;mso-wrap-distance-left:8.95pt;mso-wrap-distance-right:8.95pt;mso-wrap-distance-top:0pt;mso-wrap-distance-bottom:0pt;margin-top:282pt;mso-position-vertical-relative:text;margin-left:4.7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t xml:space="preserve">20 </w:t>
                      </w:r>
                      <w:r>
                        <w:rPr>
                          <w:rStyle w:val="PageNumber"/>
                          <w:rFonts w:hint="eastAsia"/>
                          <w:sz w:val="28"/>
                          <w:szCs w:val="28"/>
                        </w:rPr>
                        <w:t xml:space="preserve">— </w:t>
                      </w:r>
                    </w:p>
                  </w:txbxContent>
                </v:textbox>
                <w10:wrap type="none"/>
              </v:rect>
            </w:pict>
          </mc:Fallback>
        </mc:AlternateContent>
      </w:r>
    </w:p>
    <w:sectPr>
      <w:footerReference w:type="default" r:id="rId2"/>
      <w:type w:val="nextPage"/>
      <w:pgSz w:w="11906" w:h="16838"/>
      <w:pgMar w:left="1531" w:right="1474" w:gutter="0" w:header="0" w:top="2098" w:footer="992"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uxi Sans">
    <w:altName w:val="微软雅黑"/>
    <w:charset w:val="00" w:characterSet="windows-1252"/>
    <w:family w:val="auto"/>
    <w:pitch w:val="default"/>
  </w:font>
  <w:font w:name="Cambria">
    <w:charset w:val="00" w:characterSet="windows-1252"/>
    <w:family w:val="roman"/>
    <w:pitch w:val="default"/>
  </w:font>
  <w:font w:name="等线">
    <w:charset w:val="86"/>
    <w:family w:val="auto"/>
    <w:pitch w:val="default"/>
  </w:font>
  <w:font w:name="宋体">
    <w:charset w:val="01"/>
    <w:family w:val="auto"/>
    <w:pitch w:val="default"/>
  </w:font>
  <w:font w:name="楷体_GB2312">
    <w:altName w:val="楷体"/>
    <w:charset w:val="86"/>
    <w:family w:val="modern"/>
    <w:pitch w:val="default"/>
  </w:font>
  <w:font w:name="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chineseCountingThousand"/>
      <w:suff w:val="nothing"/>
      <w:lvlText w:val="（%1）"/>
      <w:lvlJc w:val="start"/>
      <w:pPr>
        <w:tabs>
          <w:tab w:val="num" w:pos="0"/>
        </w:tabs>
        <w:ind w:start="0" w:firstLine="420"/>
      </w:pPr>
      <w:rPr>
        <w:rFonts w:hint="eastAsia"/>
      </w:rPr>
    </w:lvl>
  </w:abstractNum>
  <w:abstractNum w:abstractNumId="3">
    <w:lvl w:ilvl="0">
      <w:start w:val="1"/>
      <w:numFmt w:val="chineseCountingThousand"/>
      <w:suff w:val="nothing"/>
      <w:lvlText w:val="（%1）"/>
      <w:lvlJc w:val="start"/>
      <w:pPr>
        <w:tabs>
          <w:tab w:val="num" w:pos="0"/>
        </w:tabs>
        <w:ind w:start="10" w:hanging="0"/>
      </w:pPr>
      <w:rPr>
        <w:rFonts w:hint="eastAsia"/>
      </w:rPr>
    </w:lvl>
  </w:abstractNum>
  <w:abstractNum w:abstractNumId="4">
    <w:lvl w:ilvl="0">
      <w:start w:val="1"/>
      <w:numFmt w:val="chineseCountingThousand"/>
      <w:suff w:val="nothing"/>
      <w:lvlText w:val="（%1）"/>
      <w:lvlJc w:val="start"/>
      <w:pPr>
        <w:tabs>
          <w:tab w:val="num" w:pos="0"/>
        </w:tabs>
        <w:ind w:start="0" w:hanging="0"/>
      </w:pPr>
      <w:rPr>
        <w:rFonts w:hint="eastAsia"/>
      </w:rPr>
    </w:lvl>
  </w:abstractNum>
  <w:abstractNum w:abstractNumId="5">
    <w:lvl w:ilvl="0">
      <w:start w:val="1"/>
      <w:numFmt w:val="chineseCountingThousand"/>
      <w:suff w:val="nothing"/>
      <w:lvlText w:val="（%1）"/>
      <w:lvlJc w:val="start"/>
      <w:pPr>
        <w:tabs>
          <w:tab w:val="num" w:pos="0"/>
        </w:tabs>
        <w:ind w:start="0" w:hanging="0"/>
      </w:pPr>
      <w:rPr>
        <w:rFonts w:hint="eastAsia"/>
      </w:rPr>
    </w:lvl>
  </w:abstractNum>
  <w:abstractNum w:abstractNumId="6">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2"/>
    <w:qFormat/>
    <w:pPr>
      <w:widowControl w:val="false"/>
      <w:bidi w:val="0"/>
      <w:jc w:val="both"/>
    </w:pPr>
    <w:rPr>
      <w:rFonts w:ascii="Times New Roman" w:hAnsi="Times New Roman" w:eastAsia="仿宋_GB2312;仿宋" w:cs="Times New Roman"/>
      <w:color w:val="auto"/>
      <w:spacing w:val="6"/>
      <w:kern w:val="2"/>
      <w:sz w:val="32"/>
      <w:szCs w:val="32"/>
      <w:lang w:bidi="ar-SA" w:val="en-US" w:eastAsia="zh-CN"/>
    </w:rPr>
  </w:style>
  <w:style w:type="paragraph" w:styleId="Heading1">
    <w:name w:val="heading 1"/>
    <w:basedOn w:val="Normal"/>
    <w:next w:val="Normal"/>
    <w:qFormat/>
    <w:pPr>
      <w:keepNext w:val="true"/>
      <w:keepLines/>
      <w:widowControl w:val="false"/>
      <w:numPr>
        <w:ilvl w:val="0"/>
        <w:numId w:val="1"/>
      </w:numPr>
      <w:spacing w:lineRule="auto" w:line="576" w:before="340" w:after="330"/>
      <w:outlineLvl w:val="0"/>
    </w:pPr>
    <w:rPr>
      <w:b/>
      <w:bCs/>
      <w:kern w:val="2"/>
      <w:sz w:val="44"/>
    </w:rPr>
  </w:style>
  <w:style w:type="paragraph" w:styleId="Heading2">
    <w:name w:val="heading 2"/>
    <w:basedOn w:val="Normal"/>
    <w:next w:val="Normal"/>
    <w:qFormat/>
    <w:pPr>
      <w:keepNext w:val="true"/>
      <w:keepLines/>
      <w:widowControl w:val="false"/>
      <w:numPr>
        <w:ilvl w:val="1"/>
        <w:numId w:val="1"/>
      </w:numPr>
      <w:spacing w:lineRule="auto" w:line="413" w:before="260" w:after="260"/>
      <w:outlineLvl w:val="1"/>
    </w:pPr>
    <w:rPr>
      <w:rFonts w:ascii="Luxi Sans;微软雅黑" w:hAnsi="Luxi Sans;微软雅黑" w:eastAsia="黑体" w:cs="Luxi Sans;微软雅黑"/>
      <w:b/>
      <w:sz w:val="32"/>
    </w:rPr>
  </w:style>
  <w:style w:type="paragraph" w:styleId="Heading3">
    <w:name w:val="heading 3"/>
    <w:basedOn w:val="Normal"/>
    <w:next w:val="Normal"/>
    <w:qFormat/>
    <w:pPr>
      <w:keepNext w:val="true"/>
      <w:keepLines/>
      <w:widowControl w:val="false"/>
      <w:numPr>
        <w:ilvl w:val="2"/>
        <w:numId w:val="1"/>
      </w:numPr>
      <w:spacing w:lineRule="auto" w:line="413" w:before="260" w:after="260"/>
      <w:outlineLvl w:val="2"/>
    </w:pPr>
    <w:rPr>
      <w:b/>
      <w:sz w:val="32"/>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Normal"/>
    <w:qFormat/>
    <w:pPr>
      <w:spacing w:before="240" w:after="60"/>
      <w:jc w:val="center"/>
      <w:outlineLvl w:val="0"/>
    </w:pPr>
    <w:rPr>
      <w:rFonts w:ascii="Cambria" w:hAnsi="Cambria" w:eastAsia="仿宋" w:cs="Cambria"/>
      <w:b/>
      <w:spacing w:val="0"/>
      <w:kern w:val="0"/>
      <w:szCs w:val="24"/>
    </w:rPr>
  </w:style>
  <w:style w:type="paragraph" w:styleId="BodyText">
    <w:name w:val="Body Text"/>
    <w:basedOn w:val="Normal"/>
    <w:pPr/>
    <w:rPr>
      <w:rFonts w:ascii="Times New Roman" w:hAnsi="Times New Roman" w:cs="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正文缩进"/>
    <w:basedOn w:val="Normal"/>
    <w:qFormat/>
    <w:pPr>
      <w:ind w:firstLineChars="200" w:startChars="0" w:start="0" w:endChars="0" w:end="0"/>
    </w:pPr>
    <w:rPr>
      <w:rFonts w:eastAsia="宋体"/>
    </w:rPr>
  </w:style>
  <w:style w:type="paragraph" w:styleId="Style13">
    <w:name w:val="批注框文本"/>
    <w:basedOn w:val="Normal"/>
    <w:qFormat/>
    <w:pPr>
      <w:snapToGrid w:val="false"/>
      <w:spacing w:lineRule="exact" w:line="360"/>
    </w:pPr>
    <w:rPr>
      <w:rFonts w:ascii="等线" w:hAnsi="等线" w:eastAsia="宋体" w:cs="等线"/>
      <w:sz w:val="30"/>
      <w:szCs w:val="18"/>
    </w:rPr>
  </w:style>
  <w:style w:type="paragraph" w:styleId="Style14">
    <w:name w:val="批注文字"/>
    <w:basedOn w:val="Style13"/>
    <w:next w:val="Style13"/>
    <w:qFormat/>
    <w:pPr>
      <w:spacing w:lineRule="exact" w:line="300"/>
      <w:jc w:val="start"/>
    </w:pPr>
    <w:rPr>
      <w:rFonts w:ascii="等线" w:hAnsi="等线" w:cs="等线"/>
      <w:sz w:val="3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100" w:after="100"/>
      <w:jc w:val="start"/>
    </w:pPr>
    <w:rPr>
      <w:rFonts w:ascii="宋体" w:hAnsi="宋体" w:eastAsia="宋体" w:cs="宋体"/>
      <w:spacing w:val="0"/>
      <w:kern w:val="0"/>
      <w:sz w:val="24"/>
      <w:szCs w:val="24"/>
    </w:rPr>
  </w:style>
  <w:style w:type="paragraph" w:styleId="E02Body">
    <w:name w:val="E02_正文Body"/>
    <w:basedOn w:val="Normal"/>
    <w:qFormat/>
    <w:pPr>
      <w:overflowPunct w:val="false"/>
      <w:spacing w:lineRule="exact" w:line="600"/>
      <w:ind w:firstLineChars="200" w:startChars="0" w:start="0" w:endChars="0" w:end="0"/>
    </w:pPr>
    <w:rPr>
      <w:rFonts w:eastAsia="仿宋_GB2312;仿宋" w:cs="宋体"/>
      <w:color w:val="000000"/>
      <w:kern w:val="0"/>
      <w:sz w:val="32"/>
      <w:szCs w:val="2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2018-10-10T10:12:00Z</dcterms:created>
  <dc:creator>0</dc:creator>
  <dc:description/>
  <dc:language>en-US</dc:language>
  <cp:lastModifiedBy>PC402</cp:lastModifiedBy>
  <cp:lastPrinted>2021-10-09T16:15:00Z</cp:lastPrinted>
  <dcterms:modified xsi:type="dcterms:W3CDTF">2021-11-05T15:04:03Z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697105820449453B9D4937AA35E1A2E2</vt:lpwstr>
  </property>
  <property fmtid="{D5CDD505-2E9C-101B-9397-08002B2CF9AE}" pid="3" name="KSOProductBuildVer">
    <vt:lpwstr>2052-11.1.0.10938</vt:lpwstr>
  </property>
</Properties>
</file>