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autoSpaceDE w:val="true"/>
        <w:bidi w:val="0"/>
        <w:snapToGrid w:val="false"/>
        <w:spacing w:lineRule="exact" w:line="560"/>
        <w:jc w:val="center"/>
        <w:textAlignment w:val="auto"/>
        <w:rPr>
          <w:rFonts w:ascii="FreeSerif" w:hAnsi="FreeSerif" w:eastAsia="方正小标宋简体" w:cs="FreeSerif" w:hint="eastAsia"/>
          <w:color w:val="000000"/>
          <w:spacing w:val="0"/>
          <w:kern w:val="0"/>
          <w:sz w:val="44"/>
          <w:szCs w:val="44"/>
          <w:shd w:fill="auto" w:val="clear"/>
        </w:rPr>
      </w:pPr>
      <w:r>
        <w:rPr>
          <w:rFonts w:eastAsia="方正小标宋简体" w:cs="FreeSerif" w:hint="eastAsia" w:ascii="FreeSerif" w:hAnsi="FreeSerif"/>
          <w:color w:val="000000"/>
          <w:spacing w:val="0"/>
          <w:kern w:val="0"/>
          <w:sz w:val="44"/>
          <w:szCs w:val="44"/>
          <w:shd w:fill="auto" w:val="clear"/>
        </w:rPr>
      </w:r>
    </w:p>
    <w:p>
      <w:pPr>
        <w:pStyle w:val="Normal"/>
        <w:snapToGrid w:val="false"/>
        <w:spacing w:lineRule="exact" w:line="560"/>
        <w:jc w:val="center"/>
        <w:rPr>
          <w:rFonts w:ascii="宋体;方正书宋_GBK" w:hAnsi="宋体;方正书宋_GBK" w:eastAsia="宋体;方正书宋_GBK" w:cs="宋体;方正书宋_GBK" w:hint="eastAsia"/>
          <w:spacing w:val="0"/>
          <w:sz w:val="44"/>
          <w:szCs w:val="44"/>
        </w:rPr>
      </w:pPr>
      <w:r>
        <w:rPr>
          <w:rFonts w:ascii="宋体;方正书宋_GBK" w:hAnsi="宋体;方正书宋_GBK" w:cs="宋体;方正书宋_GBK" w:hint="eastAsia" w:eastAsia="宋体;方正书宋_GBK"/>
          <w:spacing w:val="0"/>
          <w:sz w:val="44"/>
          <w:szCs w:val="44"/>
        </w:rPr>
        <w:t>衢州市职业教育校企合作促进条例</w:t>
      </w:r>
    </w:p>
    <w:p>
      <w:pPr>
        <w:pStyle w:val="Normal"/>
        <w:keepNext w:val="false"/>
        <w:keepLines w:val="false"/>
        <w:pageBreakBefore w:val="false"/>
        <w:kinsoku w:val="true"/>
        <w:autoSpaceDE w:val="true"/>
        <w:bidi w:val="0"/>
        <w:spacing w:lineRule="exact" w:line="560"/>
        <w:ind w:firstLineChars="200" w:startChars="0" w:start="0" w:endChars="0" w:end="0"/>
        <w:jc w:val="center"/>
        <w:textAlignment w:val="auto"/>
        <w:rPr>
          <w:rFonts w:ascii="FreeSerif" w:hAnsi="FreeSerif" w:eastAsia="楷体_GB2312" w:cs="FreeSerif"/>
          <w:bCs/>
          <w:spacing w:val="0"/>
          <w:sz w:val="32"/>
          <w:szCs w:val="32"/>
        </w:rPr>
      </w:pPr>
      <w:r>
        <w:rPr>
          <w:rFonts w:eastAsia="楷体_GB2312" w:cs="FreeSerif" w:ascii="FreeSerif" w:hAnsi="FreeSerif"/>
          <w:bCs/>
          <w:spacing w:val="0"/>
          <w:sz w:val="32"/>
          <w:szCs w:val="32"/>
        </w:rPr>
      </w:r>
    </w:p>
    <w:p>
      <w:pPr>
        <w:pStyle w:val="Normal"/>
        <w:spacing w:lineRule="exact" w:line="560"/>
        <w:ind w:firstLineChars="200" w:startChars="0" w:start="0" w:endChars="0" w:end="0"/>
        <w:jc w:val="start"/>
        <w:rPr>
          <w:rFonts w:ascii="楷体_GB2312" w:hAnsi="楷体_GB2312" w:eastAsia="楷体_GB2312" w:cs="Times New Roman" w:hint="eastAsia"/>
          <w:bCs/>
          <w:spacing w:val="0"/>
          <w:sz w:val="32"/>
          <w:szCs w:val="32"/>
        </w:rPr>
      </w:pPr>
      <w:r>
        <w:rPr>
          <w:rFonts w:ascii="楷体_GB2312" w:hAnsi="楷体_GB2312" w:cs="Times New Roman" w:hint="eastAsia" w:eastAsia="楷体_GB2312"/>
          <w:bCs/>
          <w:spacing w:val="0"/>
          <w:sz w:val="32"/>
          <w:szCs w:val="32"/>
        </w:rPr>
        <w:t>（</w:t>
      </w:r>
      <w:r>
        <w:rPr>
          <w:rFonts w:eastAsia="楷体_GB2312" w:cs="Times New Roman" w:hint="eastAsia" w:ascii="楷体_GB2312" w:hAnsi="楷体_GB2312"/>
          <w:bCs/>
          <w:spacing w:val="0"/>
          <w:sz w:val="32"/>
          <w:szCs w:val="32"/>
        </w:rPr>
        <w:t>2022</w:t>
      </w:r>
      <w:r>
        <w:rPr>
          <w:rFonts w:ascii="楷体_GB2312" w:hAnsi="楷体_GB2312" w:cs="Times New Roman" w:hint="eastAsia" w:eastAsia="楷体_GB2312"/>
          <w:bCs/>
          <w:spacing w:val="0"/>
          <w:sz w:val="32"/>
          <w:szCs w:val="32"/>
        </w:rPr>
        <w:t>年</w:t>
      </w:r>
      <w:r>
        <w:rPr>
          <w:rFonts w:eastAsia="楷体_GB2312" w:cs="Times New Roman" w:hint="eastAsia" w:ascii="楷体_GB2312" w:hAnsi="楷体_GB2312"/>
          <w:bCs/>
          <w:spacing w:val="0"/>
          <w:sz w:val="32"/>
          <w:szCs w:val="32"/>
        </w:rPr>
        <w:t>11</w:t>
      </w:r>
      <w:r>
        <w:rPr>
          <w:rFonts w:ascii="楷体_GB2312" w:hAnsi="楷体_GB2312" w:cs="Times New Roman" w:hint="eastAsia" w:eastAsia="楷体_GB2312"/>
          <w:bCs/>
          <w:spacing w:val="0"/>
          <w:sz w:val="32"/>
          <w:szCs w:val="32"/>
        </w:rPr>
        <w:t>月</w:t>
      </w:r>
      <w:r>
        <w:rPr>
          <w:rFonts w:eastAsia="楷体_GB2312" w:cs="Times New Roman" w:hint="eastAsia" w:ascii="楷体_GB2312" w:hAnsi="楷体_GB2312"/>
          <w:bCs/>
          <w:spacing w:val="0"/>
          <w:sz w:val="32"/>
          <w:szCs w:val="32"/>
        </w:rPr>
        <w:t>18</w:t>
      </w:r>
      <w:r>
        <w:rPr>
          <w:rFonts w:ascii="楷体_GB2312" w:hAnsi="楷体_GB2312" w:cs="Times New Roman" w:hint="eastAsia" w:eastAsia="楷体_GB2312"/>
          <w:bCs/>
          <w:spacing w:val="0"/>
          <w:sz w:val="32"/>
          <w:szCs w:val="32"/>
        </w:rPr>
        <w:t>日衢州市第八届人民代表大会常务</w:t>
      </w:r>
    </w:p>
    <w:p>
      <w:pPr>
        <w:pStyle w:val="Normal"/>
        <w:spacing w:lineRule="exact" w:line="560"/>
        <w:ind w:firstLineChars="200" w:startChars="0" w:start="0" w:endChars="0" w:end="0"/>
        <w:jc w:val="start"/>
        <w:rPr>
          <w:rFonts w:ascii="楷体_GB2312" w:hAnsi="楷体_GB2312" w:eastAsia="楷体_GB2312" w:cs="Times New Roman" w:hint="eastAsia"/>
          <w:bCs/>
          <w:spacing w:val="0"/>
          <w:sz w:val="32"/>
          <w:szCs w:val="32"/>
        </w:rPr>
      </w:pPr>
      <w:r>
        <w:rPr>
          <w:rFonts w:ascii="楷体_GB2312" w:hAnsi="楷体_GB2312" w:cs="Times New Roman" w:hint="eastAsia" w:eastAsia="楷体_GB2312"/>
          <w:bCs/>
          <w:spacing w:val="0"/>
          <w:sz w:val="32"/>
          <w:szCs w:val="32"/>
        </w:rPr>
        <w:t xml:space="preserve">委员会第六次会议通过  </w:t>
      </w:r>
      <w:r>
        <w:rPr>
          <w:rFonts w:eastAsia="楷体_GB2312" w:cs="Times New Roman" w:hint="eastAsia" w:ascii="楷体_GB2312" w:hAnsi="楷体_GB2312"/>
          <w:bCs/>
          <w:spacing w:val="0"/>
          <w:sz w:val="32"/>
          <w:szCs w:val="32"/>
        </w:rPr>
        <w:t>2022</w:t>
      </w:r>
      <w:r>
        <w:rPr>
          <w:rFonts w:ascii="楷体_GB2312" w:hAnsi="楷体_GB2312" w:cs="Times New Roman" w:hint="eastAsia" w:eastAsia="楷体_GB2312"/>
          <w:bCs/>
          <w:spacing w:val="0"/>
          <w:sz w:val="32"/>
          <w:szCs w:val="32"/>
        </w:rPr>
        <w:t>年</w:t>
      </w:r>
      <w:r>
        <w:rPr>
          <w:rFonts w:eastAsia="楷体_GB2312" w:cs="Times New Roman" w:hint="eastAsia" w:ascii="楷体_GB2312" w:hAnsi="楷体_GB2312"/>
          <w:bCs/>
          <w:spacing w:val="0"/>
          <w:sz w:val="32"/>
          <w:szCs w:val="32"/>
        </w:rPr>
        <w:t>12</w:t>
      </w:r>
      <w:r>
        <w:rPr>
          <w:rFonts w:ascii="楷体_GB2312" w:hAnsi="楷体_GB2312" w:cs="Times New Roman" w:hint="eastAsia" w:eastAsia="楷体_GB2312"/>
          <w:bCs/>
          <w:spacing w:val="0"/>
          <w:sz w:val="32"/>
          <w:szCs w:val="32"/>
        </w:rPr>
        <w:t>月</w:t>
      </w:r>
      <w:r>
        <w:rPr>
          <w:rFonts w:eastAsia="楷体_GB2312" w:cs="Times New Roman" w:hint="eastAsia" w:ascii="楷体_GB2312" w:hAnsi="楷体_GB2312"/>
          <w:bCs/>
          <w:spacing w:val="0"/>
          <w:sz w:val="32"/>
          <w:szCs w:val="32"/>
        </w:rPr>
        <w:t>23</w:t>
      </w:r>
      <w:r>
        <w:rPr>
          <w:rFonts w:ascii="楷体_GB2312" w:hAnsi="楷体_GB2312" w:cs="Times New Roman" w:hint="eastAsia" w:eastAsia="楷体_GB2312"/>
          <w:bCs/>
          <w:spacing w:val="0"/>
          <w:sz w:val="32"/>
          <w:szCs w:val="32"/>
        </w:rPr>
        <w:t>日浙江省第</w:t>
      </w:r>
    </w:p>
    <w:p>
      <w:pPr>
        <w:pStyle w:val="Normal"/>
        <w:spacing w:lineRule="exact" w:line="560"/>
        <w:ind w:firstLineChars="200" w:startChars="0" w:start="0" w:endChars="0" w:end="0"/>
        <w:jc w:val="start"/>
        <w:rPr>
          <w:rFonts w:ascii="楷体_GB2312" w:hAnsi="楷体_GB2312" w:eastAsia="楷体_GB2312" w:cs="Times New Roman" w:hint="eastAsia"/>
          <w:bCs/>
          <w:spacing w:val="0"/>
          <w:sz w:val="32"/>
          <w:szCs w:val="32"/>
        </w:rPr>
      </w:pPr>
      <w:r>
        <w:rPr>
          <w:rFonts w:ascii="楷体_GB2312" w:hAnsi="楷体_GB2312" w:cs="Times New Roman" w:hint="eastAsia" w:eastAsia="楷体_GB2312"/>
          <w:bCs/>
          <w:spacing w:val="0"/>
          <w:sz w:val="32"/>
          <w:szCs w:val="32"/>
        </w:rPr>
        <w:t>十三届人民代表大会常务委员会第四十次会议批准）</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FreeSerif" w:hAnsi="FreeSerif" w:eastAsia="宋体;方正书宋_GBK" w:cs="FreeSerif"/>
          <w:bCs/>
          <w:spacing w:val="0"/>
          <w:kern w:val="2"/>
          <w:sz w:val="32"/>
          <w:szCs w:val="32"/>
        </w:rPr>
      </w:pPr>
      <w:r>
        <w:rPr>
          <w:rFonts w:eastAsia="宋体;方正书宋_GBK" w:cs="FreeSerif" w:ascii="FreeSerif" w:hAnsi="FreeSerif"/>
          <w:bCs/>
          <w:spacing w:val="0"/>
          <w:kern w:val="2"/>
          <w:sz w:val="32"/>
          <w:szCs w:val="32"/>
        </w:rPr>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sz w:val="32"/>
          <w:szCs w:val="32"/>
        </w:rPr>
        <w:t xml:space="preserve">第一条 </w:t>
      </w:r>
      <w:r>
        <w:rPr>
          <w:bCs/>
          <w:color w:val="000000"/>
          <w:sz w:val="32"/>
          <w:szCs w:val="32"/>
        </w:rPr>
        <w:t>为了促进职业学校与企业的合作，深化产教融合</w:t>
      </w:r>
      <w:r>
        <w:rPr>
          <w:rFonts w:hint="eastAsia"/>
          <w:bCs/>
          <w:color w:val="000000"/>
          <w:sz w:val="32"/>
          <w:szCs w:val="32"/>
        </w:rPr>
        <w:t>、科教融汇，</w:t>
      </w:r>
      <w:r>
        <w:rPr>
          <w:bCs/>
          <w:color w:val="000000"/>
          <w:sz w:val="32"/>
          <w:szCs w:val="32"/>
        </w:rPr>
        <w:t>培养高素质技术技能人才，促进</w:t>
      </w:r>
      <w:r>
        <w:rPr>
          <w:rFonts w:hint="eastAsia"/>
          <w:b w:val="false"/>
          <w:bCs/>
          <w:color w:val="000000"/>
          <w:sz w:val="32"/>
          <w:szCs w:val="32"/>
        </w:rPr>
        <w:t>高质量</w:t>
      </w:r>
      <w:r>
        <w:rPr>
          <w:bCs/>
          <w:color w:val="000000"/>
          <w:sz w:val="32"/>
          <w:szCs w:val="32"/>
        </w:rPr>
        <w:t>就业创业，</w:t>
      </w:r>
      <w:r>
        <w:rPr>
          <w:rFonts w:hint="eastAsia"/>
          <w:bCs/>
          <w:color w:val="000000"/>
          <w:sz w:val="32"/>
          <w:szCs w:val="32"/>
        </w:rPr>
        <w:t>助力</w:t>
      </w:r>
      <w:r>
        <w:rPr>
          <w:bCs/>
          <w:color w:val="000000"/>
          <w:sz w:val="32"/>
          <w:szCs w:val="32"/>
        </w:rPr>
        <w:t>四省边际公共服务桥头堡</w:t>
      </w:r>
      <w:r>
        <w:rPr>
          <w:rFonts w:hint="eastAsia"/>
          <w:bCs/>
          <w:color w:val="000000"/>
          <w:sz w:val="32"/>
          <w:szCs w:val="32"/>
        </w:rPr>
        <w:t>建设</w:t>
      </w:r>
      <w:r>
        <w:rPr>
          <w:bCs/>
          <w:color w:val="000000"/>
          <w:sz w:val="32"/>
          <w:szCs w:val="32"/>
        </w:rPr>
        <w:t>，根据《中华人民共和国职业教育法》和有关法律、法规，结合本市实际，制定本条例。</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sz w:val="32"/>
          <w:szCs w:val="32"/>
        </w:rPr>
        <w:t xml:space="preserve">第二条 </w:t>
      </w:r>
      <w:r>
        <w:rPr>
          <w:bCs/>
          <w:color w:val="000000"/>
          <w:sz w:val="32"/>
          <w:szCs w:val="32"/>
        </w:rPr>
        <w:t>本市行政区域内职业教育校企合作及其保障促进等工作，适用本条例。</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本条例所称</w:t>
      </w:r>
      <w:r>
        <w:rPr>
          <w:rFonts w:hint="eastAsia"/>
          <w:bCs/>
          <w:color w:val="000000"/>
          <w:sz w:val="32"/>
          <w:szCs w:val="32"/>
        </w:rPr>
        <w:t>职业教育</w:t>
      </w:r>
      <w:r>
        <w:rPr>
          <w:bCs/>
          <w:color w:val="000000"/>
          <w:sz w:val="32"/>
          <w:szCs w:val="32"/>
        </w:rPr>
        <w:t>校企合作</w:t>
      </w:r>
      <w:r>
        <w:rPr>
          <w:rFonts w:hint="eastAsia"/>
          <w:bCs/>
          <w:color w:val="000000"/>
          <w:sz w:val="32"/>
          <w:szCs w:val="32"/>
        </w:rPr>
        <w:t>（以下简称校企合作）</w:t>
      </w:r>
      <w:r>
        <w:rPr>
          <w:bCs/>
          <w:color w:val="000000"/>
          <w:sz w:val="32"/>
          <w:szCs w:val="32"/>
        </w:rPr>
        <w:t>，是指职业学校和企业通过共同育人、共享资源、共建平台、合作研究、成果转化等方式实施的合作活动。</w:t>
      </w:r>
    </w:p>
    <w:p>
      <w:pPr>
        <w:pStyle w:val="Style16"/>
        <w:keepNext w:val="false"/>
        <w:keepLines w:val="false"/>
        <w:pageBreakBefore w:val="false"/>
        <w:widowControl w:val="false"/>
        <w:kinsoku w:val="true"/>
        <w:overflowPunct w:val="true"/>
        <w:autoSpaceDE w:val="true"/>
        <w:bidi w:val="0"/>
        <w:spacing w:lineRule="exact" w:line="560"/>
        <w:ind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第三条 </w:t>
      </w:r>
      <w:r>
        <w:rPr>
          <w:rFonts w:eastAsia="仿宋_GB2312"/>
          <w:bCs/>
          <w:color w:val="000000"/>
          <w:sz w:val="32"/>
          <w:szCs w:val="32"/>
        </w:rPr>
        <w:t>校企合作应当坚持育人为本、平等自愿、互惠共赢的原则，实行政府推动</w:t>
      </w:r>
      <w:r>
        <w:rPr>
          <w:rFonts w:hint="eastAsia" w:eastAsia="仿宋_GB2312"/>
          <w:bCs/>
          <w:color w:val="000000"/>
          <w:sz w:val="32"/>
          <w:szCs w:val="32"/>
        </w:rPr>
        <w:t>、产学协同、</w:t>
      </w:r>
      <w:r>
        <w:rPr>
          <w:rFonts w:eastAsia="仿宋_GB2312"/>
          <w:bCs/>
          <w:color w:val="000000"/>
          <w:sz w:val="32"/>
          <w:szCs w:val="32"/>
        </w:rPr>
        <w:t>行业指导、社会参与的机制。</w:t>
      </w:r>
    </w:p>
    <w:p>
      <w:pPr>
        <w:pStyle w:val="Style16"/>
        <w:keepNext w:val="false"/>
        <w:keepLines w:val="false"/>
        <w:pageBreakBefore w:val="false"/>
        <w:widowControl w:val="false"/>
        <w:kinsoku w:val="true"/>
        <w:overflowPunct w:val="true"/>
        <w:autoSpaceDE w:val="true"/>
        <w:bidi w:val="0"/>
        <w:spacing w:lineRule="exact" w:line="560"/>
        <w:ind w:endChars="0" w:end="0"/>
        <w:textAlignment w:val="auto"/>
        <w:rPr>
          <w:rFonts w:eastAsia="仿宋_GB2312" w:cs="Times New Roman"/>
          <w:b/>
          <w:bCs w:val="false"/>
          <w:color w:val="000000"/>
          <w:sz w:val="32"/>
          <w:szCs w:val="32"/>
        </w:rPr>
      </w:pPr>
      <w:r>
        <w:rPr>
          <w:rFonts w:cs="Times New Roman" w:hint="eastAsia" w:eastAsia="仿宋_GB2312"/>
          <w:b w:val="false"/>
          <w:bCs/>
          <w:color w:val="000000"/>
          <w:sz w:val="32"/>
          <w:szCs w:val="32"/>
        </w:rPr>
        <w:t>开展校企合作应当弘扬社会主义核心价值观，加强思想政治教育和职业道德教育，培育劳模精神、劳动精神、工匠精神，培养技术技能，全面提高校企合作参与者的素质。</w:t>
      </w:r>
    </w:p>
    <w:p>
      <w:pPr>
        <w:pStyle w:val="FootnoteText"/>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Times New Roman" w:hAnsi="Times New Roman" w:eastAsia="仿宋_GB2312" w:cs="Times New Roman" w:hint="eastAsia"/>
          <w:b w:val="false"/>
          <w:bCs/>
          <w:color w:val="000000"/>
          <w:spacing w:val="6"/>
          <w:kern w:val="2"/>
          <w:sz w:val="32"/>
          <w:szCs w:val="32"/>
        </w:rPr>
      </w:pPr>
      <w:r>
        <w:rPr>
          <w:rFonts w:ascii="黑体" w:hAnsi="黑体" w:cs="黑体" w:hint="eastAsia" w:eastAsia="黑体"/>
          <w:bCs/>
          <w:color w:val="000000"/>
          <w:kern w:val="2"/>
          <w:sz w:val="32"/>
          <w:szCs w:val="32"/>
        </w:rPr>
        <w:t xml:space="preserve">第四条 </w:t>
      </w:r>
      <w:r>
        <w:rPr>
          <w:bCs/>
          <w:color w:val="000000"/>
          <w:sz w:val="32"/>
          <w:szCs w:val="32"/>
        </w:rPr>
        <w:t>市、县（市、区）人民政府</w:t>
      </w:r>
      <w:r>
        <w:rPr>
          <w:rFonts w:hint="eastAsia"/>
          <w:bCs/>
          <w:color w:val="000000"/>
          <w:sz w:val="32"/>
          <w:szCs w:val="32"/>
        </w:rPr>
        <w:t>应当</w:t>
      </w:r>
      <w:r>
        <w:rPr>
          <w:rFonts w:ascii="Times New Roman" w:hAnsi="Times New Roman" w:cs="Times New Roman" w:hint="eastAsia"/>
          <w:b w:val="false"/>
          <w:bCs/>
          <w:color w:val="000000"/>
          <w:spacing w:val="6"/>
          <w:kern w:val="2"/>
          <w:sz w:val="32"/>
          <w:szCs w:val="32"/>
        </w:rPr>
        <w:t>统筹推进职业教育专业、师资、招生、实训和就业等领域改革。</w:t>
      </w:r>
    </w:p>
    <w:p>
      <w:pPr>
        <w:pStyle w:val="FootnoteText"/>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eastAsia="仿宋_GB2312"/>
          <w:bCs/>
          <w:color w:val="000000"/>
          <w:sz w:val="32"/>
          <w:szCs w:val="32"/>
        </w:rPr>
      </w:pPr>
      <w:r>
        <w:rPr>
          <w:bCs/>
          <w:color w:val="000000"/>
          <w:sz w:val="32"/>
          <w:szCs w:val="32"/>
        </w:rPr>
        <w:t>市、县（市、区）人民政府加强对</w:t>
      </w:r>
      <w:r>
        <w:rPr>
          <w:rFonts w:hint="eastAsia"/>
          <w:bCs/>
          <w:color w:val="000000"/>
          <w:sz w:val="32"/>
          <w:szCs w:val="32"/>
        </w:rPr>
        <w:t>校企合作</w:t>
      </w:r>
      <w:r>
        <w:rPr>
          <w:bCs/>
          <w:color w:val="000000"/>
          <w:sz w:val="32"/>
          <w:szCs w:val="32"/>
        </w:rPr>
        <w:t>工作的</w:t>
      </w:r>
      <w:r>
        <w:rPr>
          <w:rFonts w:hint="eastAsia"/>
          <w:bCs/>
          <w:color w:val="000000"/>
          <w:sz w:val="32"/>
          <w:szCs w:val="32"/>
        </w:rPr>
        <w:t>指导</w:t>
      </w:r>
      <w:r>
        <w:rPr>
          <w:bCs/>
          <w:color w:val="000000"/>
          <w:sz w:val="32"/>
          <w:szCs w:val="32"/>
        </w:rPr>
        <w:t>、综合协调和督导评估，</w:t>
      </w:r>
      <w:r>
        <w:rPr>
          <w:rFonts w:hint="eastAsia"/>
          <w:bCs/>
          <w:color w:val="000000"/>
          <w:sz w:val="32"/>
          <w:szCs w:val="32"/>
        </w:rPr>
        <w:t>应当履行下列职责：</w:t>
      </w:r>
    </w:p>
    <w:p>
      <w:pPr>
        <w:pStyle w:val="FootnoteText"/>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eastAsia="仿宋_GB2312"/>
          <w:bCs/>
          <w:color w:val="000000"/>
          <w:sz w:val="32"/>
          <w:szCs w:val="32"/>
        </w:rPr>
      </w:pPr>
      <w:r>
        <w:rPr>
          <w:rFonts w:hint="eastAsia"/>
          <w:bCs/>
          <w:color w:val="000000"/>
          <w:sz w:val="32"/>
          <w:szCs w:val="32"/>
        </w:rPr>
        <w:t>（一）将校企合作纳入国民经济和社会发展规划纲要；</w:t>
      </w:r>
    </w:p>
    <w:p>
      <w:pPr>
        <w:pStyle w:val="FootnoteText"/>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eastAsia="仿宋_GB2312" w:hint="eastAsia"/>
          <w:bCs/>
          <w:color w:val="000000"/>
          <w:sz w:val="32"/>
          <w:szCs w:val="32"/>
        </w:rPr>
      </w:pPr>
      <w:r>
        <w:rPr>
          <w:rFonts w:hint="eastAsia"/>
          <w:bCs/>
          <w:color w:val="000000"/>
          <w:sz w:val="32"/>
          <w:szCs w:val="32"/>
        </w:rPr>
        <w:t>（二）根据国土空间总体规划</w:t>
      </w:r>
      <w:r>
        <w:rPr>
          <w:bCs/>
          <w:color w:val="000000"/>
          <w:sz w:val="32"/>
          <w:szCs w:val="32"/>
          <w:lang w:val="en"/>
        </w:rPr>
        <w:t>、</w:t>
      </w:r>
      <w:r>
        <w:rPr>
          <w:rFonts w:hint="eastAsia"/>
          <w:bCs/>
          <w:color w:val="000000"/>
          <w:sz w:val="32"/>
          <w:szCs w:val="32"/>
        </w:rPr>
        <w:t>产业发展总体规划</w:t>
      </w:r>
      <w:r>
        <w:rPr>
          <w:bCs/>
          <w:color w:val="000000"/>
          <w:sz w:val="32"/>
          <w:szCs w:val="32"/>
          <w:lang w:val="en"/>
        </w:rPr>
        <w:t>以及有关规定</w:t>
      </w:r>
      <w:r>
        <w:rPr>
          <w:rFonts w:hint="eastAsia"/>
          <w:bCs/>
          <w:color w:val="000000"/>
          <w:sz w:val="32"/>
          <w:szCs w:val="32"/>
        </w:rPr>
        <w:t>，优化职业教育资源的结构和布局；</w:t>
      </w:r>
    </w:p>
    <w:p>
      <w:pPr>
        <w:pStyle w:val="FootnoteText"/>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仿宋_GB2312" w:hAnsi="仿宋_GB2312" w:eastAsia="仿宋_GB2312" w:cs="仿宋_GB2312"/>
          <w:bCs/>
          <w:color w:val="000000"/>
          <w:sz w:val="32"/>
          <w:szCs w:val="32"/>
        </w:rPr>
      </w:pPr>
      <w:r>
        <w:rPr>
          <w:rFonts w:hint="eastAsia"/>
          <w:bCs/>
          <w:color w:val="000000"/>
          <w:sz w:val="32"/>
          <w:szCs w:val="32"/>
        </w:rPr>
        <w:t>（三）</w:t>
      </w:r>
      <w:r>
        <w:rPr>
          <w:rFonts w:ascii="仿宋_GB2312" w:hAnsi="仿宋_GB2312" w:cs="仿宋_GB2312" w:hint="eastAsia"/>
          <w:bCs/>
          <w:color w:val="000000"/>
          <w:sz w:val="32"/>
          <w:szCs w:val="32"/>
        </w:rPr>
        <w:t>建立校企合作联席协调机制，研究解决有关重大问题；</w:t>
      </w:r>
    </w:p>
    <w:p>
      <w:pPr>
        <w:pStyle w:val="Style16"/>
        <w:keepNext w:val="false"/>
        <w:keepLines w:val="false"/>
        <w:pageBreakBefore w:val="false"/>
        <w:widowControl w:val="false"/>
        <w:kinsoku w:val="true"/>
        <w:overflowPunct w:val="true"/>
        <w:autoSpaceDE w:val="true"/>
        <w:bidi w:val="0"/>
        <w:spacing w:lineRule="exact" w:line="560"/>
        <w:ind w:endChars="0" w:end="0"/>
        <w:textAlignment w:val="auto"/>
        <w:rPr>
          <w:rFonts w:eastAsia="仿宋_GB2312" w:hint="eastAsia"/>
          <w:bCs/>
          <w:color w:val="000000"/>
          <w:sz w:val="32"/>
          <w:szCs w:val="32"/>
        </w:rPr>
      </w:pPr>
      <w:r>
        <w:rPr>
          <w:rFonts w:ascii="仿宋_GB2312" w:hAnsi="仿宋_GB2312" w:cs="仿宋_GB2312" w:hint="eastAsia" w:eastAsia="仿宋_GB2312"/>
          <w:bCs/>
          <w:color w:val="000000"/>
          <w:sz w:val="32"/>
          <w:szCs w:val="32"/>
        </w:rPr>
        <w:t>（四）</w:t>
      </w:r>
      <w:r>
        <w:rPr>
          <w:rFonts w:eastAsia="仿宋_GB2312"/>
          <w:bCs/>
          <w:color w:val="000000"/>
          <w:sz w:val="32"/>
          <w:szCs w:val="32"/>
        </w:rPr>
        <w:t>建立与经济社会发展、职业学校办学规模和校企合作目标相适应的财政投入</w:t>
      </w:r>
      <w:r>
        <w:rPr>
          <w:rFonts w:hint="eastAsia" w:eastAsia="仿宋_GB2312"/>
          <w:bCs/>
          <w:color w:val="000000"/>
          <w:sz w:val="32"/>
          <w:szCs w:val="32"/>
        </w:rPr>
        <w:t>机制；</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Calibri;DejaVu Sans" w:hAnsi="Calibri;DejaVu Sans" w:eastAsia="仿宋_GB2312" w:cs="黑体" w:hint="eastAsia"/>
          <w:bCs/>
          <w:color w:val="000000"/>
          <w:spacing w:val="6"/>
          <w:kern w:val="2"/>
          <w:sz w:val="32"/>
          <w:szCs w:val="32"/>
        </w:rPr>
      </w:pPr>
      <w:r>
        <w:rPr>
          <w:rFonts w:hint="eastAsia"/>
          <w:bCs/>
          <w:color w:val="000000"/>
          <w:sz w:val="32"/>
          <w:szCs w:val="32"/>
        </w:rPr>
        <w:t>（五）</w:t>
      </w:r>
      <w:r>
        <w:rPr>
          <w:bCs/>
          <w:color w:val="000000"/>
          <w:sz w:val="32"/>
          <w:szCs w:val="32"/>
        </w:rPr>
        <w:t>建立校企合</w:t>
      </w:r>
      <w:r>
        <w:rPr>
          <w:rFonts w:ascii="Calibri;DejaVu Sans" w:hAnsi="Calibri;DejaVu Sans" w:cs="黑体" w:hint="eastAsia"/>
          <w:bCs/>
          <w:color w:val="000000"/>
          <w:spacing w:val="6"/>
          <w:kern w:val="2"/>
          <w:sz w:val="32"/>
          <w:szCs w:val="32"/>
        </w:rPr>
        <w:t>作督导评估制度，</w:t>
      </w:r>
      <w:r>
        <w:rPr>
          <w:rFonts w:ascii="Calibri;DejaVu Sans" w:hAnsi="Calibri;DejaVu Sans" w:cs="黑体" w:hint="eastAsia"/>
          <w:bCs/>
          <w:color w:val="000000"/>
          <w:spacing w:val="6"/>
          <w:kern w:val="2"/>
          <w:sz w:val="32"/>
          <w:szCs w:val="32"/>
          <w:lang w:val="en"/>
        </w:rPr>
        <w:t>开展督导评估工作</w:t>
      </w:r>
      <w:r>
        <w:rPr>
          <w:rFonts w:ascii="Calibri;DejaVu Sans" w:hAnsi="Calibri;DejaVu Sans" w:cs="黑体" w:hint="eastAsia"/>
          <w:bCs/>
          <w:color w:val="000000"/>
          <w:spacing w:val="6"/>
          <w:kern w:val="2"/>
          <w:sz w:val="32"/>
          <w:szCs w:val="32"/>
        </w:rPr>
        <w:t>。</w:t>
      </w:r>
    </w:p>
    <w:p>
      <w:pPr>
        <w:pStyle w:val="FootnoteText"/>
        <w:keepNext w:val="false"/>
        <w:keepLines w:val="false"/>
        <w:pageBreakBefore w:val="false"/>
        <w:widowControl w:val="false"/>
        <w:kinsoku w:val="true"/>
        <w:overflowPunct w:val="true"/>
        <w:autoSpaceDE w:val="true"/>
        <w:bidi w:val="0"/>
        <w:spacing w:lineRule="exact" w:line="560"/>
        <w:ind w:firstLineChars="200" w:startChars="0" w:start="0" w:endChars="0" w:end="0"/>
        <w:jc w:val="both"/>
        <w:textAlignment w:val="auto"/>
        <w:rPr>
          <w:rFonts w:ascii="Calibri;DejaVu Sans" w:hAnsi="Calibri;DejaVu Sans" w:eastAsia="仿宋_GB2312" w:cs="黑体" w:hint="eastAsia"/>
          <w:bCs/>
          <w:color w:val="000000"/>
          <w:spacing w:val="6"/>
          <w:kern w:val="2"/>
          <w:sz w:val="32"/>
          <w:szCs w:val="32"/>
        </w:rPr>
      </w:pPr>
      <w:r>
        <w:rPr>
          <w:rFonts w:ascii="Times New Roman" w:hAnsi="Times New Roman" w:cs="Times New Roman"/>
          <w:b w:val="false"/>
          <w:bCs/>
          <w:color w:val="000000"/>
          <w:kern w:val="2"/>
          <w:sz w:val="32"/>
          <w:szCs w:val="32"/>
        </w:rPr>
        <w:t>市、县（市、区）人民政府</w:t>
      </w:r>
      <w:r>
        <w:rPr>
          <w:rFonts w:ascii="Times New Roman" w:hAnsi="Times New Roman" w:cs="Times New Roman" w:hint="eastAsia"/>
          <w:b w:val="false"/>
          <w:bCs/>
          <w:color w:val="000000"/>
          <w:kern w:val="2"/>
          <w:sz w:val="32"/>
          <w:szCs w:val="32"/>
        </w:rPr>
        <w:t>应当推动</w:t>
      </w:r>
      <w:r>
        <w:rPr>
          <w:rFonts w:ascii="Times New Roman" w:hAnsi="Times New Roman" w:cs="Times New Roman"/>
          <w:b w:val="false"/>
          <w:bCs/>
          <w:color w:val="000000"/>
          <w:kern w:val="2"/>
          <w:sz w:val="32"/>
          <w:szCs w:val="32"/>
        </w:rPr>
        <w:t>校企合作模式创新，</w:t>
      </w:r>
      <w:r>
        <w:rPr>
          <w:rFonts w:ascii="Times New Roman" w:hAnsi="Times New Roman" w:cs="Times New Roman" w:hint="eastAsia"/>
          <w:b w:val="false"/>
          <w:bCs/>
          <w:color w:val="000000"/>
          <w:kern w:val="2"/>
          <w:sz w:val="32"/>
          <w:szCs w:val="32"/>
        </w:rPr>
        <w:t>推进四</w:t>
      </w:r>
      <w:r>
        <w:rPr>
          <w:rFonts w:ascii="Calibri;DejaVu Sans" w:hAnsi="Calibri;DejaVu Sans" w:cs="黑体" w:hint="eastAsia"/>
          <w:bCs/>
          <w:color w:val="000000"/>
          <w:spacing w:val="6"/>
          <w:kern w:val="2"/>
          <w:sz w:val="32"/>
          <w:szCs w:val="32"/>
        </w:rPr>
        <w:t>省边际周边市、县（市、区）校企合作协同发展，建</w:t>
      </w:r>
      <w:r>
        <w:rPr>
          <w:rFonts w:ascii="Times New Roman" w:hAnsi="Times New Roman" w:cs="Times New Roman"/>
          <w:b w:val="false"/>
          <w:bCs/>
          <w:color w:val="000000"/>
          <w:kern w:val="2"/>
          <w:sz w:val="32"/>
          <w:szCs w:val="32"/>
        </w:rPr>
        <w:t>立</w:t>
      </w:r>
      <w:r>
        <w:rPr>
          <w:rFonts w:ascii="Times New Roman" w:hAnsi="Times New Roman" w:cs="Times New Roman" w:hint="eastAsia"/>
          <w:b w:val="false"/>
          <w:bCs/>
          <w:color w:val="000000"/>
          <w:kern w:val="2"/>
          <w:sz w:val="32"/>
          <w:szCs w:val="32"/>
        </w:rPr>
        <w:t>、</w:t>
      </w:r>
      <w:r>
        <w:rPr>
          <w:rFonts w:ascii="Times New Roman" w:hAnsi="Times New Roman" w:cs="Times New Roman"/>
          <w:b w:val="false"/>
          <w:bCs/>
          <w:color w:val="000000"/>
          <w:kern w:val="2"/>
          <w:sz w:val="32"/>
          <w:szCs w:val="32"/>
        </w:rPr>
        <w:t>完善校企协同育人的职业</w:t>
      </w:r>
      <w:r>
        <w:rPr>
          <w:rFonts w:ascii="Calibri;DejaVu Sans" w:hAnsi="Calibri;DejaVu Sans" w:cs="黑体" w:hint="eastAsia"/>
          <w:bCs/>
          <w:color w:val="000000"/>
          <w:spacing w:val="6"/>
          <w:kern w:val="2"/>
          <w:sz w:val="32"/>
          <w:szCs w:val="32"/>
        </w:rPr>
        <w:t>教育相关</w:t>
      </w:r>
      <w:r>
        <w:rPr>
          <w:rFonts w:ascii="Calibri;DejaVu Sans" w:hAnsi="Calibri;DejaVu Sans" w:cs="黑体"/>
          <w:bCs/>
          <w:color w:val="000000"/>
          <w:spacing w:val="6"/>
          <w:kern w:val="2"/>
          <w:sz w:val="32"/>
          <w:szCs w:val="32"/>
          <w:lang w:val="en"/>
        </w:rPr>
        <w:t>机制</w:t>
      </w:r>
      <w:r>
        <w:rPr>
          <w:rFonts w:ascii="Calibri;DejaVu Sans" w:hAnsi="Calibri;DejaVu Sans" w:cs="黑体" w:hint="eastAsia"/>
          <w:bCs/>
          <w:color w:val="000000"/>
          <w:spacing w:val="6"/>
          <w:kern w:val="2"/>
          <w:sz w:val="32"/>
          <w:szCs w:val="32"/>
        </w:rPr>
        <w:t>，增强高素质技术技能人才供给，</w:t>
      </w:r>
      <w:r>
        <w:rPr>
          <w:rFonts w:ascii="Calibri;DejaVu Sans" w:hAnsi="Calibri;DejaVu Sans" w:cs="黑体" w:hint="eastAsia"/>
          <w:bCs/>
          <w:color w:val="000000"/>
          <w:spacing w:val="6"/>
          <w:kern w:val="2"/>
          <w:sz w:val="32"/>
          <w:szCs w:val="32"/>
          <w:lang w:val="en"/>
        </w:rPr>
        <w:t>促进</w:t>
      </w:r>
      <w:r>
        <w:rPr>
          <w:rFonts w:ascii="Calibri;DejaVu Sans" w:hAnsi="Calibri;DejaVu Sans" w:cs="黑体" w:hint="eastAsia"/>
          <w:bCs/>
          <w:color w:val="000000"/>
          <w:spacing w:val="6"/>
          <w:kern w:val="2"/>
          <w:sz w:val="32"/>
          <w:szCs w:val="32"/>
        </w:rPr>
        <w:t>人才流动，满足产业需求。</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第五条 </w:t>
      </w:r>
      <w:r>
        <w:rPr>
          <w:bCs/>
          <w:color w:val="000000"/>
          <w:sz w:val="32"/>
          <w:szCs w:val="32"/>
        </w:rPr>
        <w:t>市、县（市、区）教育行政部门负责本行政区域内校企合作的统筹协调、规划指导、综合管理</w:t>
      </w:r>
      <w:r>
        <w:rPr>
          <w:rFonts w:ascii="Times New Roman" w:hAnsi="Times New Roman" w:cs="Times New Roman" w:hint="eastAsia"/>
          <w:bCs/>
          <w:color w:val="000000"/>
          <w:spacing w:val="6"/>
          <w:kern w:val="2"/>
          <w:sz w:val="32"/>
          <w:szCs w:val="32"/>
          <w:lang w:val="en"/>
        </w:rPr>
        <w:t>和服务保障</w:t>
      </w:r>
      <w:r>
        <w:rPr>
          <w:bCs/>
          <w:color w:val="000000"/>
          <w:sz w:val="32"/>
          <w:szCs w:val="32"/>
        </w:rPr>
        <w:t>等工作。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人力资源社会保障部门负责技工院校校企合作，推动校企合作服务社会人员技能提升等工作。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发展改革部门负责统筹规划产教融合与经济社会协同发展，推进产教融合发展</w:t>
      </w:r>
      <w:r>
        <w:rPr>
          <w:rFonts w:hint="eastAsia"/>
          <w:bCs/>
          <w:color w:val="000000"/>
          <w:sz w:val="32"/>
          <w:szCs w:val="32"/>
        </w:rPr>
        <w:t>建设</w:t>
      </w:r>
      <w:r>
        <w:rPr>
          <w:bCs/>
          <w:color w:val="000000"/>
          <w:sz w:val="32"/>
          <w:szCs w:val="32"/>
        </w:rPr>
        <w:t>等工作。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bCs/>
          <w:color w:val="000000"/>
          <w:sz w:val="32"/>
          <w:szCs w:val="32"/>
        </w:rPr>
        <w:t>经济</w:t>
      </w:r>
      <w:r>
        <w:rPr>
          <w:b w:val="false"/>
          <w:bCs/>
          <w:color w:val="000000"/>
          <w:sz w:val="32"/>
          <w:szCs w:val="32"/>
        </w:rPr>
        <w:t>和</w:t>
      </w:r>
      <w:r>
        <w:rPr>
          <w:bCs/>
          <w:color w:val="000000"/>
          <w:sz w:val="32"/>
          <w:szCs w:val="32"/>
        </w:rPr>
        <w:t>信息化</w:t>
      </w:r>
      <w:r>
        <w:rPr>
          <w:rFonts w:hint="eastAsia"/>
          <w:bCs/>
          <w:color w:val="000000"/>
          <w:sz w:val="32"/>
          <w:szCs w:val="32"/>
        </w:rPr>
        <w:t>部门负责引导工业和信息化领域的企业参与校企合作，提供有关专业、</w:t>
      </w:r>
      <w:r>
        <w:rPr>
          <w:bCs/>
          <w:color w:val="000000"/>
          <w:sz w:val="32"/>
          <w:szCs w:val="32"/>
        </w:rPr>
        <w:t>人才需求</w:t>
      </w:r>
      <w:r>
        <w:rPr>
          <w:rFonts w:hint="eastAsia"/>
          <w:bCs/>
          <w:color w:val="000000"/>
          <w:sz w:val="32"/>
          <w:szCs w:val="32"/>
        </w:rPr>
        <w:t>信息。</w:t>
      </w:r>
    </w:p>
    <w:p>
      <w:pPr>
        <w:pStyle w:val="Style16"/>
        <w:keepNext w:val="false"/>
        <w:keepLines w:val="false"/>
        <w:pageBreakBefore w:val="false"/>
        <w:widowControl w:val="false"/>
        <w:kinsoku w:val="true"/>
        <w:overflowPunct w:val="true"/>
        <w:autoSpaceDE w:val="true"/>
        <w:bidi w:val="0"/>
        <w:spacing w:lineRule="exact" w:line="560"/>
        <w:ind w:endChars="0" w:end="0"/>
        <w:textAlignment w:val="auto"/>
        <w:rPr>
          <w:rFonts w:eastAsia="仿宋_GB2312"/>
          <w:bCs/>
          <w:color w:val="000000"/>
          <w:sz w:val="32"/>
          <w:szCs w:val="32"/>
        </w:rPr>
      </w:pPr>
      <w:r>
        <w:rPr>
          <w:rFonts w:eastAsia="仿宋_GB2312"/>
          <w:bCs/>
          <w:color w:val="000000"/>
          <w:sz w:val="32"/>
          <w:szCs w:val="32"/>
        </w:rPr>
        <w:t>科技、财政、</w:t>
      </w:r>
      <w:r>
        <w:rPr>
          <w:rFonts w:hint="eastAsia" w:eastAsia="仿宋_GB2312"/>
          <w:bCs/>
          <w:color w:val="000000"/>
          <w:sz w:val="32"/>
          <w:szCs w:val="32"/>
        </w:rPr>
        <w:t>税务、</w:t>
      </w:r>
      <w:r>
        <w:rPr>
          <w:rFonts w:eastAsia="仿宋_GB2312"/>
          <w:bCs/>
          <w:color w:val="000000"/>
          <w:sz w:val="32"/>
          <w:szCs w:val="32"/>
        </w:rPr>
        <w:t>商务、</w:t>
      </w:r>
      <w:r>
        <w:rPr>
          <w:rFonts w:hint="eastAsia" w:eastAsia="仿宋_GB2312"/>
          <w:bCs/>
          <w:color w:val="000000"/>
          <w:sz w:val="32"/>
          <w:szCs w:val="32"/>
        </w:rPr>
        <w:t>自然资源和规划、</w:t>
      </w:r>
      <w:r>
        <w:rPr>
          <w:rFonts w:eastAsia="仿宋_GB2312"/>
          <w:bCs/>
          <w:color w:val="000000"/>
          <w:sz w:val="32"/>
          <w:szCs w:val="32"/>
        </w:rPr>
        <w:t>交通运输、文化旅游、农业农村、卫生健康</w:t>
      </w:r>
      <w:r>
        <w:rPr>
          <w:rFonts w:hint="eastAsia" w:eastAsia="仿宋_GB2312"/>
          <w:bCs/>
          <w:color w:val="000000"/>
          <w:sz w:val="32"/>
          <w:szCs w:val="32"/>
        </w:rPr>
        <w:t>、国有资产监督管理</w:t>
      </w:r>
      <w:r>
        <w:rPr>
          <w:rFonts w:eastAsia="仿宋_GB2312"/>
          <w:bCs/>
          <w:color w:val="000000"/>
          <w:sz w:val="32"/>
          <w:szCs w:val="32"/>
        </w:rPr>
        <w:t>等部门在各自职责范围内负责制定</w:t>
      </w:r>
      <w:r>
        <w:rPr>
          <w:rFonts w:hint="eastAsia" w:eastAsia="仿宋_GB2312"/>
          <w:bCs/>
          <w:color w:val="000000"/>
          <w:sz w:val="32"/>
          <w:szCs w:val="32"/>
        </w:rPr>
        <w:t>、</w:t>
      </w:r>
      <w:r>
        <w:rPr>
          <w:rFonts w:eastAsia="仿宋_GB2312"/>
          <w:bCs/>
          <w:color w:val="000000"/>
          <w:sz w:val="32"/>
          <w:szCs w:val="32"/>
        </w:rPr>
        <w:t>落实促进校企合作的相关政策等工作。</w:t>
      </w:r>
    </w:p>
    <w:p>
      <w:pPr>
        <w:pStyle w:val="Style16"/>
        <w:keepNext w:val="false"/>
        <w:keepLines w:val="false"/>
        <w:pageBreakBefore w:val="false"/>
        <w:widowControl w:val="false"/>
        <w:kinsoku w:val="true"/>
        <w:overflowPunct w:val="true"/>
        <w:autoSpaceDE w:val="true"/>
        <w:bidi w:val="0"/>
        <w:spacing w:lineRule="exact" w:line="560"/>
        <w:ind w:endChars="0" w:end="0"/>
        <w:textAlignment w:val="auto"/>
        <w:rPr>
          <w:rFonts w:eastAsia="仿宋_GB2312"/>
          <w:bCs/>
          <w:color w:val="000000"/>
          <w:sz w:val="32"/>
          <w:szCs w:val="32"/>
        </w:rPr>
      </w:pPr>
      <w:r>
        <w:rPr>
          <w:rFonts w:hint="eastAsia" w:eastAsia="仿宋_GB2312"/>
          <w:bCs/>
          <w:color w:val="000000"/>
          <w:sz w:val="32"/>
          <w:szCs w:val="32"/>
        </w:rPr>
        <w:t>开发区（园区）按照</w:t>
      </w:r>
      <w:r>
        <w:rPr>
          <w:rFonts w:eastAsia="仿宋_GB2312"/>
          <w:bCs/>
          <w:color w:val="000000"/>
          <w:sz w:val="32"/>
          <w:szCs w:val="32"/>
          <w:lang w:val="en"/>
        </w:rPr>
        <w:t>产业发展需要</w:t>
      </w:r>
      <w:r>
        <w:rPr>
          <w:rFonts w:hint="eastAsia" w:eastAsia="仿宋_GB2312"/>
          <w:bCs/>
          <w:color w:val="000000"/>
          <w:sz w:val="32"/>
          <w:szCs w:val="32"/>
        </w:rPr>
        <w:t>，组织引导企业参与校企合作。</w:t>
      </w:r>
    </w:p>
    <w:p>
      <w:pPr>
        <w:pStyle w:val="Style16"/>
        <w:keepNext w:val="false"/>
        <w:keepLines w:val="false"/>
        <w:pageBreakBefore w:val="false"/>
        <w:widowControl w:val="false"/>
        <w:kinsoku w:val="true"/>
        <w:overflowPunct w:val="true"/>
        <w:autoSpaceDE w:val="true"/>
        <w:bidi w:val="0"/>
        <w:spacing w:lineRule="exact" w:line="560"/>
        <w:ind w:endChars="0" w:end="0"/>
        <w:textAlignment w:val="auto"/>
        <w:rPr>
          <w:rFonts w:eastAsia="仿宋_GB2312" w:hint="eastAsia"/>
          <w:bCs/>
          <w:color w:val="000000"/>
          <w:sz w:val="32"/>
          <w:szCs w:val="32"/>
        </w:rPr>
      </w:pPr>
      <w:r>
        <w:rPr>
          <w:rFonts w:eastAsia="仿宋_GB2312"/>
          <w:bCs/>
          <w:color w:val="000000"/>
          <w:sz w:val="32"/>
          <w:szCs w:val="32"/>
        </w:rPr>
        <w:t>工会、</w:t>
      </w:r>
      <w:r>
        <w:rPr>
          <w:rFonts w:hint="eastAsia" w:eastAsia="仿宋_GB2312"/>
          <w:bCs/>
          <w:color w:val="000000"/>
          <w:sz w:val="32"/>
          <w:szCs w:val="32"/>
        </w:rPr>
        <w:t>共青团、妇联、残联等群团组织</w:t>
      </w:r>
      <w:r>
        <w:rPr>
          <w:rFonts w:eastAsia="仿宋_GB2312"/>
          <w:bCs/>
          <w:color w:val="000000"/>
          <w:sz w:val="32"/>
          <w:szCs w:val="32"/>
        </w:rPr>
        <w:t>应当支持、</w:t>
      </w:r>
      <w:r>
        <w:rPr>
          <w:rFonts w:hint="eastAsia" w:eastAsia="仿宋_GB2312"/>
          <w:bCs/>
          <w:color w:val="000000"/>
          <w:sz w:val="32"/>
          <w:szCs w:val="32"/>
        </w:rPr>
        <w:t>引导</w:t>
      </w:r>
      <w:r>
        <w:rPr>
          <w:rFonts w:eastAsia="仿宋_GB2312"/>
          <w:bCs/>
          <w:color w:val="000000"/>
          <w:sz w:val="32"/>
          <w:szCs w:val="32"/>
        </w:rPr>
        <w:t>职业学校和企业建立校企合作通道，培育供需匹配的</w:t>
      </w:r>
      <w:r>
        <w:rPr>
          <w:rFonts w:hint="eastAsia" w:eastAsia="仿宋_GB2312"/>
          <w:bCs/>
          <w:color w:val="000000"/>
          <w:sz w:val="32"/>
          <w:szCs w:val="32"/>
        </w:rPr>
        <w:t>产教融合</w:t>
      </w:r>
      <w:r>
        <w:rPr>
          <w:rFonts w:eastAsia="仿宋_GB2312"/>
          <w:bCs/>
          <w:color w:val="000000"/>
          <w:sz w:val="32"/>
          <w:szCs w:val="32"/>
        </w:rPr>
        <w:t>服务组织。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第六条 </w:t>
      </w:r>
      <w:r>
        <w:rPr>
          <w:bCs/>
          <w:color w:val="000000"/>
          <w:sz w:val="32"/>
          <w:szCs w:val="32"/>
        </w:rPr>
        <w:t>行业组织根据行业特点和产业发展需要，引导和鼓励企业与职业</w:t>
      </w:r>
      <w:r>
        <w:rPr>
          <w:rFonts w:hint="eastAsia"/>
          <w:bCs/>
          <w:color w:val="000000"/>
          <w:sz w:val="32"/>
          <w:szCs w:val="32"/>
        </w:rPr>
        <w:t>学校</w:t>
      </w:r>
      <w:r>
        <w:rPr>
          <w:bCs/>
          <w:color w:val="000000"/>
          <w:sz w:val="32"/>
          <w:szCs w:val="32"/>
        </w:rPr>
        <w:t>开展校企合作，通过发挥资源、技术、信息等优势，开展人才</w:t>
      </w:r>
      <w:r>
        <w:rPr>
          <w:rFonts w:hint="eastAsia"/>
          <w:b w:val="false"/>
          <w:bCs/>
          <w:color w:val="000000"/>
          <w:sz w:val="32"/>
          <w:szCs w:val="32"/>
        </w:rPr>
        <w:t>供需</w:t>
      </w:r>
      <w:r>
        <w:rPr>
          <w:bCs/>
          <w:color w:val="000000"/>
          <w:sz w:val="32"/>
          <w:szCs w:val="32"/>
        </w:rPr>
        <w:t>预测、校企合作对接、教育教学指导</w:t>
      </w:r>
      <w:r>
        <w:rPr>
          <w:rFonts w:hint="eastAsia"/>
          <w:bCs/>
          <w:color w:val="000000"/>
          <w:sz w:val="32"/>
          <w:szCs w:val="32"/>
        </w:rPr>
        <w:t>、创业创新孵化、产学研用融合</w:t>
      </w:r>
      <w:r>
        <w:rPr>
          <w:bCs/>
          <w:color w:val="000000"/>
          <w:sz w:val="32"/>
          <w:szCs w:val="32"/>
        </w:rPr>
        <w:t>等服务</w:t>
      </w:r>
      <w:r>
        <w:rPr>
          <w:rFonts w:hint="eastAsia"/>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hint="eastAsia"/>
          <w:bCs/>
          <w:color w:val="000000"/>
          <w:sz w:val="32"/>
          <w:szCs w:val="32"/>
        </w:rPr>
        <w:t>鼓励行业组织与职业学校建设行业性、区域性实习实训基地，带动和帮助中小微企业参与校企合作。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kern w:val="2"/>
          <w:sz w:val="32"/>
          <w:szCs w:val="32"/>
        </w:rPr>
        <w:t xml:space="preserve">第七条 </w:t>
      </w:r>
      <w:r>
        <w:rPr>
          <w:bCs/>
          <w:color w:val="000000"/>
          <w:sz w:val="32"/>
          <w:szCs w:val="32"/>
        </w:rPr>
        <w:t>职业学校应当根据经济社会发展、市场需求和</w:t>
      </w:r>
      <w:r>
        <w:rPr>
          <w:rFonts w:hint="eastAsia"/>
          <w:bCs/>
          <w:color w:val="000000"/>
          <w:sz w:val="32"/>
          <w:szCs w:val="32"/>
        </w:rPr>
        <w:t>专业设置</w:t>
      </w:r>
      <w:r>
        <w:rPr>
          <w:bCs/>
          <w:color w:val="000000"/>
          <w:sz w:val="32"/>
          <w:szCs w:val="32"/>
        </w:rPr>
        <w:t>，制定并公布校企合作</w:t>
      </w:r>
      <w:r>
        <w:rPr>
          <w:rFonts w:hint="eastAsia"/>
          <w:bCs/>
          <w:color w:val="000000"/>
          <w:sz w:val="32"/>
          <w:szCs w:val="32"/>
        </w:rPr>
        <w:t>计划</w:t>
      </w:r>
      <w:r>
        <w:rPr>
          <w:bCs/>
          <w:color w:val="000000"/>
          <w:sz w:val="32"/>
          <w:szCs w:val="32"/>
        </w:rPr>
        <w:t>，</w:t>
      </w:r>
      <w:r>
        <w:rPr>
          <w:rFonts w:hint="eastAsia"/>
          <w:bCs/>
          <w:color w:val="000000"/>
          <w:sz w:val="32"/>
          <w:szCs w:val="32"/>
        </w:rPr>
        <w:t>明确负责校企合作工作的机构和人员，主动对接企业，结合企业需求，为企业提供精准服务。</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hint="eastAsia"/>
          <w:bCs/>
          <w:color w:val="000000"/>
          <w:sz w:val="32"/>
          <w:szCs w:val="32"/>
        </w:rPr>
        <w:t>企业应当根据本单位实际加强职工</w:t>
      </w:r>
      <w:r>
        <w:rPr>
          <w:rFonts w:hint="eastAsia"/>
          <w:b w:val="false"/>
          <w:bCs/>
          <w:color w:val="000000"/>
          <w:sz w:val="32"/>
          <w:szCs w:val="32"/>
        </w:rPr>
        <w:t>的职业</w:t>
      </w:r>
      <w:r>
        <w:rPr>
          <w:rFonts w:hint="eastAsia"/>
          <w:bCs/>
          <w:color w:val="000000"/>
          <w:sz w:val="32"/>
          <w:szCs w:val="32"/>
        </w:rPr>
        <w:t>教育，可以设置专职或者兼职实施职业教育的岗位，利用人才、资本、技术、设备、场地和管理等要素参与校企合作。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hint="eastAsia"/>
          <w:bCs/>
          <w:color w:val="000000"/>
          <w:sz w:val="32"/>
          <w:szCs w:val="32"/>
        </w:rPr>
        <w:t>鼓励职业学校与市、县（市、区）主导产业相关企业开展校企合作，优化学科专业设置，助力产业转型升级。</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kern w:val="2"/>
          <w:sz w:val="32"/>
          <w:szCs w:val="32"/>
        </w:rPr>
        <w:t xml:space="preserve">第八条 </w:t>
      </w:r>
      <w:r>
        <w:rPr>
          <w:rFonts w:hint="eastAsia"/>
          <w:bCs/>
          <w:color w:val="000000"/>
          <w:sz w:val="32"/>
          <w:szCs w:val="32"/>
        </w:rPr>
        <w:t>支持职业学校和企业在下列方面开展合作：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（一）推行</w:t>
      </w:r>
      <w:r>
        <w:rPr>
          <w:rFonts w:hint="eastAsia"/>
          <w:bCs/>
          <w:color w:val="000000"/>
          <w:sz w:val="32"/>
          <w:szCs w:val="32"/>
        </w:rPr>
        <w:t>中国特色学徒制</w:t>
      </w:r>
      <w:r>
        <w:rPr>
          <w:bCs/>
          <w:color w:val="000000"/>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 xml:space="preserve">（二）开展教育教学改革，合作设置专业，构建课程体系、研发课程标准、开发特色教材等；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bCs/>
          <w:color w:val="000000"/>
          <w:sz w:val="32"/>
          <w:szCs w:val="32"/>
        </w:rPr>
        <w:t>（三）开展职业教育教师培养培训</w:t>
      </w:r>
      <w:r>
        <w:rPr>
          <w:rFonts w:hint="eastAsia"/>
          <w:bCs/>
          <w:color w:val="000000"/>
          <w:sz w:val="32"/>
          <w:szCs w:val="32"/>
        </w:rPr>
        <w:t>和教学创新团队建设</w:t>
      </w:r>
      <w:r>
        <w:rPr>
          <w:bCs/>
          <w:color w:val="000000"/>
          <w:sz w:val="32"/>
          <w:szCs w:val="32"/>
        </w:rPr>
        <w:t>，共建教师实践流动站、</w:t>
      </w:r>
      <w:r>
        <w:rPr>
          <w:rFonts w:hint="eastAsia"/>
          <w:bCs/>
          <w:color w:val="000000"/>
          <w:sz w:val="32"/>
          <w:szCs w:val="32"/>
        </w:rPr>
        <w:t>“</w:t>
      </w:r>
      <w:r>
        <w:rPr>
          <w:bCs/>
          <w:color w:val="000000"/>
          <w:sz w:val="32"/>
          <w:szCs w:val="32"/>
        </w:rPr>
        <w:t>双师型</w:t>
      </w:r>
      <w:r>
        <w:rPr>
          <w:rFonts w:hint="eastAsia"/>
          <w:bCs/>
          <w:color w:val="000000"/>
          <w:sz w:val="32"/>
          <w:szCs w:val="32"/>
        </w:rPr>
        <w:t>”</w:t>
      </w:r>
      <w:r>
        <w:rPr>
          <w:bCs/>
          <w:color w:val="000000"/>
          <w:sz w:val="32"/>
          <w:szCs w:val="32"/>
        </w:rPr>
        <w:t>教师培养培训基地等；</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bCs/>
          <w:color w:val="000000"/>
          <w:sz w:val="32"/>
          <w:szCs w:val="32"/>
        </w:rPr>
        <w:t>（四）联合开展企业职工培训、学历</w:t>
      </w:r>
      <w:r>
        <w:rPr>
          <w:rFonts w:hint="eastAsia"/>
          <w:bCs/>
          <w:color w:val="000000"/>
          <w:sz w:val="32"/>
          <w:szCs w:val="32"/>
        </w:rPr>
        <w:t>教育；</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bCs/>
          <w:color w:val="000000"/>
          <w:sz w:val="32"/>
          <w:szCs w:val="32"/>
        </w:rPr>
        <w:t>（五）共建实习实训基地</w:t>
      </w:r>
      <w:r>
        <w:rPr>
          <w:rFonts w:hint="eastAsia"/>
          <w:bCs/>
          <w:color w:val="000000"/>
          <w:sz w:val="32"/>
          <w:szCs w:val="32"/>
        </w:rPr>
        <w:t>、企业培训中心等</w:t>
      </w:r>
      <w:r>
        <w:rPr>
          <w:bCs/>
          <w:color w:val="000000"/>
          <w:sz w:val="32"/>
          <w:szCs w:val="32"/>
        </w:rPr>
        <w:t>，开展教学实习、技能实训、岗位体验、就业实践、考核评价；</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strike/>
          <w:color w:val="000000"/>
          <w:sz w:val="32"/>
          <w:szCs w:val="32"/>
        </w:rPr>
      </w:pPr>
      <w:r>
        <w:rPr>
          <w:bCs/>
          <w:color w:val="000000"/>
          <w:sz w:val="32"/>
          <w:szCs w:val="32"/>
        </w:rPr>
        <w:t>（六）共建产业学院</w:t>
      </w:r>
      <w:r>
        <w:rPr>
          <w:rFonts w:hint="eastAsia"/>
          <w:bCs/>
          <w:color w:val="000000"/>
          <w:sz w:val="32"/>
          <w:szCs w:val="32"/>
        </w:rPr>
        <w:t>、</w:t>
      </w:r>
      <w:r>
        <w:rPr>
          <w:rFonts w:hint="eastAsia"/>
          <w:b w:val="false"/>
          <w:bCs/>
          <w:color w:val="000000"/>
          <w:sz w:val="32"/>
          <w:szCs w:val="32"/>
        </w:rPr>
        <w:t>共富学院</w:t>
      </w:r>
      <w:r>
        <w:rPr>
          <w:rFonts w:hint="eastAsia"/>
          <w:b w:val="false"/>
          <w:bCs/>
          <w:color w:val="000000"/>
          <w:sz w:val="32"/>
          <w:szCs w:val="32"/>
        </w:rPr>
        <w:t>、</w:t>
      </w:r>
      <w:r>
        <w:rPr>
          <w:rFonts w:hint="eastAsia"/>
          <w:bCs/>
          <w:color w:val="000000"/>
          <w:sz w:val="32"/>
          <w:szCs w:val="32"/>
        </w:rPr>
        <w:t>驻企服务站和技能大师工作室等</w:t>
      </w:r>
      <w:r>
        <w:rPr>
          <w:bCs/>
          <w:color w:val="000000"/>
          <w:sz w:val="32"/>
          <w:szCs w:val="32"/>
        </w:rPr>
        <w:t>，开展科技攻关、技术服务、产品研发、成果转化；</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w:t>
      </w:r>
      <w:r>
        <w:rPr>
          <w:rFonts w:hint="eastAsia"/>
          <w:bCs/>
          <w:color w:val="000000"/>
          <w:sz w:val="32"/>
          <w:szCs w:val="32"/>
        </w:rPr>
        <w:t>七</w:t>
      </w:r>
      <w:r>
        <w:rPr>
          <w:bCs/>
          <w:color w:val="000000"/>
          <w:sz w:val="32"/>
          <w:szCs w:val="32"/>
        </w:rPr>
        <w:t>）</w:t>
      </w:r>
      <w:r>
        <w:rPr>
          <w:rFonts w:hint="eastAsia"/>
          <w:bCs/>
          <w:color w:val="000000"/>
          <w:sz w:val="32"/>
          <w:szCs w:val="32"/>
        </w:rPr>
        <w:t>依法引进优质职业教育资源；</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bCs/>
          <w:color w:val="000000"/>
          <w:sz w:val="32"/>
          <w:szCs w:val="32"/>
        </w:rPr>
        <w:t>（</w:t>
      </w:r>
      <w:r>
        <w:rPr>
          <w:rFonts w:hint="eastAsia"/>
          <w:bCs/>
          <w:color w:val="000000"/>
          <w:sz w:val="32"/>
          <w:szCs w:val="32"/>
        </w:rPr>
        <w:t>八</w:t>
      </w:r>
      <w:r>
        <w:rPr>
          <w:bCs/>
          <w:color w:val="000000"/>
          <w:sz w:val="32"/>
          <w:szCs w:val="32"/>
        </w:rPr>
        <w:t>）</w:t>
      </w:r>
      <w:r>
        <w:rPr>
          <w:rFonts w:hint="eastAsia"/>
          <w:bCs/>
          <w:color w:val="000000"/>
          <w:sz w:val="32"/>
          <w:szCs w:val="32"/>
        </w:rPr>
        <w:t>联合开展职业技能竞赛等活动，评选优秀</w:t>
      </w:r>
      <w:r>
        <w:rPr>
          <w:rFonts w:hint="eastAsia"/>
          <w:b w:val="false"/>
          <w:bCs/>
          <w:color w:val="000000"/>
          <w:sz w:val="32"/>
          <w:szCs w:val="32"/>
        </w:rPr>
        <w:t>实习</w:t>
      </w:r>
      <w:r>
        <w:rPr>
          <w:rFonts w:hint="eastAsia"/>
          <w:b w:val="false"/>
          <w:bCs/>
          <w:color w:val="000000"/>
          <w:sz w:val="32"/>
          <w:szCs w:val="32"/>
        </w:rPr>
        <w:t>实训</w:t>
      </w:r>
      <w:r>
        <w:rPr>
          <w:rFonts w:hint="eastAsia"/>
          <w:b w:val="false"/>
          <w:bCs/>
          <w:color w:val="000000"/>
          <w:sz w:val="32"/>
          <w:szCs w:val="32"/>
        </w:rPr>
        <w:t>学生，培养</w:t>
      </w:r>
      <w:r>
        <w:rPr>
          <w:rFonts w:hint="eastAsia"/>
          <w:bCs/>
          <w:color w:val="000000"/>
          <w:sz w:val="32"/>
          <w:szCs w:val="32"/>
        </w:rPr>
        <w:t>能工巧匠、大国工匠等；</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bCs/>
          <w:color w:val="000000"/>
          <w:sz w:val="32"/>
          <w:szCs w:val="32"/>
        </w:rPr>
        <w:t>（</w:t>
      </w:r>
      <w:r>
        <w:rPr>
          <w:rFonts w:hint="eastAsia"/>
          <w:bCs/>
          <w:color w:val="000000"/>
          <w:sz w:val="32"/>
          <w:szCs w:val="32"/>
        </w:rPr>
        <w:t>九</w:t>
      </w:r>
      <w:r>
        <w:rPr>
          <w:bCs/>
          <w:color w:val="000000"/>
          <w:sz w:val="32"/>
          <w:szCs w:val="32"/>
        </w:rPr>
        <w:t>）其他方面或</w:t>
      </w:r>
      <w:r>
        <w:rPr>
          <w:rFonts w:hint="eastAsia"/>
          <w:bCs/>
          <w:color w:val="000000"/>
          <w:sz w:val="32"/>
          <w:szCs w:val="32"/>
        </w:rPr>
        <w:t>者</w:t>
      </w:r>
      <w:r>
        <w:rPr>
          <w:bCs/>
          <w:color w:val="000000"/>
          <w:sz w:val="32"/>
          <w:szCs w:val="32"/>
        </w:rPr>
        <w:t>形式的合作。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bCs/>
          <w:color w:val="000000"/>
          <w:sz w:val="32"/>
          <w:szCs w:val="32"/>
        </w:rPr>
      </w:pPr>
      <w:r>
        <w:rPr>
          <w:rFonts w:ascii="黑体" w:hAnsi="黑体" w:cs="黑体" w:hint="eastAsia" w:eastAsia="黑体"/>
          <w:bCs/>
          <w:color w:val="000000"/>
          <w:kern w:val="2"/>
          <w:sz w:val="32"/>
          <w:szCs w:val="32"/>
        </w:rPr>
        <w:t xml:space="preserve">第九条 </w:t>
      </w:r>
      <w:r>
        <w:rPr>
          <w:rFonts w:ascii="仿宋_GB2312" w:hAnsi="仿宋_GB2312" w:cs="仿宋_GB2312"/>
          <w:bCs/>
          <w:color w:val="000000"/>
          <w:sz w:val="32"/>
          <w:szCs w:val="32"/>
        </w:rPr>
        <w:t>企业</w:t>
      </w:r>
      <w:r>
        <w:rPr>
          <w:rFonts w:ascii="仿宋_GB2312" w:hAnsi="仿宋_GB2312" w:cs="仿宋_GB2312" w:hint="eastAsia"/>
          <w:bCs/>
          <w:color w:val="000000"/>
          <w:sz w:val="32"/>
          <w:szCs w:val="32"/>
        </w:rPr>
        <w:t>可以</w:t>
      </w:r>
      <w:r>
        <w:rPr>
          <w:rFonts w:ascii="仿宋_GB2312" w:hAnsi="仿宋_GB2312" w:cs="仿宋_GB2312"/>
          <w:bCs/>
          <w:color w:val="000000"/>
          <w:sz w:val="32"/>
          <w:szCs w:val="32"/>
        </w:rPr>
        <w:t>采取独资、合资、合作等方式依法举办或者参与举办职业</w:t>
      </w:r>
      <w:r>
        <w:rPr>
          <w:rFonts w:ascii="仿宋_GB2312" w:hAnsi="仿宋_GB2312" w:cs="仿宋_GB2312" w:hint="eastAsia"/>
          <w:bCs/>
          <w:color w:val="000000"/>
          <w:sz w:val="32"/>
          <w:szCs w:val="32"/>
        </w:rPr>
        <w:t>学校</w:t>
      </w:r>
      <w:r>
        <w:rPr>
          <w:rFonts w:ascii="仿宋_GB2312" w:hAnsi="仿宋_GB2312" w:cs="仿宋_GB2312"/>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仿宋_GB2312" w:hAnsi="仿宋_GB2312" w:cs="仿宋_GB2312" w:hint="eastAsia"/>
          <w:bCs/>
          <w:color w:val="000000"/>
          <w:sz w:val="32"/>
          <w:szCs w:val="32"/>
        </w:rPr>
        <w:t>鼓励企业与职业学校合作</w:t>
      </w:r>
      <w:r>
        <w:rPr>
          <w:rFonts w:ascii="仿宋_GB2312" w:hAnsi="仿宋_GB2312" w:cs="仿宋_GB2312"/>
          <w:bCs/>
          <w:color w:val="000000"/>
          <w:sz w:val="32"/>
          <w:szCs w:val="32"/>
        </w:rPr>
        <w:t>设立产业学院（系、部）、混合所有制学校等教育实体</w:t>
      </w:r>
      <w:r>
        <w:rPr>
          <w:rFonts w:ascii="仿宋_GB2312" w:hAnsi="仿宋_GB2312" w:cs="仿宋_GB2312" w:hint="eastAsia"/>
          <w:bCs/>
          <w:color w:val="000000"/>
          <w:sz w:val="32"/>
          <w:szCs w:val="32"/>
        </w:rPr>
        <w:t>，</w:t>
      </w:r>
      <w:r>
        <w:rPr>
          <w:rFonts w:hint="eastAsia"/>
          <w:bCs/>
          <w:color w:val="000000"/>
          <w:sz w:val="32"/>
          <w:szCs w:val="32"/>
        </w:rPr>
        <w:t>组建多元投资主体的职业教育集团或者其他形式的产教联合体。</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jc w:val="start"/>
        <w:textAlignment w:val="auto"/>
        <w:rPr>
          <w:rFonts w:ascii="仿宋_GB2312" w:hAnsi="仿宋_GB2312" w:eastAsia="仿宋_GB2312" w:cs="仿宋_GB2312"/>
          <w:bCs/>
          <w:color w:val="000000"/>
          <w:sz w:val="32"/>
          <w:szCs w:val="32"/>
        </w:rPr>
      </w:pPr>
      <w:r>
        <w:rPr>
          <w:rFonts w:ascii="仿宋_GB2312" w:hAnsi="仿宋_GB2312" w:cs="仿宋_GB2312"/>
          <w:bCs/>
          <w:color w:val="000000"/>
          <w:sz w:val="32"/>
          <w:szCs w:val="32"/>
        </w:rPr>
        <w:t>鼓励企业</w:t>
      </w:r>
      <w:r>
        <w:rPr>
          <w:rFonts w:ascii="仿宋_GB2312" w:hAnsi="仿宋_GB2312" w:cs="仿宋_GB2312" w:hint="eastAsia"/>
          <w:bCs/>
          <w:color w:val="000000"/>
          <w:sz w:val="32"/>
          <w:szCs w:val="32"/>
        </w:rPr>
        <w:t>按照</w:t>
      </w:r>
      <w:r>
        <w:rPr>
          <w:rFonts w:ascii="仿宋_GB2312" w:hAnsi="仿宋_GB2312" w:cs="仿宋_GB2312" w:hint="eastAsia"/>
          <w:b w:val="false"/>
          <w:bCs/>
          <w:color w:val="000000"/>
          <w:sz w:val="32"/>
          <w:szCs w:val="32"/>
        </w:rPr>
        <w:t>国家</w:t>
      </w:r>
      <w:r>
        <w:rPr>
          <w:rFonts w:ascii="仿宋_GB2312" w:hAnsi="仿宋_GB2312" w:cs="仿宋_GB2312" w:hint="eastAsia"/>
          <w:b w:val="false"/>
          <w:bCs/>
          <w:color w:val="000000"/>
          <w:sz w:val="32"/>
          <w:szCs w:val="32"/>
        </w:rPr>
        <w:t>和省</w:t>
      </w:r>
      <w:r>
        <w:rPr>
          <w:rFonts w:ascii="仿宋_GB2312" w:hAnsi="仿宋_GB2312" w:cs="仿宋_GB2312" w:hint="eastAsia"/>
          <w:bCs/>
          <w:color w:val="000000"/>
          <w:sz w:val="32"/>
          <w:szCs w:val="32"/>
        </w:rPr>
        <w:t>有关规定</w:t>
      </w:r>
      <w:r>
        <w:rPr>
          <w:rFonts w:ascii="仿宋_GB2312" w:hAnsi="仿宋_GB2312" w:cs="仿宋_GB2312"/>
          <w:bCs/>
          <w:color w:val="000000"/>
          <w:sz w:val="32"/>
          <w:szCs w:val="32"/>
        </w:rPr>
        <w:t>设立职业教育奖学金、助学金。</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第十条 </w:t>
      </w:r>
      <w:r>
        <w:rPr>
          <w:bCs/>
          <w:color w:val="000000"/>
          <w:sz w:val="32"/>
          <w:szCs w:val="32"/>
        </w:rPr>
        <w:t>职业学校应当落实学生实习管理规定，按照要求遴选实习单位，与企业、学生签订三方协议，</w:t>
      </w:r>
      <w:r>
        <w:rPr>
          <w:rFonts w:hint="eastAsia"/>
          <w:bCs/>
          <w:color w:val="000000"/>
          <w:sz w:val="32"/>
          <w:szCs w:val="32"/>
        </w:rPr>
        <w:t>明确</w:t>
      </w:r>
      <w:r>
        <w:rPr>
          <w:rFonts w:hint="eastAsia"/>
          <w:bCs/>
          <w:color w:val="000000"/>
          <w:sz w:val="32"/>
          <w:szCs w:val="32"/>
        </w:rPr>
        <w:t>各方基本信息、</w:t>
      </w:r>
      <w:r>
        <w:rPr>
          <w:bCs/>
          <w:color w:val="000000"/>
          <w:sz w:val="32"/>
          <w:szCs w:val="32"/>
        </w:rPr>
        <w:t>实习时间、地点、岗位、</w:t>
      </w:r>
      <w:r>
        <w:rPr>
          <w:rFonts w:hint="eastAsia"/>
          <w:bCs/>
          <w:color w:val="000000"/>
          <w:sz w:val="32"/>
          <w:szCs w:val="32"/>
        </w:rPr>
        <w:t>休息休假安排、</w:t>
      </w:r>
      <w:r>
        <w:rPr>
          <w:bCs/>
          <w:color w:val="000000"/>
          <w:sz w:val="32"/>
          <w:szCs w:val="32"/>
        </w:rPr>
        <w:t>劳动安全和保护、实习报酬、责任保险等保障学生合法权益的内容。</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鼓励企业</w:t>
      </w:r>
      <w:r>
        <w:rPr>
          <w:rFonts w:cs="Arial;Times New Roman"/>
          <w:bCs/>
          <w:color w:val="000000"/>
          <w:sz w:val="32"/>
          <w:szCs w:val="32"/>
        </w:rPr>
        <w:t>按</w:t>
      </w:r>
      <w:r>
        <w:rPr>
          <w:rFonts w:cs="Arial;Times New Roman" w:hint="eastAsia"/>
          <w:bCs/>
          <w:color w:val="000000"/>
          <w:sz w:val="32"/>
          <w:szCs w:val="32"/>
        </w:rPr>
        <w:t>照</w:t>
      </w:r>
      <w:r>
        <w:rPr>
          <w:bCs/>
          <w:color w:val="000000"/>
          <w:sz w:val="32"/>
          <w:szCs w:val="32"/>
        </w:rPr>
        <w:t>岗位总量的一定比例设立实习岗位，并对外发布岗位信息，接纳学生实习。</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cs="Arial;Times New Roman"/>
          <w:bCs/>
          <w:color w:val="000000"/>
          <w:sz w:val="32"/>
          <w:szCs w:val="32"/>
        </w:rPr>
        <w:t>职业学校与企业应当共同制定实习方案，明确</w:t>
      </w:r>
      <w:r>
        <w:rPr>
          <w:rFonts w:cs="Arial;Times New Roman" w:hint="eastAsia"/>
          <w:bCs/>
          <w:color w:val="000000"/>
          <w:sz w:val="32"/>
          <w:szCs w:val="32"/>
        </w:rPr>
        <w:t>岗位要求、实习目标、</w:t>
      </w:r>
      <w:r>
        <w:rPr>
          <w:rFonts w:cs="Arial;Times New Roman"/>
          <w:bCs/>
          <w:color w:val="000000"/>
          <w:sz w:val="32"/>
          <w:szCs w:val="32"/>
        </w:rPr>
        <w:t>实习内容</w:t>
      </w:r>
      <w:r>
        <w:rPr>
          <w:rFonts w:cs="Arial;Times New Roman" w:hint="eastAsia"/>
          <w:bCs/>
          <w:color w:val="000000"/>
          <w:sz w:val="32"/>
          <w:szCs w:val="32"/>
        </w:rPr>
        <w:t>、实习</w:t>
      </w:r>
      <w:r>
        <w:rPr>
          <w:rFonts w:cs="Arial;Times New Roman"/>
          <w:bCs/>
          <w:color w:val="000000"/>
          <w:sz w:val="32"/>
          <w:szCs w:val="32"/>
        </w:rPr>
        <w:t>标准</w:t>
      </w:r>
      <w:r>
        <w:rPr>
          <w:rFonts w:cs="Arial;Times New Roman" w:hint="eastAsia"/>
          <w:bCs/>
          <w:color w:val="000000"/>
          <w:sz w:val="32"/>
          <w:szCs w:val="32"/>
        </w:rPr>
        <w:t>、考核要求等内容</w:t>
      </w:r>
      <w:r>
        <w:rPr>
          <w:rFonts w:cs="Arial;Times New Roman"/>
          <w:bCs/>
          <w:color w:val="000000"/>
          <w:sz w:val="32"/>
          <w:szCs w:val="32"/>
        </w:rPr>
        <w:t>，</w:t>
      </w:r>
      <w:r>
        <w:rPr>
          <w:bCs/>
          <w:color w:val="000000"/>
          <w:sz w:val="32"/>
          <w:szCs w:val="32"/>
        </w:rPr>
        <w:t>选派实习指导教师和专门人员全程指导、共同管理学生实习。</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lang w:val="en"/>
        </w:rPr>
      </w:pPr>
      <w:r>
        <w:rPr>
          <w:rFonts w:ascii="黑体" w:hAnsi="黑体" w:cs="黑体" w:hint="eastAsia" w:eastAsia="黑体"/>
          <w:bCs/>
          <w:color w:val="000000"/>
          <w:kern w:val="2"/>
          <w:sz w:val="32"/>
          <w:szCs w:val="32"/>
        </w:rPr>
        <w:t xml:space="preserve">第十一条 </w:t>
      </w:r>
      <w:r>
        <w:rPr>
          <w:bCs/>
          <w:color w:val="000000"/>
          <w:sz w:val="32"/>
          <w:szCs w:val="32"/>
        </w:rPr>
        <w:t>职业学校应当建立健全教师企业实践制度</w:t>
      </w:r>
      <w:r>
        <w:rPr>
          <w:bCs/>
          <w:color w:val="000000"/>
          <w:sz w:val="32"/>
          <w:szCs w:val="32"/>
          <w:lang w:val="en"/>
        </w:rPr>
        <w:t>。</w:t>
      </w:r>
      <w:r>
        <w:rPr>
          <w:bCs/>
          <w:color w:val="000000"/>
          <w:sz w:val="32"/>
          <w:szCs w:val="32"/>
        </w:rPr>
        <w:t>专业课教师（含实习指导教师）</w:t>
      </w:r>
      <w:r>
        <w:rPr>
          <w:bCs/>
          <w:color w:val="000000"/>
          <w:sz w:val="32"/>
          <w:szCs w:val="32"/>
          <w:lang w:val="en"/>
        </w:rPr>
        <w:t>应当</w:t>
      </w:r>
      <w:r>
        <w:rPr>
          <w:bCs/>
          <w:color w:val="000000"/>
          <w:sz w:val="32"/>
          <w:szCs w:val="32"/>
        </w:rPr>
        <w:t>按</w:t>
      </w:r>
      <w:r>
        <w:rPr>
          <w:rFonts w:hint="eastAsia"/>
          <w:bCs/>
          <w:color w:val="000000"/>
          <w:sz w:val="32"/>
          <w:szCs w:val="32"/>
        </w:rPr>
        <w:t>照</w:t>
      </w:r>
      <w:r>
        <w:rPr>
          <w:bCs/>
          <w:color w:val="000000"/>
          <w:sz w:val="32"/>
          <w:szCs w:val="32"/>
        </w:rPr>
        <w:t>有关规定到企业或者生产服务一线实践</w:t>
      </w:r>
      <w:r>
        <w:rPr>
          <w:rFonts w:hint="eastAsia"/>
          <w:bCs/>
          <w:color w:val="000000"/>
          <w:sz w:val="32"/>
          <w:szCs w:val="32"/>
        </w:rPr>
        <w:t>。</w:t>
      </w:r>
      <w:r>
        <w:rPr>
          <w:rFonts w:hint="eastAsia"/>
          <w:bCs/>
          <w:color w:val="000000"/>
          <w:sz w:val="32"/>
          <w:szCs w:val="32"/>
          <w:lang w:eastAsia="zh-CN"/>
        </w:rPr>
        <w:t>公共基础课教师</w:t>
      </w:r>
      <w:r>
        <w:rPr>
          <w:rFonts w:hint="eastAsia"/>
          <w:bCs/>
          <w:color w:val="000000"/>
          <w:sz w:val="32"/>
          <w:szCs w:val="32"/>
        </w:rPr>
        <w:t>应当</w:t>
      </w:r>
      <w:r>
        <w:rPr>
          <w:rFonts w:hint="eastAsia"/>
          <w:bCs/>
          <w:color w:val="000000"/>
          <w:sz w:val="32"/>
          <w:szCs w:val="32"/>
          <w:lang w:eastAsia="zh-CN"/>
        </w:rPr>
        <w:t>定期到企业进行考察、调研和学习。</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u w:val="double"/>
        </w:rPr>
      </w:pPr>
      <w:r>
        <w:rPr>
          <w:rFonts w:hint="eastAsia"/>
          <w:bCs/>
          <w:color w:val="000000"/>
          <w:sz w:val="32"/>
          <w:szCs w:val="32"/>
        </w:rPr>
        <w:t>鼓励职业学校</w:t>
      </w:r>
      <w:r>
        <w:rPr>
          <w:bCs/>
          <w:color w:val="000000"/>
          <w:sz w:val="32"/>
          <w:szCs w:val="32"/>
        </w:rPr>
        <w:t>为教师</w:t>
      </w:r>
      <w:r>
        <w:rPr>
          <w:rFonts w:hint="eastAsia"/>
          <w:bCs/>
          <w:color w:val="000000"/>
          <w:sz w:val="32"/>
          <w:szCs w:val="32"/>
        </w:rPr>
        <w:t>实践</w:t>
      </w:r>
      <w:r>
        <w:rPr>
          <w:bCs/>
          <w:color w:val="000000"/>
          <w:sz w:val="32"/>
          <w:szCs w:val="32"/>
        </w:rPr>
        <w:t>办理相关保险。</w:t>
      </w:r>
    </w:p>
    <w:p>
      <w:pPr>
        <w:pStyle w:val="BodyText"/>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textAlignment w:val="auto"/>
        <w:rPr>
          <w:rFonts w:ascii="仿宋_GB2312" w:hAnsi="仿宋_GB2312" w:eastAsia="仿宋_GB2312" w:cs="仿宋_GB2312" w:hint="eastAsia"/>
          <w:bCs/>
          <w:color w:val="000000"/>
          <w:spacing w:val="6"/>
          <w:kern w:val="2"/>
          <w:sz w:val="32"/>
          <w:szCs w:val="32"/>
        </w:rPr>
      </w:pPr>
      <w:r>
        <w:rPr>
          <w:rFonts w:ascii="黑体" w:hAnsi="黑体" w:cs="黑体" w:hint="eastAsia" w:eastAsia="黑体"/>
          <w:bCs/>
          <w:color w:val="000000"/>
          <w:kern w:val="2"/>
          <w:sz w:val="32"/>
          <w:szCs w:val="32"/>
        </w:rPr>
        <w:t xml:space="preserve">第十二条 </w:t>
      </w:r>
      <w:r>
        <w:rPr>
          <w:rFonts w:ascii="仿宋_GB2312" w:hAnsi="仿宋_GB2312" w:cs="仿宋_GB2312" w:hint="eastAsia" w:eastAsia="仿宋_GB2312"/>
          <w:bCs/>
          <w:color w:val="000000"/>
          <w:sz w:val="32"/>
          <w:szCs w:val="32"/>
        </w:rPr>
        <w:t>企业应当按照</w:t>
      </w:r>
      <w:r>
        <w:rPr>
          <w:rFonts w:ascii="仿宋_GB2312" w:hAnsi="仿宋_GB2312" w:cs="仿宋_GB2312" w:hint="eastAsia" w:eastAsia="仿宋_GB2312"/>
          <w:b w:val="false"/>
          <w:bCs/>
          <w:color w:val="000000"/>
          <w:sz w:val="32"/>
          <w:szCs w:val="32"/>
        </w:rPr>
        <w:t>有关</w:t>
      </w:r>
      <w:r>
        <w:rPr>
          <w:rFonts w:ascii="仿宋_GB2312" w:hAnsi="仿宋_GB2312" w:cs="仿宋_GB2312" w:hint="eastAsia" w:eastAsia="仿宋_GB2312"/>
          <w:bCs/>
          <w:color w:val="000000"/>
          <w:sz w:val="32"/>
          <w:szCs w:val="32"/>
        </w:rPr>
        <w:t>规定足额提取和使用职工教育经费。职工教育经费可以用于企业与职业学校开展职工培训和学历教育。</w:t>
      </w:r>
    </w:p>
    <w:p>
      <w:pPr>
        <w:pStyle w:val="BodyText"/>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textAlignment w:val="auto"/>
        <w:rPr>
          <w:rFonts w:eastAsia="仿宋_GB2312" w:hint="eastAsia"/>
          <w:bCs/>
          <w:color w:val="000000"/>
          <w:sz w:val="32"/>
          <w:szCs w:val="32"/>
        </w:rPr>
      </w:pPr>
      <w:r>
        <w:rPr>
          <w:rFonts w:ascii="仿宋_GB2312" w:hAnsi="仿宋_GB2312" w:cs="仿宋_GB2312" w:hint="eastAsia" w:eastAsia="仿宋_GB2312"/>
          <w:bCs/>
          <w:color w:val="000000"/>
          <w:sz w:val="32"/>
          <w:szCs w:val="32"/>
        </w:rPr>
        <w:t>职业学校应当优先安排与其建立校企合作关系的企业开展职工培训和学历教育。</w:t>
      </w:r>
    </w:p>
    <w:p>
      <w:pPr>
        <w:pStyle w:val="BodyText"/>
        <w:keepNext w:val="false"/>
        <w:keepLines w:val="false"/>
        <w:pageBreakBefore w:val="false"/>
        <w:widowControl w:val="false"/>
        <w:kinsoku w:val="true"/>
        <w:overflowPunct w:val="true"/>
        <w:autoSpaceDE w:val="true"/>
        <w:bidi w:val="0"/>
        <w:spacing w:lineRule="exact" w:line="560" w:before="0" w:after="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第十三条 </w:t>
      </w:r>
      <w:r>
        <w:rPr>
          <w:rFonts w:eastAsia="仿宋_GB2312"/>
          <w:bCs/>
          <w:color w:val="000000"/>
          <w:sz w:val="32"/>
          <w:szCs w:val="32"/>
        </w:rPr>
        <w:t>市、县（市、区）人民政府应当安排校企合作相关经费，并在年度教育经费预算中予以明确，</w:t>
      </w:r>
      <w:r>
        <w:rPr>
          <w:rFonts w:cs="Times New Roman" w:hint="eastAsia" w:eastAsia="仿宋_GB2312"/>
          <w:bCs/>
          <w:color w:val="000000"/>
          <w:sz w:val="32"/>
          <w:szCs w:val="32"/>
        </w:rPr>
        <w:t>可以用于下列校企合作项目或者活动：</w:t>
      </w:r>
      <w:r>
        <w:rPr>
          <w:rFonts w:cs="Times New Roman" w:eastAsia="仿宋_GB2312"/>
          <w:bCs/>
          <w:color w:val="000000"/>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（一）联合开展专业建设、教育教学改革等</w:t>
      </w:r>
      <w:r>
        <w:rPr>
          <w:rFonts w:hint="eastAsia"/>
          <w:bCs/>
          <w:color w:val="000000"/>
          <w:sz w:val="32"/>
          <w:szCs w:val="32"/>
        </w:rPr>
        <w:t>活动</w:t>
      </w:r>
      <w:r>
        <w:rPr>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（二）企业接纳学生实习、教师实践产生的必要成本支出；</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（三）为学生、教师、</w:t>
      </w:r>
      <w:r>
        <w:rPr>
          <w:rFonts w:hint="eastAsia"/>
          <w:bCs/>
          <w:color w:val="000000"/>
          <w:sz w:val="32"/>
          <w:szCs w:val="32"/>
        </w:rPr>
        <w:t>职工</w:t>
      </w:r>
      <w:r>
        <w:rPr>
          <w:bCs/>
          <w:color w:val="000000"/>
          <w:sz w:val="32"/>
          <w:szCs w:val="32"/>
        </w:rPr>
        <w:t>提供与校企合作相关的培养培训等服务性活动；</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（四）兼职专业课教师（</w:t>
      </w:r>
      <w:r>
        <w:rPr>
          <w:rFonts w:hint="eastAsia"/>
          <w:bCs/>
          <w:color w:val="000000"/>
          <w:sz w:val="32"/>
          <w:szCs w:val="32"/>
        </w:rPr>
        <w:t>含</w:t>
      </w:r>
      <w:r>
        <w:rPr>
          <w:bCs/>
          <w:color w:val="000000"/>
          <w:sz w:val="32"/>
          <w:szCs w:val="32"/>
        </w:rPr>
        <w:t>实习指导教师）报酬；</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（五）实习实训基地、产教</w:t>
      </w:r>
      <w:r>
        <w:rPr>
          <w:rFonts w:hint="eastAsia"/>
          <w:bCs/>
          <w:color w:val="000000"/>
          <w:sz w:val="32"/>
          <w:szCs w:val="32"/>
        </w:rPr>
        <w:t>联合</w:t>
      </w:r>
      <w:r>
        <w:rPr>
          <w:bCs/>
          <w:color w:val="000000"/>
          <w:sz w:val="32"/>
          <w:szCs w:val="32"/>
        </w:rPr>
        <w:t>体、教师实践流动站、</w:t>
      </w:r>
      <w:r>
        <w:rPr>
          <w:rFonts w:hint="eastAsia"/>
          <w:bCs/>
          <w:color w:val="000000"/>
          <w:sz w:val="32"/>
          <w:szCs w:val="32"/>
        </w:rPr>
        <w:t>“</w:t>
      </w:r>
      <w:r>
        <w:rPr>
          <w:bCs/>
          <w:color w:val="000000"/>
          <w:sz w:val="32"/>
          <w:szCs w:val="32"/>
        </w:rPr>
        <w:t>双师型</w:t>
      </w:r>
      <w:r>
        <w:rPr>
          <w:rFonts w:hint="eastAsia"/>
          <w:bCs/>
          <w:color w:val="000000"/>
          <w:sz w:val="32"/>
          <w:szCs w:val="32"/>
        </w:rPr>
        <w:t>”</w:t>
      </w:r>
      <w:r>
        <w:rPr>
          <w:bCs/>
          <w:color w:val="000000"/>
          <w:sz w:val="32"/>
          <w:szCs w:val="32"/>
        </w:rPr>
        <w:t>教师培养培训基地等平台建设；</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（六）联合开展科技攻关、技术服务、产品研发、成果转化等活动；</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（七）学生实习、教师实践期间的保险费用；</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（八）预测人才</w:t>
      </w:r>
      <w:r>
        <w:rPr>
          <w:rFonts w:hint="eastAsia"/>
          <w:b w:val="false"/>
          <w:bCs/>
          <w:color w:val="000000"/>
          <w:sz w:val="32"/>
          <w:szCs w:val="32"/>
        </w:rPr>
        <w:t>供需</w:t>
      </w:r>
      <w:r>
        <w:rPr>
          <w:bCs/>
          <w:color w:val="000000"/>
          <w:sz w:val="32"/>
          <w:szCs w:val="32"/>
        </w:rPr>
        <w:t>、</w:t>
      </w:r>
      <w:r>
        <w:rPr>
          <w:rFonts w:hint="eastAsia"/>
          <w:bCs/>
          <w:color w:val="000000"/>
          <w:sz w:val="32"/>
          <w:szCs w:val="32"/>
        </w:rPr>
        <w:t>调查</w:t>
      </w:r>
      <w:r>
        <w:rPr>
          <w:bCs/>
          <w:color w:val="000000"/>
          <w:sz w:val="32"/>
          <w:szCs w:val="32"/>
        </w:rPr>
        <w:t>就业状况、</w:t>
      </w:r>
      <w:r>
        <w:rPr>
          <w:rFonts w:hint="eastAsia"/>
          <w:bCs/>
          <w:color w:val="000000"/>
          <w:sz w:val="32"/>
          <w:szCs w:val="32"/>
        </w:rPr>
        <w:t>实施</w:t>
      </w:r>
      <w:r>
        <w:rPr>
          <w:bCs/>
          <w:color w:val="000000"/>
          <w:sz w:val="32"/>
          <w:szCs w:val="32"/>
        </w:rPr>
        <w:t>教学评估等</w:t>
      </w:r>
      <w:r>
        <w:rPr>
          <w:rFonts w:hint="eastAsia"/>
          <w:bCs/>
          <w:color w:val="000000"/>
          <w:sz w:val="32"/>
          <w:szCs w:val="32"/>
        </w:rPr>
        <w:t>活动</w:t>
      </w:r>
      <w:r>
        <w:rPr>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（九）其他促进校企合作的项目或</w:t>
      </w:r>
      <w:r>
        <w:rPr>
          <w:rFonts w:hint="eastAsia"/>
          <w:bCs/>
          <w:color w:val="000000"/>
          <w:sz w:val="32"/>
          <w:szCs w:val="32"/>
        </w:rPr>
        <w:t>者</w:t>
      </w:r>
      <w:r>
        <w:rPr>
          <w:bCs/>
          <w:color w:val="000000"/>
          <w:sz w:val="32"/>
          <w:szCs w:val="32"/>
        </w:rPr>
        <w:t>活动。</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鼓励通过企业支持、社会捐助等方式补充校企合作相关经费。</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市、县（市、区）人民政府应当对校企合作相关经费的使用情况进行绩效评价，并根据评价结果对资金</w:t>
      </w:r>
      <w:r>
        <w:rPr>
          <w:rFonts w:hint="eastAsia"/>
          <w:bCs/>
          <w:color w:val="000000"/>
          <w:sz w:val="32"/>
          <w:szCs w:val="32"/>
        </w:rPr>
        <w:t>预算安排</w:t>
      </w:r>
      <w:r>
        <w:rPr>
          <w:bCs/>
          <w:color w:val="000000"/>
          <w:sz w:val="32"/>
          <w:szCs w:val="32"/>
        </w:rPr>
        <w:t>进行调整。</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第十四条 </w:t>
      </w:r>
      <w:r>
        <w:rPr>
          <w:bCs/>
          <w:color w:val="000000"/>
          <w:sz w:val="32"/>
          <w:szCs w:val="32"/>
        </w:rPr>
        <w:t>市教育行政部门应当会同人力资源社会保障、经济和信息化、大数据</w:t>
      </w:r>
      <w:r>
        <w:rPr>
          <w:rFonts w:hint="eastAsia"/>
          <w:b w:val="false"/>
          <w:bCs/>
          <w:color w:val="000000"/>
          <w:sz w:val="32"/>
          <w:szCs w:val="32"/>
        </w:rPr>
        <w:t>管理</w:t>
      </w:r>
      <w:r>
        <w:rPr>
          <w:bCs/>
          <w:color w:val="000000"/>
          <w:sz w:val="32"/>
          <w:szCs w:val="32"/>
        </w:rPr>
        <w:t>等部门</w:t>
      </w:r>
      <w:r>
        <w:rPr>
          <w:rFonts w:hint="eastAsia"/>
          <w:bCs/>
          <w:color w:val="000000"/>
          <w:sz w:val="32"/>
          <w:szCs w:val="32"/>
        </w:rPr>
        <w:t>和</w:t>
      </w:r>
      <w:r>
        <w:rPr>
          <w:bCs/>
          <w:color w:val="000000"/>
          <w:sz w:val="32"/>
          <w:szCs w:val="32"/>
        </w:rPr>
        <w:t>总工会、相关行业组织，</w:t>
      </w:r>
      <w:r>
        <w:rPr>
          <w:rFonts w:hint="eastAsia"/>
          <w:bCs/>
          <w:color w:val="000000"/>
          <w:sz w:val="32"/>
          <w:szCs w:val="32"/>
        </w:rPr>
        <w:t>统筹推进全市校企合作数字化建设，运用大数据、物联网、人工智能等现代信息技术，提升校企合作有关信息分析研判能力。</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hint="eastAsia"/>
          <w:bCs/>
          <w:color w:val="000000"/>
          <w:sz w:val="32"/>
          <w:szCs w:val="32"/>
        </w:rPr>
        <w:t>市教育行政部门应当会同有关部门，</w:t>
      </w:r>
      <w:r>
        <w:rPr>
          <w:rFonts w:cs="Arial;Times New Roman" w:hint="eastAsia"/>
          <w:bCs/>
          <w:color w:val="000000"/>
          <w:sz w:val="32"/>
          <w:szCs w:val="32"/>
        </w:rPr>
        <w:t>依托一体化智能化公共数据平台，完善数据汇集共享机制，</w:t>
      </w:r>
      <w:r>
        <w:rPr>
          <w:rFonts w:cs="Arial;Times New Roman" w:hint="eastAsia"/>
          <w:bCs/>
          <w:color w:val="000000"/>
          <w:sz w:val="32"/>
          <w:szCs w:val="32"/>
        </w:rPr>
        <w:t>推动</w:t>
      </w:r>
      <w:r>
        <w:rPr>
          <w:rFonts w:cs="Arial;Times New Roman" w:hint="eastAsia"/>
          <w:bCs/>
          <w:color w:val="000000"/>
          <w:sz w:val="32"/>
          <w:szCs w:val="32"/>
        </w:rPr>
        <w:t>校企合作</w:t>
      </w:r>
      <w:r>
        <w:rPr>
          <w:rFonts w:hint="eastAsia"/>
          <w:bCs/>
          <w:color w:val="000000"/>
          <w:sz w:val="32"/>
          <w:szCs w:val="32"/>
        </w:rPr>
        <w:t>数据跨部门、跨区域、跨层级有序流动，</w:t>
      </w:r>
      <w:r>
        <w:rPr>
          <w:rFonts w:hint="eastAsia"/>
          <w:bCs/>
          <w:color w:val="000000"/>
          <w:sz w:val="32"/>
          <w:szCs w:val="32"/>
        </w:rPr>
        <w:t>促进</w:t>
      </w:r>
      <w:r>
        <w:rPr>
          <w:rFonts w:hint="eastAsia"/>
          <w:bCs/>
          <w:color w:val="000000"/>
          <w:sz w:val="32"/>
          <w:szCs w:val="32"/>
        </w:rPr>
        <w:t>校企合作业务协同。</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kern w:val="2"/>
          <w:sz w:val="32"/>
          <w:szCs w:val="32"/>
        </w:rPr>
        <w:t xml:space="preserve">第十五条 </w:t>
      </w:r>
      <w:r>
        <w:rPr>
          <w:bCs/>
          <w:color w:val="000000"/>
          <w:sz w:val="32"/>
          <w:szCs w:val="32"/>
        </w:rPr>
        <w:t>市、县（市、区）人民政府应当制定校企合作激励政策</w:t>
      </w:r>
      <w:r>
        <w:rPr>
          <w:rFonts w:ascii="Times New Roman" w:hAnsi="Times New Roman" w:cs="Times New Roman"/>
          <w:bCs/>
          <w:color w:val="000000"/>
          <w:sz w:val="32"/>
          <w:szCs w:val="32"/>
        </w:rPr>
        <w:t>，</w:t>
      </w:r>
      <w:r>
        <w:rPr>
          <w:rFonts w:ascii="Times New Roman" w:hAnsi="Times New Roman" w:cs="Times New Roman" w:hint="eastAsia"/>
          <w:bCs/>
          <w:color w:val="000000"/>
          <w:sz w:val="32"/>
          <w:szCs w:val="32"/>
        </w:rPr>
        <w:t>对符合条件认定为产教融合型企业的，</w:t>
      </w:r>
      <w:r>
        <w:rPr>
          <w:rFonts w:hint="eastAsia"/>
          <w:bCs/>
          <w:color w:val="000000"/>
          <w:sz w:val="32"/>
          <w:szCs w:val="32"/>
        </w:rPr>
        <w:t>按照有关规定给予金融、财政、土地等支持，落实教育费附加、地方教育附加减免以及其他税费优惠。</w:t>
      </w:r>
    </w:p>
    <w:p>
      <w:pPr>
        <w:pStyle w:val="Normal"/>
        <w:keepNext w:val="false"/>
        <w:keepLines w:val="false"/>
        <w:pageBreakBefore w:val="false"/>
        <w:widowControl w:val="false"/>
        <w:kinsoku w:val="true"/>
        <w:overflowPunct w:val="true"/>
        <w:autoSpaceDE w:val="true"/>
        <w:bidi w:val="0"/>
        <w:spacing w:lineRule="exact" w:line="560"/>
        <w:ind w:firstLineChars="50" w:startChars="150" w:endChars="0" w:end="0"/>
        <w:textAlignment w:val="auto"/>
        <w:rPr>
          <w:rFonts w:eastAsia="仿宋_GB2312" w:hint="eastAsia"/>
          <w:bCs/>
          <w:color w:val="000000"/>
          <w:sz w:val="32"/>
          <w:szCs w:val="32"/>
        </w:rPr>
      </w:pPr>
      <w:r>
        <w:rPr>
          <w:bCs/>
          <w:color w:val="000000"/>
          <w:sz w:val="32"/>
          <w:szCs w:val="32"/>
        </w:rPr>
        <w:t>对在校企合作中做出显著成绩的</w:t>
      </w:r>
      <w:r>
        <w:rPr>
          <w:rFonts w:hint="eastAsia"/>
          <w:bCs/>
          <w:color w:val="000000"/>
          <w:sz w:val="32"/>
          <w:szCs w:val="32"/>
        </w:rPr>
        <w:t>单位</w:t>
      </w:r>
      <w:r>
        <w:rPr>
          <w:bCs/>
          <w:color w:val="000000"/>
          <w:sz w:val="32"/>
          <w:szCs w:val="32"/>
        </w:rPr>
        <w:t>和个人，给予褒奖。</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Times New Roman" w:hAnsi="Times New Roman" w:eastAsia="仿宋_GB2312" w:cs="Times New Roman" w:hint="eastAsia"/>
          <w:b w:val="false"/>
          <w:bCs/>
          <w:color w:val="000000"/>
          <w:sz w:val="32"/>
          <w:szCs w:val="32"/>
        </w:rPr>
      </w:pPr>
      <w:r>
        <w:rPr>
          <w:rFonts w:ascii="黑体" w:hAnsi="黑体" w:cs="黑体" w:hint="eastAsia" w:eastAsia="黑体"/>
          <w:bCs/>
          <w:color w:val="000000"/>
          <w:kern w:val="2"/>
          <w:sz w:val="32"/>
          <w:szCs w:val="32"/>
        </w:rPr>
        <w:t xml:space="preserve">第十六条 </w:t>
      </w:r>
      <w:r>
        <w:rPr>
          <w:rFonts w:ascii="Times New Roman" w:hAnsi="Times New Roman" w:cs="Times New Roman"/>
          <w:bCs/>
          <w:color w:val="000000"/>
          <w:sz w:val="32"/>
          <w:szCs w:val="32"/>
        </w:rPr>
        <w:t>市、县（市、区）人民政府应当制定人才奖励政策，支持校企合作联合培养</w:t>
      </w:r>
      <w:r>
        <w:rPr>
          <w:rFonts w:ascii="Times New Roman" w:hAnsi="Times New Roman" w:cs="Times New Roman"/>
          <w:b w:val="false"/>
          <w:bCs/>
          <w:color w:val="000000"/>
          <w:sz w:val="32"/>
          <w:szCs w:val="32"/>
        </w:rPr>
        <w:t>高技术、高技能人才。</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第十七条 </w:t>
      </w:r>
      <w:r>
        <w:rPr>
          <w:bCs/>
          <w:color w:val="000000"/>
          <w:sz w:val="32"/>
          <w:szCs w:val="32"/>
        </w:rPr>
        <w:t>职业学校根据教学、科研等需要，可以按照公开招聘的有关规定通过</w:t>
      </w:r>
      <w:r>
        <w:rPr>
          <w:rFonts w:ascii="Times New Roman" w:hAnsi="Times New Roman" w:cs="Times New Roman"/>
          <w:bCs/>
          <w:color w:val="000000"/>
          <w:sz w:val="32"/>
          <w:szCs w:val="32"/>
        </w:rPr>
        <w:t>直接考察</w:t>
      </w:r>
      <w:r>
        <w:rPr>
          <w:bCs/>
          <w:color w:val="000000"/>
          <w:sz w:val="32"/>
          <w:szCs w:val="32"/>
        </w:rPr>
        <w:t>方式从企业招聘高层次、高技能</w:t>
      </w:r>
      <w:r>
        <w:rPr>
          <w:rFonts w:hint="eastAsia"/>
          <w:bCs/>
          <w:color w:val="000000"/>
          <w:sz w:val="32"/>
          <w:szCs w:val="32"/>
        </w:rPr>
        <w:t>紧缺</w:t>
      </w:r>
      <w:r>
        <w:rPr>
          <w:bCs/>
          <w:color w:val="000000"/>
          <w:sz w:val="32"/>
          <w:szCs w:val="32"/>
        </w:rPr>
        <w:t>人才担任专职专业课教师。取得教师资格的，可以</w:t>
      </w:r>
      <w:r>
        <w:rPr>
          <w:rFonts w:hint="eastAsia"/>
          <w:b w:val="false"/>
          <w:bCs/>
          <w:color w:val="000000"/>
          <w:sz w:val="32"/>
          <w:szCs w:val="32"/>
        </w:rPr>
        <w:t>按照</w:t>
      </w:r>
      <w:r>
        <w:rPr>
          <w:bCs/>
          <w:color w:val="000000"/>
          <w:sz w:val="32"/>
          <w:szCs w:val="32"/>
        </w:rPr>
        <w:t>有关规定进行聘任。</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职业学校可以面向企业聘请具备相应岗位任职条件的高技能人才、工程技术人员、经营管理人员等兼任专业课教师（</w:t>
      </w:r>
      <w:r>
        <w:rPr>
          <w:rFonts w:hint="eastAsia"/>
          <w:bCs/>
          <w:color w:val="000000"/>
          <w:sz w:val="32"/>
          <w:szCs w:val="32"/>
        </w:rPr>
        <w:t>含</w:t>
      </w:r>
      <w:r>
        <w:rPr>
          <w:bCs/>
          <w:color w:val="000000"/>
          <w:sz w:val="32"/>
          <w:szCs w:val="32"/>
        </w:rPr>
        <w:t>实习指导教师），并给予相关待遇。</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职业学校的教师、科研技术人员到企业兼职的，可以依法取得</w:t>
      </w:r>
      <w:r>
        <w:rPr>
          <w:rFonts w:hint="eastAsia"/>
          <w:bCs/>
          <w:color w:val="000000"/>
          <w:sz w:val="32"/>
          <w:szCs w:val="32"/>
        </w:rPr>
        <w:t>报酬</w:t>
      </w:r>
      <w:r>
        <w:rPr>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kern w:val="2"/>
          <w:sz w:val="32"/>
          <w:szCs w:val="32"/>
        </w:rPr>
        <w:t xml:space="preserve">第十八条 </w:t>
      </w:r>
      <w:r>
        <w:rPr>
          <w:rFonts w:hint="eastAsia"/>
          <w:bCs/>
          <w:color w:val="000000"/>
          <w:sz w:val="32"/>
          <w:szCs w:val="32"/>
        </w:rPr>
        <w:t>鼓励</w:t>
      </w:r>
      <w:r>
        <w:rPr>
          <w:bCs/>
          <w:color w:val="000000"/>
          <w:sz w:val="32"/>
          <w:szCs w:val="32"/>
        </w:rPr>
        <w:t>职业学校及其教师、学生</w:t>
      </w:r>
      <w:r>
        <w:rPr>
          <w:rFonts w:hint="eastAsia"/>
          <w:bCs/>
          <w:color w:val="000000"/>
          <w:sz w:val="32"/>
          <w:szCs w:val="32"/>
        </w:rPr>
        <w:t>在校企合作中积极发明创造，推动科技成果转化。</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教师在校企合作中合法取得的</w:t>
      </w:r>
      <w:r>
        <w:rPr>
          <w:rFonts w:ascii="Times New Roman" w:hAnsi="Times New Roman" w:cs="Times New Roman" w:hint="eastAsia"/>
          <w:bCs/>
          <w:color w:val="000000"/>
          <w:sz w:val="32"/>
          <w:szCs w:val="32"/>
        </w:rPr>
        <w:t>企业</w:t>
      </w:r>
      <w:r>
        <w:rPr>
          <w:rFonts w:cs="Arial;Times New Roman" w:hint="eastAsia"/>
          <w:bCs/>
          <w:color w:val="000000"/>
          <w:sz w:val="32"/>
          <w:szCs w:val="32"/>
        </w:rPr>
        <w:t>兼</w:t>
      </w:r>
      <w:r>
        <w:rPr>
          <w:bCs/>
          <w:color w:val="000000"/>
          <w:sz w:val="32"/>
          <w:szCs w:val="32"/>
        </w:rPr>
        <w:t>职报酬和科技成果转化奖励收入不纳入绩效工资总量。</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hint="eastAsia"/>
          <w:bCs/>
          <w:color w:val="000000"/>
          <w:sz w:val="32"/>
          <w:szCs w:val="32"/>
        </w:rPr>
        <w:t>企业人员</w:t>
      </w:r>
      <w:r>
        <w:rPr>
          <w:bCs/>
          <w:color w:val="000000"/>
          <w:sz w:val="32"/>
          <w:szCs w:val="32"/>
        </w:rPr>
        <w:t>在职业学校担任兼职教师取得的教育教学成果，按照</w:t>
      </w:r>
      <w:r>
        <w:rPr>
          <w:rFonts w:hint="eastAsia"/>
          <w:bCs/>
          <w:color w:val="000000"/>
          <w:sz w:val="32"/>
          <w:szCs w:val="32"/>
        </w:rPr>
        <w:t>有关</w:t>
      </w:r>
      <w:r>
        <w:rPr>
          <w:bCs/>
          <w:color w:val="000000"/>
          <w:sz w:val="32"/>
          <w:szCs w:val="32"/>
        </w:rPr>
        <w:t>规定予以奖励。</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kern w:val="2"/>
          <w:sz w:val="32"/>
          <w:szCs w:val="32"/>
        </w:rPr>
        <w:t xml:space="preserve">第十九条 </w:t>
      </w:r>
      <w:r>
        <w:rPr>
          <w:bCs/>
          <w:color w:val="000000"/>
          <w:sz w:val="32"/>
          <w:szCs w:val="32"/>
        </w:rPr>
        <w:t>职业学校应当将参与企业实践作为教师工作量和教学业绩考核的内容，在校企合作中取得的实践成果，可以视同教科研成果。</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hint="eastAsia"/>
          <w:bCs/>
          <w:color w:val="000000"/>
          <w:sz w:val="32"/>
          <w:szCs w:val="32"/>
        </w:rPr>
      </w:pPr>
      <w:r>
        <w:rPr>
          <w:rFonts w:ascii="黑体" w:hAnsi="黑体" w:cs="黑体" w:hint="eastAsia" w:eastAsia="黑体"/>
          <w:bCs/>
          <w:color w:val="000000"/>
          <w:kern w:val="2"/>
          <w:sz w:val="32"/>
          <w:szCs w:val="32"/>
        </w:rPr>
        <w:t xml:space="preserve">第二十条 </w:t>
      </w:r>
      <w:r>
        <w:rPr>
          <w:rFonts w:hint="eastAsia"/>
          <w:bCs/>
          <w:color w:val="000000"/>
          <w:sz w:val="32"/>
          <w:szCs w:val="32"/>
        </w:rPr>
        <w:t>职业学校开展校企合作取得的收入，可以用于</w:t>
      </w:r>
      <w:r>
        <w:rPr>
          <w:bCs/>
          <w:color w:val="000000"/>
          <w:sz w:val="32"/>
          <w:szCs w:val="32"/>
        </w:rPr>
        <w:t>促进职业学校改善办学条件和激励教师</w:t>
      </w:r>
      <w:r>
        <w:rPr>
          <w:rFonts w:hint="eastAsia"/>
          <w:bCs/>
          <w:color w:val="000000"/>
          <w:sz w:val="32"/>
          <w:szCs w:val="32"/>
        </w:rPr>
        <w:t>等</w:t>
      </w:r>
      <w:r>
        <w:rPr>
          <w:bCs/>
          <w:color w:val="000000"/>
          <w:sz w:val="32"/>
          <w:szCs w:val="32"/>
        </w:rPr>
        <w:t>参与校企合作</w:t>
      </w:r>
      <w:r>
        <w:rPr>
          <w:rFonts w:hint="eastAsia"/>
          <w:bCs/>
          <w:color w:val="000000"/>
          <w:sz w:val="32"/>
          <w:szCs w:val="32"/>
        </w:rPr>
        <w:t>。</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bCs/>
          <w:color w:val="000000"/>
          <w:sz w:val="32"/>
          <w:szCs w:val="32"/>
        </w:rPr>
        <w:t>职业学校与企业合作建立</w:t>
      </w:r>
      <w:r>
        <w:rPr>
          <w:rFonts w:hint="eastAsia"/>
          <w:bCs/>
          <w:color w:val="000000"/>
          <w:sz w:val="32"/>
          <w:szCs w:val="32"/>
        </w:rPr>
        <w:t>的</w:t>
      </w:r>
      <w:r>
        <w:rPr>
          <w:bCs/>
          <w:color w:val="000000"/>
          <w:sz w:val="32"/>
          <w:szCs w:val="32"/>
        </w:rPr>
        <w:t>生产性</w:t>
      </w:r>
      <w:r>
        <w:rPr>
          <w:rFonts w:hint="eastAsia"/>
          <w:bCs/>
          <w:color w:val="000000"/>
          <w:sz w:val="32"/>
          <w:szCs w:val="32"/>
        </w:rPr>
        <w:t>实习</w:t>
      </w:r>
      <w:r>
        <w:rPr>
          <w:bCs/>
          <w:color w:val="000000"/>
          <w:sz w:val="32"/>
          <w:szCs w:val="32"/>
        </w:rPr>
        <w:t>实训基地取得的收益</w:t>
      </w:r>
      <w:r>
        <w:rPr>
          <w:rFonts w:hint="eastAsia"/>
          <w:bCs/>
          <w:color w:val="000000"/>
          <w:sz w:val="32"/>
          <w:szCs w:val="32"/>
        </w:rPr>
        <w:t>，</w:t>
      </w:r>
      <w:r>
        <w:rPr>
          <w:bCs/>
          <w:color w:val="000000"/>
          <w:sz w:val="32"/>
          <w:szCs w:val="32"/>
        </w:rPr>
        <w:t>可以依法用于补充办学经费和支付相关人员报酬等。</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ascii="Times New Roman" w:hAnsi="Times New Roman" w:eastAsia="仿宋_GB2312" w:cs="Times New Roman"/>
          <w:bCs/>
          <w:color w:val="000000"/>
          <w:spacing w:val="6"/>
          <w:kern w:val="2"/>
          <w:sz w:val="32"/>
          <w:szCs w:val="32"/>
        </w:rPr>
      </w:pPr>
      <w:r>
        <w:rPr>
          <w:rFonts w:ascii="黑体" w:hAnsi="黑体" w:cs="黑体" w:hint="eastAsia" w:eastAsia="黑体"/>
          <w:bCs/>
          <w:color w:val="000000"/>
          <w:spacing w:val="6"/>
          <w:kern w:val="2"/>
          <w:sz w:val="32"/>
          <w:szCs w:val="32"/>
        </w:rPr>
        <w:t xml:space="preserve">第二十一条 </w:t>
      </w:r>
      <w:r>
        <w:rPr>
          <w:rFonts w:ascii="Times New Roman" w:hAnsi="Times New Roman" w:cs="Times New Roman" w:hint="eastAsia"/>
          <w:bCs/>
          <w:color w:val="000000"/>
          <w:spacing w:val="6"/>
          <w:kern w:val="2"/>
          <w:sz w:val="32"/>
          <w:szCs w:val="32"/>
        </w:rPr>
        <w:t>违反本条例的行为，法律、行政法规和省的地方性法规已有法律责任规定的，从其规定。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eastAsia="仿宋_GB2312"/>
          <w:bCs/>
          <w:color w:val="000000"/>
          <w:sz w:val="32"/>
          <w:szCs w:val="32"/>
        </w:rPr>
      </w:pPr>
      <w:r>
        <w:rPr>
          <w:rFonts w:ascii="黑体" w:hAnsi="黑体" w:cs="黑体" w:hint="eastAsia" w:eastAsia="黑体"/>
          <w:bCs/>
          <w:color w:val="000000"/>
          <w:kern w:val="2"/>
          <w:sz w:val="32"/>
          <w:szCs w:val="32"/>
        </w:rPr>
        <w:t xml:space="preserve">第二十二条 </w:t>
      </w:r>
      <w:r>
        <w:rPr>
          <w:rFonts w:ascii="Times New Roman" w:hAnsi="Times New Roman" w:cs="Times New Roman" w:hint="eastAsia"/>
          <w:bCs/>
          <w:color w:val="000000"/>
          <w:spacing w:val="6"/>
          <w:kern w:val="2"/>
          <w:sz w:val="32"/>
          <w:szCs w:val="32"/>
        </w:rPr>
        <w:t>本条例自</w:t>
      </w:r>
      <w:r>
        <w:rPr>
          <w:rFonts w:eastAsia="仿宋_GB2312" w:cs="仿宋_GB2312" w:hint="eastAsia" w:ascii="仿宋_GB2312" w:hAnsi="仿宋_GB2312"/>
          <w:bCs/>
          <w:color w:val="000000"/>
          <w:spacing w:val="6"/>
          <w:kern w:val="2"/>
          <w:sz w:val="32"/>
          <w:szCs w:val="32"/>
        </w:rPr>
        <w:t>2023</w:t>
      </w:r>
      <w:r>
        <w:rPr>
          <w:rFonts w:ascii="Times New Roman" w:hAnsi="Times New Roman" w:cs="Times New Roman" w:hint="eastAsia"/>
          <w:bCs/>
          <w:color w:val="000000"/>
          <w:spacing w:val="6"/>
          <w:kern w:val="2"/>
          <w:sz w:val="32"/>
          <w:szCs w:val="32"/>
        </w:rPr>
        <w:t>年</w:t>
      </w:r>
      <w:r>
        <w:rPr>
          <w:rFonts w:eastAsia="仿宋_GB2312" w:cs="仿宋_GB2312" w:hint="eastAsia" w:ascii="仿宋_GB2312" w:hAnsi="仿宋_GB2312"/>
          <w:bCs/>
          <w:color w:val="000000"/>
          <w:spacing w:val="6"/>
          <w:kern w:val="2"/>
          <w:sz w:val="32"/>
          <w:szCs w:val="32"/>
        </w:rPr>
        <w:t>5</w:t>
      </w:r>
      <w:r>
        <w:rPr>
          <w:rFonts w:ascii="仿宋_GB2312" w:hAnsi="仿宋_GB2312" w:cs="仿宋_GB2312" w:hint="eastAsia"/>
          <w:bCs/>
          <w:color w:val="000000"/>
          <w:spacing w:val="6"/>
          <w:kern w:val="2"/>
          <w:sz w:val="32"/>
          <w:szCs w:val="32"/>
        </w:rPr>
        <w:t>月</w:t>
      </w:r>
      <w:r>
        <w:rPr>
          <w:rFonts w:eastAsia="仿宋_GB2312" w:cs="仿宋_GB2312" w:hint="eastAsia" w:ascii="仿宋_GB2312" w:hAnsi="仿宋_GB2312"/>
          <w:bCs/>
          <w:color w:val="000000"/>
          <w:spacing w:val="6"/>
          <w:kern w:val="2"/>
          <w:sz w:val="32"/>
          <w:szCs w:val="32"/>
        </w:rPr>
        <w:t>1</w:t>
      </w:r>
      <w:r>
        <w:rPr>
          <w:rFonts w:ascii="仿宋_GB2312" w:hAnsi="仿宋_GB2312" w:cs="仿宋_GB2312" w:hint="eastAsia"/>
          <w:bCs/>
          <w:color w:val="000000"/>
          <w:spacing w:val="6"/>
          <w:kern w:val="2"/>
          <w:sz w:val="32"/>
          <w:szCs w:val="32"/>
        </w:rPr>
        <w:t>日起施行。</w:t>
      </w:r>
    </w:p>
    <w:p>
      <w:pPr>
        <w:pStyle w:val="BodyText"/>
        <w:keepNext w:val="false"/>
        <w:keepLines w:val="false"/>
        <w:pageBreakBefore w:val="false"/>
        <w:kinsoku w:val="true"/>
        <w:autoSpaceDE w:val="true"/>
        <w:bidi w:val="0"/>
        <w:spacing w:lineRule="exact" w:line="560"/>
        <w:textAlignment w:val="auto"/>
        <w:rPr>
          <w:rFonts w:eastAsia="仿宋_GB2312"/>
          <w:bCs/>
          <w:color w:val="000000"/>
          <w:sz w:val="32"/>
          <w:szCs w:val="32"/>
        </w:rPr>
      </w:pPr>
      <w:r>
        <w:rPr>
          <w:rFonts w:eastAsia="仿宋_GB2312"/>
          <w:bCs/>
          <w:color w:val="000000"/>
          <w:sz w:val="32"/>
          <w:szCs w:val="32"/>
        </w:rPr>
      </w:r>
    </w:p>
    <w:p>
      <w:pPr>
        <w:pStyle w:val="Normal"/>
        <w:keepNext w:val="false"/>
        <w:keepLines w:val="false"/>
        <w:pageBreakBefore w:val="false"/>
        <w:widowControl w:val="false"/>
        <w:kinsoku w:val="true"/>
        <w:autoSpaceDE w:val="true"/>
        <w:bidi w:val="0"/>
        <w:spacing w:lineRule="exact" w:line="560"/>
        <w:jc w:val="both"/>
        <w:textAlignment w:val="auto"/>
        <w:rPr>
          <w:rFonts w:ascii="FreeSerif" w:hAnsi="FreeSerif" w:eastAsia="宋体;方正书宋_GBK" w:cs="FreeSerif"/>
          <w:color w:val="000000"/>
          <w:spacing w:val="0"/>
          <w:kern w:val="2"/>
          <w:sz w:val="21"/>
          <w:szCs w:val="24"/>
          <w:highlight w:val="none"/>
        </w:rPr>
      </w:pPr>
      <w:r>
        <w:rPr>
          <w:rFonts w:eastAsia="宋体;方正书宋_GBK" w:cs="FreeSerif" w:ascii="FreeSerif" w:hAnsi="FreeSerif"/>
          <w:color w:val="000000"/>
          <w:spacing w:val="0"/>
          <w:kern w:val="2"/>
          <w:sz w:val="21"/>
          <w:szCs w:val="24"/>
        </w:rPr>
      </w:r>
    </w:p>
    <w:p>
      <w:pPr>
        <w:pStyle w:val="Style15"/>
        <w:keepNext w:val="false"/>
        <w:keepLines w:val="false"/>
        <w:pageBreakBefore w:val="false"/>
        <w:kinsoku w:val="true"/>
        <w:autoSpaceDE w:val="true"/>
        <w:bidi w:val="0"/>
        <w:spacing w:lineRule="exact" w:line="560"/>
        <w:textAlignment w:val="auto"/>
        <w:rPr>
          <w:rFonts w:ascii="FreeSerif" w:hAnsi="FreeSerif" w:eastAsia="宋体;方正书宋_GBK" w:cs="FreeSerif"/>
          <w:color w:val="000000"/>
          <w:spacing w:val="0"/>
          <w:kern w:val="2"/>
          <w:sz w:val="21"/>
          <w:szCs w:val="24"/>
          <w:highlight w:val="none"/>
        </w:rPr>
      </w:pPr>
      <w:r>
        <w:rPr>
          <w:rFonts w:eastAsia="宋体;方正书宋_GBK" w:cs="FreeSerif" w:ascii="FreeSerif" w:hAnsi="FreeSerif"/>
          <w:color w:val="000000"/>
          <w:spacing w:val="0"/>
          <w:kern w:val="2"/>
          <w:sz w:val="21"/>
          <w:szCs w:val="24"/>
        </w:rPr>
      </w:r>
    </w:p>
    <w:p>
      <w:pPr>
        <w:pStyle w:val="Normal"/>
        <w:keepNext w:val="false"/>
        <w:keepLines w:val="false"/>
        <w:pageBreakBefore w:val="false"/>
        <w:kinsoku w:val="true"/>
        <w:autoSpaceDE w:val="true"/>
        <w:bidi w:val="0"/>
        <w:spacing w:lineRule="exact" w:line="560"/>
        <w:textAlignment w:val="auto"/>
        <w:rPr>
          <w:rFonts w:ascii="FreeSerif" w:hAnsi="FreeSerif" w:eastAsia="宋体;方正书宋_GBK" w:cs="FreeSerif"/>
          <w:color w:val="000000"/>
          <w:spacing w:val="0"/>
          <w:kern w:val="2"/>
          <w:sz w:val="21"/>
          <w:szCs w:val="24"/>
          <w:highlight w:val="none"/>
        </w:rPr>
      </w:pPr>
      <w:r>
        <w:rPr>
          <w:rFonts w:eastAsia="宋体;方正书宋_GBK" w:cs="FreeSerif" w:ascii="FreeSerif" w:hAnsi="FreeSerif"/>
          <w:color w:val="000000"/>
          <w:spacing w:val="0"/>
          <w:kern w:val="2"/>
          <w:sz w:val="21"/>
          <w:szCs w:val="24"/>
        </w:rPr>
      </w:r>
    </w:p>
    <w:p>
      <w:pPr>
        <w:pStyle w:val="BodyText"/>
        <w:keepNext w:val="false"/>
        <w:keepLines w:val="false"/>
        <w:pageBreakBefore w:val="false"/>
        <w:kinsoku w:val="true"/>
        <w:autoSpaceDE w:val="true"/>
        <w:bidi w:val="0"/>
        <w:spacing w:lineRule="exact" w:line="560"/>
        <w:textAlignment w:val="auto"/>
        <w:rPr>
          <w:rFonts w:ascii="FreeSerif" w:hAnsi="FreeSerif" w:eastAsia="宋体;方正书宋_GBK" w:cs="FreeSerif"/>
          <w:color w:val="000000"/>
          <w:spacing w:val="0"/>
          <w:kern w:val="2"/>
          <w:sz w:val="21"/>
          <w:szCs w:val="24"/>
          <w:highlight w:val="none"/>
        </w:rPr>
      </w:pPr>
      <w:r>
        <w:rPr>
          <w:rFonts w:eastAsia="宋体;方正书宋_GBK" w:cs="FreeSerif" w:ascii="FreeSerif" w:hAnsi="FreeSerif"/>
          <w:color w:val="000000"/>
          <w:spacing w:val="0"/>
          <w:kern w:val="2"/>
          <w:sz w:val="21"/>
          <w:szCs w:val="24"/>
        </w:rPr>
      </w:r>
    </w:p>
    <w:p>
      <w:pPr>
        <w:pStyle w:val="Style15"/>
        <w:keepNext w:val="false"/>
        <w:keepLines w:val="false"/>
        <w:pageBreakBefore w:val="false"/>
        <w:kinsoku w:val="true"/>
        <w:autoSpaceDE w:val="true"/>
        <w:bidi w:val="0"/>
        <w:spacing w:lineRule="exact" w:line="560"/>
        <w:textAlignment w:val="auto"/>
        <w:rPr>
          <w:rFonts w:ascii="FreeSerif" w:hAnsi="FreeSerif" w:eastAsia="宋体;方正书宋_GBK" w:cs="FreeSerif"/>
          <w:color w:val="000000"/>
          <w:spacing w:val="0"/>
          <w:kern w:val="2"/>
          <w:sz w:val="21"/>
          <w:szCs w:val="24"/>
          <w:highlight w:val="none"/>
        </w:rPr>
      </w:pPr>
      <w:r>
        <w:rPr>
          <w:rFonts w:eastAsia="宋体;方正书宋_GBK" w:cs="FreeSerif" w:ascii="FreeSerif" w:hAnsi="FreeSerif"/>
          <w:color w:val="000000"/>
          <w:spacing w:val="0"/>
          <w:kern w:val="2"/>
          <w:sz w:val="21"/>
          <w:szCs w:val="24"/>
        </w:rPr>
      </w:r>
    </w:p>
    <w:p>
      <w:pPr>
        <w:pStyle w:val="Normal"/>
        <w:keepNext w:val="false"/>
        <w:keepLines w:val="false"/>
        <w:pageBreakBefore w:val="false"/>
        <w:widowControl w:val="false"/>
        <w:kinsoku w:val="true"/>
        <w:overflowPunct w:val="true"/>
        <w:autoSpaceDE w:val="true"/>
        <w:bidi w:val="0"/>
        <w:spacing w:lineRule="exact" w:line="560"/>
        <w:jc w:val="both"/>
        <w:textAlignment w:val="auto"/>
        <w:rPr>
          <w:rFonts w:ascii="FreeSerif" w:hAnsi="FreeSerif" w:eastAsia="宋体;方正书宋_GBK" w:cs="FreeSerif"/>
          <w:color w:val="000000"/>
          <w:spacing w:val="0"/>
          <w:kern w:val="2"/>
          <w:sz w:val="21"/>
          <w:szCs w:val="24"/>
          <w:highlight w:val="none"/>
        </w:rPr>
      </w:pPr>
      <w:r>
        <w:rPr>
          <w:rFonts w:eastAsia="宋体;方正书宋_GBK" w:cs="FreeSerif" w:ascii="FreeSerif" w:hAnsi="FreeSerif"/>
          <w:color w:val="000000"/>
          <w:spacing w:val="0"/>
          <w:kern w:val="2"/>
          <w:sz w:val="21"/>
          <w:szCs w:val="24"/>
        </w:rPr>
      </w:r>
    </w:p>
    <w:p>
      <w:pPr>
        <w:pStyle w:val="Normal"/>
        <w:spacing w:lineRule="exact" w:line="560"/>
        <w:jc w:val="center"/>
        <w:rPr>
          <w:rFonts w:ascii="黑体" w:hAnsi="黑体" w:eastAsia="黑体" w:cs="Arial;Times New Roman"/>
          <w:bCs/>
          <w:color w:val="000000"/>
          <w:spacing w:val="0"/>
          <w:kern w:val="2"/>
          <w:sz w:val="44"/>
          <w:szCs w:val="44"/>
          <w:highlight w:val="none"/>
        </w:rPr>
      </w:pPr>
      <w:r>
        <w:rPr>
          <w:rFonts w:eastAsia="黑体" w:cs="Arial;Times New Roman" w:ascii="黑体" w:hAnsi="黑体"/>
          <w:bCs/>
          <w:color w:val="000000"/>
          <w:spacing w:val="0"/>
          <w:kern w:val="2"/>
          <w:sz w:val="44"/>
          <w:szCs w:val="44"/>
        </w:rPr>
      </w:r>
    </w:p>
    <w:sectPr>
      <w:footerReference w:type="default" r:id="rId2"/>
      <w:type w:val="nextPage"/>
      <w:pgSz w:w="11906" w:h="16838"/>
      <w:pgMar w:left="1587" w:right="1587" w:gutter="0" w:header="0" w:top="2041" w:footer="992"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FangSong">
    <w:altName w:val="方正仿宋_GBK"/>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宋体">
    <w:altName w:val="方正书宋_GBK"/>
    <w:charset w:val="00" w:characterSet="windows-1252"/>
    <w:family w:val="auto"/>
    <w:pitch w:val="default"/>
  </w:font>
  <w:font w:name="仿宋">
    <w:altName w:val="方正仿宋_GBK"/>
    <w:charset w:val="00" w:characterSet="windows-1252"/>
    <w:family w:val="modern"/>
    <w:pitch w:val="default"/>
  </w:font>
  <w:font w:name="FreeSerif">
    <w:charset w:val="00" w:characterSet="windows-1252"/>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-159385</wp:posOffset>
              </wp:positionV>
              <wp:extent cx="5546090" cy="605790"/>
              <wp:effectExtent l="0" t="0" r="0" b="0"/>
              <wp:wrapNone/>
              <wp:docPr id="1" name="Frame1"/>
              <a:graphic xmlns:a="http://schemas.openxmlformats.org/drawingml/2006/main">
                <a:graphicData uri="http://schemas.microsoft.com/office/word/2010/wordprocessingShape">
                  <wps:wsp>
                    <wps:cNvSpPr txBox="1"/>
                    <wps:spPr>
                      <a:xfrm>
                        <a:off x="0" y="0"/>
                        <a:ext cx="5546090" cy="605790"/>
                      </a:xfrm>
                      <a:prstGeom prst="rect"/>
                      <a:solidFill>
                        <a:srgbClr val="FFFFFF">
                          <a:alpha val="0"/>
                        </a:srgbClr>
                      </a:solidFill>
                    </wps:spPr>
                    <wps:txbx>
                      <w:txbxContent>
                        <w:p>
                          <w:pPr>
                            <w:pStyle w:val="Normal"/>
                            <w:widowControl w:val="false"/>
                            <w:snapToGrid w:val="false"/>
                            <w:jc w:val="start"/>
                            <w:rPr>
                              <w:rStyle w:val="PageNumber"/>
                              <w:rFonts w:ascii="宋体;方正书宋_GBK" w:hAnsi="宋体;方正书宋_GBK" w:eastAsia="宋体;方正书宋_GBK" w:cs="宋体;方正书宋_GBK" w:hint="eastAsia"/>
                              <w:kern w:val="2"/>
                              <w:sz w:val="28"/>
                              <w:szCs w:val="28"/>
                            </w:rPr>
                          </w:pPr>
                          <w:r>
                            <w:rPr>
                              <w:rStyle w:val="PageNumber"/>
                              <w:rFonts w:eastAsia="宋体;方正书宋_GBK" w:cs="宋体;方正书宋_GBK" w:hint="eastAsia" w:ascii="宋体;方正书宋_GBK" w:hAnsi="宋体;方正书宋_GBK"/>
                              <w:kern w:val="2"/>
                              <w:sz w:val="28"/>
                              <w:szCs w:val="28"/>
                            </w:rPr>
                            <w:t xml:space="preserve">— </w:t>
                          </w:r>
                          <w:r>
                            <w:rPr>
                              <w:rStyle w:val="PageNumber"/>
                              <w:rFonts w:eastAsia="宋体;方正书宋_GBK" w:cs="宋体;方正书宋_GBK" w:hint="eastAsia" w:ascii="宋体;方正书宋_GBK" w:hAnsi="宋体;方正书宋_GBK"/>
                              <w:kern w:val="2"/>
                              <w:sz w:val="28"/>
                              <w:szCs w:val="28"/>
                            </w:rPr>
                            <w:fldChar w:fldCharType="begin"/>
                          </w:r>
                          <w:r>
                            <w:rPr>
                              <w:rStyle w:val="PageNumber"/>
                              <w:rFonts w:eastAsia="宋体;方正书宋_GBK" w:cs="宋体;方正书宋_GBK" w:hint="eastAsia" w:ascii="宋体;方正书宋_GBK" w:hAnsi="宋体;方正书宋_GBK"/>
                              <w:kern w:val="2"/>
                              <w:sz w:val="28"/>
                              <w:szCs w:val="28"/>
                            </w:rPr>
                            <w:instrText xml:space="preserve"> PAGE </w:instrText>
                          </w:r>
                          <w:r>
                            <w:rPr>
                              <w:rStyle w:val="PageNumber"/>
                              <w:rFonts w:eastAsia="宋体;方正书宋_GBK" w:cs="宋体;方正书宋_GBK" w:hint="eastAsia" w:ascii="宋体;方正书宋_GBK" w:hAnsi="宋体;方正书宋_GBK"/>
                              <w:kern w:val="2"/>
                              <w:sz w:val="28"/>
                              <w:szCs w:val="28"/>
                            </w:rPr>
                            <w:fldChar w:fldCharType="separate"/>
                          </w:r>
                          <w:r>
                            <w:rPr>
                              <w:rStyle w:val="PageNumber"/>
                              <w:rFonts w:eastAsia="宋体;方正书宋_GBK" w:cs="宋体;方正书宋_GBK" w:hint="eastAsia" w:ascii="宋体;方正书宋_GBK" w:hAnsi="宋体;方正书宋_GBK"/>
                              <w:kern w:val="2"/>
                              <w:sz w:val="28"/>
                              <w:szCs w:val="28"/>
                            </w:rPr>
                            <w:t>8</w:t>
                          </w:r>
                          <w:r>
                            <w:rPr>
                              <w:rStyle w:val="PageNumber"/>
                              <w:rFonts w:eastAsia="宋体;方正书宋_GBK" w:cs="宋体;方正书宋_GBK" w:hint="eastAsia" w:ascii="宋体;方正书宋_GBK" w:hAnsi="宋体;方正书宋_GBK"/>
                              <w:kern w:val="2"/>
                              <w:sz w:val="28"/>
                              <w:szCs w:val="28"/>
                            </w:rPr>
                            <w:fldChar w:fldCharType="end"/>
                          </w:r>
                          <w:r>
                            <w:rPr>
                              <w:rStyle w:val="PageNumber"/>
                              <w:rFonts w:eastAsia="宋体;方正书宋_GBK" w:cs="宋体;方正书宋_GBK" w:hint="eastAsia" w:ascii="宋体;方正书宋_GBK" w:hAnsi="宋体;方正书宋_GBK"/>
                              <w:kern w:val="2"/>
                              <w:sz w:val="28"/>
                              <w:szCs w:val="28"/>
                            </w:rPr>
                            <w:t xml:space="preserve"> —</w:t>
                          </w:r>
                        </w:p>
                        <w:p>
                          <w:pPr>
                            <w:pStyle w:val="Footer"/>
                            <w:rPr>
                              <w:rStyle w:val="PageNumber"/>
                              <w:rFonts w:ascii="宋体;方正书宋_GBK" w:hAnsi="宋体;方正书宋_GBK" w:eastAsia="宋体;方正书宋_GBK" w:cs="宋体;方正书宋_GBK" w:hint="eastAsia"/>
                              <w:kern w:val="2"/>
                              <w:sz w:val="28"/>
                              <w:szCs w:val="28"/>
                            </w:rPr>
                          </w:pPr>
                          <w:r>
                            <w:rPr/>
                          </w:r>
                        </w:p>
                      </w:txbxContent>
                    </wps:txbx>
                    <wps:bodyPr anchor="t" lIns="635" tIns="635" rIns="635" bIns="635">
                      <a:spAutoFit/>
                    </wps:bodyPr>
                  </wps:wsp>
                </a:graphicData>
              </a:graphic>
            </wp:anchor>
          </w:drawing>
        </mc:Choice>
        <mc:Fallback>
          <w:pict>
            <v:rect fillcolor="#FFFFFF" style="position:absolute;rotation:-0;width:436.7pt;height:47.7pt;mso-wrap-distance-left:9.05pt;mso-wrap-distance-right:0pt;mso-wrap-distance-top:0pt;mso-wrap-distance-bottom:0pt;margin-top:-12.55pt;mso-position-vertical-relative:text;margin-left:9.05pt;mso-position-horizontal:outside;mso-position-horizontal-relative:margin">
              <v:fill opacity="0f"/>
              <v:textbox inset="0.000694444444444445in,0.000694444444444445in,0.000694444444444445in,0.000694444444444445in">
                <w:txbxContent>
                  <w:p>
                    <w:pPr>
                      <w:pStyle w:val="Normal"/>
                      <w:widowControl w:val="false"/>
                      <w:snapToGrid w:val="false"/>
                      <w:jc w:val="start"/>
                      <w:rPr>
                        <w:rStyle w:val="PageNumber"/>
                        <w:rFonts w:ascii="宋体;方正书宋_GBK" w:hAnsi="宋体;方正书宋_GBK" w:eastAsia="宋体;方正书宋_GBK" w:cs="宋体;方正书宋_GBK" w:hint="eastAsia"/>
                        <w:kern w:val="2"/>
                        <w:sz w:val="28"/>
                        <w:szCs w:val="28"/>
                      </w:rPr>
                    </w:pPr>
                    <w:r>
                      <w:rPr>
                        <w:rStyle w:val="PageNumber"/>
                        <w:rFonts w:eastAsia="宋体;方正书宋_GBK" w:cs="宋体;方正书宋_GBK" w:hint="eastAsia" w:ascii="宋体;方正书宋_GBK" w:hAnsi="宋体;方正书宋_GBK"/>
                        <w:kern w:val="2"/>
                        <w:sz w:val="28"/>
                        <w:szCs w:val="28"/>
                      </w:rPr>
                      <w:t xml:space="preserve">— </w:t>
                    </w:r>
                    <w:r>
                      <w:rPr>
                        <w:rStyle w:val="PageNumber"/>
                        <w:rFonts w:eastAsia="宋体;方正书宋_GBK" w:cs="宋体;方正书宋_GBK" w:hint="eastAsia" w:ascii="宋体;方正书宋_GBK" w:hAnsi="宋体;方正书宋_GBK"/>
                        <w:kern w:val="2"/>
                        <w:sz w:val="28"/>
                        <w:szCs w:val="28"/>
                      </w:rPr>
                      <w:fldChar w:fldCharType="begin"/>
                    </w:r>
                    <w:r>
                      <w:rPr>
                        <w:rStyle w:val="PageNumber"/>
                        <w:rFonts w:eastAsia="宋体;方正书宋_GBK" w:cs="宋体;方正书宋_GBK" w:hint="eastAsia" w:ascii="宋体;方正书宋_GBK" w:hAnsi="宋体;方正书宋_GBK"/>
                        <w:kern w:val="2"/>
                        <w:sz w:val="28"/>
                        <w:szCs w:val="28"/>
                      </w:rPr>
                      <w:instrText xml:space="preserve"> PAGE </w:instrText>
                    </w:r>
                    <w:r>
                      <w:rPr>
                        <w:rStyle w:val="PageNumber"/>
                        <w:rFonts w:eastAsia="宋体;方正书宋_GBK" w:cs="宋体;方正书宋_GBK" w:hint="eastAsia" w:ascii="宋体;方正书宋_GBK" w:hAnsi="宋体;方正书宋_GBK"/>
                        <w:kern w:val="2"/>
                        <w:sz w:val="28"/>
                        <w:szCs w:val="28"/>
                      </w:rPr>
                      <w:fldChar w:fldCharType="separate"/>
                    </w:r>
                    <w:r>
                      <w:rPr>
                        <w:rStyle w:val="PageNumber"/>
                        <w:rFonts w:eastAsia="宋体;方正书宋_GBK" w:cs="宋体;方正书宋_GBK" w:hint="eastAsia" w:ascii="宋体;方正书宋_GBK" w:hAnsi="宋体;方正书宋_GBK"/>
                        <w:kern w:val="2"/>
                        <w:sz w:val="28"/>
                        <w:szCs w:val="28"/>
                      </w:rPr>
                      <w:t>8</w:t>
                    </w:r>
                    <w:r>
                      <w:rPr>
                        <w:rStyle w:val="PageNumber"/>
                        <w:rFonts w:eastAsia="宋体;方正书宋_GBK" w:cs="宋体;方正书宋_GBK" w:hint="eastAsia" w:ascii="宋体;方正书宋_GBK" w:hAnsi="宋体;方正书宋_GBK"/>
                        <w:kern w:val="2"/>
                        <w:sz w:val="28"/>
                        <w:szCs w:val="28"/>
                      </w:rPr>
                      <w:fldChar w:fldCharType="end"/>
                    </w:r>
                    <w:r>
                      <w:rPr>
                        <w:rStyle w:val="PageNumber"/>
                        <w:rFonts w:eastAsia="宋体;方正书宋_GBK" w:cs="宋体;方正书宋_GBK" w:hint="eastAsia" w:ascii="宋体;方正书宋_GBK" w:hAnsi="宋体;方正书宋_GBK"/>
                        <w:kern w:val="2"/>
                        <w:sz w:val="28"/>
                        <w:szCs w:val="28"/>
                      </w:rPr>
                      <w:t xml:space="preserve"> —</w:t>
                    </w:r>
                  </w:p>
                  <w:p>
                    <w:pPr>
                      <w:pStyle w:val="Footer"/>
                      <w:rPr>
                        <w:rStyle w:val="PageNumber"/>
                        <w:rFonts w:ascii="宋体;方正书宋_GBK" w:hAnsi="宋体;方正书宋_GBK" w:eastAsia="宋体;方正书宋_GBK" w:cs="宋体;方正书宋_GBK" w:hint="eastAsia"/>
                        <w:kern w:val="2"/>
                        <w:sz w:val="28"/>
                        <w:szCs w:val="28"/>
                      </w:rPr>
                    </w:pPr>
                    <w:r>
                      <w:rPr/>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 w:cs="Times New Roman"/>
      <w:color w:val="auto"/>
      <w:spacing w:val="6"/>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equal">
    <w:name w:val="equal"/>
    <w:basedOn w:val="Style14"/>
    <w:qFormat/>
    <w:rPr/>
  </w:style>
  <w:style w:type="character" w:styleId="ltiaoruleid">
    <w:name w:val="ltiao_ruleid"/>
    <w:basedOn w:val="Style14"/>
    <w:qFormat/>
    <w:rPr>
      <w:rFonts w:ascii="FangSong;方正仿宋_GBK" w:hAnsi="FangSong;方正仿宋_GBK" w:eastAsia="FangSong;方正仿宋_GBK" w:cs="FangSong;方正仿宋_GBK"/>
      <w:b/>
      <w:bCs/>
      <w:sz w:val="24"/>
      <w:szCs w:val="24"/>
    </w:rPr>
  </w:style>
  <w:style w:type="character" w:styleId="delete">
    <w:name w:val="delete"/>
    <w:basedOn w:val="Style14"/>
    <w:qFormat/>
    <w:rPr>
      <w:shd w:fill="BFBFBF"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5"/>
    <w:pPr>
      <w:widowControl w:val="false"/>
      <w:jc w:val="both"/>
    </w:pPr>
    <w:rPr>
      <w:rFonts w:ascii="Times New Roman" w:hAnsi="Times New Roman" w:eastAsia="宋体;方正书宋_GBK" w:cs="Times New Roman"/>
      <w:spacing w:val="6"/>
      <w:kern w:val="2"/>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首行缩进"/>
    <w:basedOn w:val="BodyText"/>
    <w:next w:val="Normal"/>
    <w:qFormat/>
    <w:pPr>
      <w:spacing w:lineRule="exact" w:line="500"/>
      <w:ind w:firstLine="420" w:start="0" w:end="0"/>
    </w:pPr>
    <w:rPr>
      <w:rFonts w:ascii="Times New Roman" w:hAnsi="Times New Roman" w:eastAsia="宋体;方正书宋_GBK" w:cs="Times New Roman"/>
      <w:sz w:val="28"/>
      <w:szCs w:val="20"/>
    </w:rPr>
  </w:style>
  <w:style w:type="paragraph" w:styleId="Style16">
    <w:name w:val="正文缩进"/>
    <w:basedOn w:val="Normal"/>
    <w:next w:val="TOC8"/>
    <w:qFormat/>
    <w:pPr>
      <w:widowControl w:val="false"/>
      <w:ind w:firstLineChars="200" w:startChars="0" w:start="0" w:endChars="0" w:end="0"/>
      <w:jc w:val="both"/>
    </w:pPr>
    <w:rPr>
      <w:rFonts w:ascii="Times New Roman" w:hAnsi="Times New Roman" w:eastAsia="宋体;方正书宋_GBK" w:cs="Times New Roman"/>
      <w:spacing w:val="6"/>
      <w:kern w:val="2"/>
      <w:sz w:val="32"/>
      <w:szCs w:val="32"/>
    </w:rPr>
  </w:style>
  <w:style w:type="paragraph" w:styleId="TOC8">
    <w:name w:val="toc 8"/>
    <w:basedOn w:val="Normal"/>
    <w:next w:val="Normal"/>
    <w:pPr>
      <w:ind w:firstLineChars="0" w:firstLine="0" w:startChars="14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noteText">
    <w:name w:val="footnote text"/>
    <w:basedOn w:val="Normal"/>
    <w:pPr>
      <w:snapToGrid w:val="false"/>
      <w:jc w:val="start"/>
    </w:pPr>
    <w:rPr>
      <w:rFonts w:ascii="Calibri;DejaVu Sans" w:hAnsi="Calibri;DejaVu Sans" w:cs="黑体"/>
      <w:sz w:val="18"/>
      <w:szCs w:val="18"/>
    </w:rPr>
  </w:style>
  <w:style w:type="paragraph" w:styleId="Style17">
    <w:name w:val="普通(网站)"/>
    <w:basedOn w:val="Normal"/>
    <w:qFormat/>
    <w:pPr>
      <w:widowControl/>
      <w:spacing w:before="100" w:after="100"/>
      <w:jc w:val="start"/>
    </w:pPr>
    <w:rPr>
      <w:rFonts w:ascii="宋体;方正书宋_GBK" w:hAnsi="宋体;方正书宋_GBK" w:eastAsia="宋体;方正书宋_GBK" w:cs="宋体;方正书宋_GBK"/>
      <w:spacing w:val="0"/>
      <w:kern w:val="0"/>
      <w:sz w:val="24"/>
      <w:szCs w:val="24"/>
    </w:rPr>
  </w:style>
  <w:style w:type="paragraph" w:styleId="ltiao">
    <w:name w:val="ltiao"/>
    <w:basedOn w:val="Normal"/>
    <w:qFormat/>
    <w:pPr>
      <w:ind w:firstLine="480" w:start="0" w:end="0"/>
      <w:jc w:val="start"/>
    </w:pPr>
    <w:rPr/>
  </w:style>
  <w:style w:type="paragraph" w:styleId="lkuan">
    <w:name w:val="lkuan"/>
    <w:basedOn w:val="Normal"/>
    <w:qFormat/>
    <w:pPr>
      <w:ind w:firstLine="480" w:start="0" w:end="0"/>
      <w:jc w:val="start"/>
    </w:pPr>
    <w:rPr>
      <w:rFonts w:ascii="仿宋;方正仿宋_GBK" w:hAnsi="仿宋;方正仿宋_GBK" w:eastAsia="仿宋;方正仿宋_GBK" w:cs="仿宋;方正仿宋_GBK"/>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2021-12-31T14:14:00Z</dcterms:created>
  <dc:creator>quzhou</dc:creator>
  <dc:description/>
  <dc:language>en-US</dc:language>
  <cp:lastModifiedBy>quzhou</cp:lastModifiedBy>
  <cp:lastPrinted>2023-01-10T12:18:00Z</cp:lastPrinted>
  <dcterms:modified xsi:type="dcterms:W3CDTF">2023-01-17T18:32:14Z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