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60"/>
        <w:jc w:val="center"/>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60"/>
        <w:jc w:val="center"/>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60"/>
        <w:jc w:val="center"/>
        <w:rPr>
          <w:rFonts w:ascii="宋体;SimSun" w:hAnsi="宋体;SimSun" w:eastAsia="宋体;SimSun" w:cs="Arial" w:hint="eastAsia"/>
          <w:bCs/>
          <w:szCs w:val="32"/>
        </w:rPr>
      </w:pPr>
      <w:r>
        <w:rPr>
          <w:rFonts w:ascii="宋体;SimSun" w:hAnsi="宋体;SimSun" w:cs="Arial" w:hint="eastAsia" w:eastAsia="宋体;SimSun"/>
          <w:bCs/>
          <w:sz w:val="44"/>
          <w:szCs w:val="44"/>
        </w:rPr>
        <w:t>温州市文明行为促进条例</w:t>
      </w:r>
    </w:p>
    <w:p>
      <w:pPr>
        <w:pStyle w:val="Normal"/>
        <w:snapToGrid w:val="false"/>
        <w:spacing w:lineRule="auto" w:line="360"/>
        <w:jc w:val="center"/>
        <w:rPr>
          <w:rFonts w:ascii="宋体;SimSun" w:hAnsi="宋体;SimSun" w:eastAsia="宋体;SimSun" w:cs="Arial" w:hint="eastAsia"/>
          <w:bCs/>
          <w:szCs w:val="32"/>
        </w:rPr>
      </w:pPr>
      <w:r>
        <w:rPr>
          <w:rFonts w:eastAsia="宋体;SimSun" w:cs="Arial" w:hint="eastAsia" w:ascii="宋体;SimSun" w:hAnsi="宋体;SimSun"/>
          <w:bCs/>
          <w:szCs w:val="32"/>
        </w:rPr>
      </w:r>
    </w:p>
    <w:p>
      <w:pPr>
        <w:pStyle w:val="Normal"/>
        <w:spacing w:lineRule="atLeast" w:line="240"/>
        <w:ind w:firstLineChars="0" w:firstLine="0" w:startChars="160" w:endChars="168"/>
        <w:rPr>
          <w:rFonts w:ascii="楷体_GB2312" w:hAnsi="楷体_GB2312" w:eastAsia="楷体_GB2312" w:cs="Arial"/>
          <w:bCs/>
          <w:szCs w:val="32"/>
        </w:rPr>
      </w:pPr>
      <w:r>
        <w:rPr>
          <w:rFonts w:ascii="楷体_GB2312" w:hAnsi="楷体_GB2312" w:cs="Arial" w:hint="eastAsia" w:eastAsia="楷体_GB2312"/>
          <w:bCs/>
          <w:szCs w:val="32"/>
        </w:rPr>
        <w:t>（</w:t>
      </w:r>
      <w:r>
        <w:rPr>
          <w:rFonts w:eastAsia="楷体_GB2312"/>
          <w:bCs/>
          <w:szCs w:val="32"/>
        </w:rPr>
        <w:t>2018</w:t>
      </w:r>
      <w:r>
        <w:rPr>
          <w:rFonts w:eastAsia="楷体_GB2312"/>
          <w:bCs/>
          <w:szCs w:val="32"/>
        </w:rPr>
        <w:t>年</w:t>
      </w:r>
      <w:r>
        <w:rPr>
          <w:rFonts w:eastAsia="楷体_GB2312"/>
          <w:bCs/>
          <w:szCs w:val="32"/>
        </w:rPr>
        <w:t>10</w:t>
      </w:r>
      <w:r>
        <w:rPr>
          <w:rFonts w:eastAsia="楷体_GB2312"/>
          <w:bCs/>
          <w:szCs w:val="32"/>
        </w:rPr>
        <w:t>月</w:t>
      </w:r>
      <w:r>
        <w:rPr>
          <w:rFonts w:eastAsia="楷体_GB2312"/>
          <w:bCs/>
          <w:szCs w:val="32"/>
        </w:rPr>
        <w:t>30</w:t>
      </w:r>
      <w:r>
        <w:rPr>
          <w:rFonts w:ascii="楷体_GB2312" w:hAnsi="楷体_GB2312" w:cs="Arial" w:hint="eastAsia" w:eastAsia="楷体_GB2312"/>
          <w:bCs/>
          <w:szCs w:val="32"/>
        </w:rPr>
        <w:t xml:space="preserve">日温州市第十三届人民代表大会常务委员会第十四次会议通过  </w:t>
      </w:r>
      <w:r>
        <w:rPr>
          <w:rFonts w:eastAsia="楷体_GB2312" w:cs="Arial" w:hint="eastAsia" w:ascii="楷体_GB2312" w:hAnsi="楷体_GB2312"/>
          <w:bCs/>
          <w:szCs w:val="32"/>
        </w:rPr>
        <w:t>2018</w:t>
      </w:r>
      <w:r>
        <w:rPr>
          <w:rFonts w:ascii="楷体_GB2312" w:hAnsi="楷体_GB2312" w:cs="Arial" w:hint="eastAsia" w:eastAsia="楷体_GB2312"/>
          <w:bCs/>
          <w:szCs w:val="32"/>
        </w:rPr>
        <w:t>年</w:t>
      </w:r>
      <w:r>
        <w:rPr>
          <w:rFonts w:eastAsia="楷体_GB2312" w:cs="Arial" w:hint="eastAsia" w:ascii="楷体_GB2312" w:hAnsi="楷体_GB2312"/>
          <w:bCs/>
          <w:szCs w:val="32"/>
        </w:rPr>
        <w:t>11</w:t>
      </w:r>
      <w:r>
        <w:rPr>
          <w:rFonts w:ascii="楷体_GB2312" w:hAnsi="楷体_GB2312" w:cs="Arial" w:hint="eastAsia" w:eastAsia="楷体_GB2312"/>
          <w:bCs/>
          <w:szCs w:val="32"/>
        </w:rPr>
        <w:t>月</w:t>
      </w:r>
      <w:r>
        <w:rPr>
          <w:rFonts w:eastAsia="楷体_GB2312" w:cs="Arial" w:hint="eastAsia" w:ascii="楷体_GB2312" w:hAnsi="楷体_GB2312"/>
          <w:bCs/>
          <w:szCs w:val="32"/>
        </w:rPr>
        <w:t>30</w:t>
      </w:r>
      <w:r>
        <w:rPr>
          <w:rFonts w:ascii="楷体_GB2312" w:hAnsi="楷体_GB2312" w:cs="Arial" w:hint="eastAsia" w:eastAsia="楷体_GB2312"/>
          <w:bCs/>
          <w:szCs w:val="32"/>
        </w:rPr>
        <w:t>日浙江省第十三届人民代表大会常务委员会第七次会议批准）</w:t>
      </w:r>
    </w:p>
    <w:p>
      <w:pPr>
        <w:pStyle w:val="Normal"/>
        <w:snapToGrid w:val="false"/>
        <w:spacing w:lineRule="auto" w:line="360"/>
        <w:rPr>
          <w:rFonts w:ascii="宋体;SimSun" w:hAnsi="宋体;SimSun" w:eastAsia="宋体;SimSun" w:cs="宋体;SimSun"/>
          <w:bCs/>
          <w:szCs w:val="32"/>
        </w:rPr>
      </w:pPr>
      <w:r>
        <w:rPr>
          <w:rFonts w:eastAsia="宋体;SimSun" w:cs="宋体;SimSun" w:ascii="宋体;SimSun" w:hAnsi="宋体;SimSun"/>
          <w:bCs/>
          <w:szCs w:val="32"/>
        </w:rPr>
      </w:r>
    </w:p>
    <w:p>
      <w:pPr>
        <w:pStyle w:val="Normal"/>
        <w:snapToGrid w:val="false"/>
        <w:spacing w:lineRule="auto" w:line="360"/>
        <w:jc w:val="center"/>
        <w:rPr>
          <w:rFonts w:ascii="楷体_GB2312" w:hAnsi="楷体_GB2312" w:eastAsia="楷体_GB2312"/>
          <w:szCs w:val="32"/>
        </w:rPr>
      </w:pPr>
      <w:r>
        <w:rPr>
          <w:rFonts w:ascii="楷体_GB2312" w:hAnsi="楷体_GB2312" w:hint="eastAsia" w:eastAsia="楷体_GB2312"/>
          <w:szCs w:val="32"/>
        </w:rPr>
        <w:t>目    录</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第一章  总则</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第二章  倡导和鼓励的文明行为</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第三章  重点治理的不文明行为</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第四章  实施与保障</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第五章  法律责任</w:t>
      </w:r>
    </w:p>
    <w:p>
      <w:pPr>
        <w:pStyle w:val="Normal"/>
        <w:snapToGrid w:val="false"/>
        <w:spacing w:lineRule="auto" w:line="360"/>
        <w:ind w:firstLineChars="200" w:startChars="0" w:start="0" w:endChars="0" w:end="0"/>
        <w:rPr>
          <w:rFonts w:ascii="楷体_GB2312" w:hAnsi="楷体_GB2312" w:eastAsia="楷体_GB2312"/>
          <w:szCs w:val="32"/>
        </w:rPr>
      </w:pPr>
      <w:r>
        <w:rPr>
          <w:rFonts w:ascii="楷体_GB2312" w:hAnsi="楷体_GB2312" w:hint="eastAsia" w:eastAsia="楷体_GB2312"/>
          <w:szCs w:val="32"/>
        </w:rPr>
        <w:t>第六章  附则</w:t>
      </w:r>
    </w:p>
    <w:p>
      <w:pPr>
        <w:pStyle w:val="Normal"/>
        <w:spacing w:lineRule="exact" w:line="560"/>
        <w:jc w:val="center"/>
        <w:rPr>
          <w:rFonts w:ascii="宋体;SimSun" w:hAnsi="宋体;SimSun" w:eastAsia="宋体;SimSun" w:cs="宋体;SimSun"/>
          <w:szCs w:val="32"/>
        </w:rPr>
      </w:pPr>
      <w:r>
        <w:rPr>
          <w:rFonts w:eastAsia="宋体;SimSun" w:cs="宋体;SimSun" w:ascii="宋体;SimSun" w:hAnsi="宋体;SimSun"/>
          <w:szCs w:val="32"/>
        </w:rPr>
      </w:r>
    </w:p>
    <w:p>
      <w:pPr>
        <w:pStyle w:val="Normal"/>
        <w:spacing w:lineRule="exact" w:line="560"/>
        <w:jc w:val="center"/>
        <w:rPr/>
      </w:pPr>
      <w:r>
        <w:rPr>
          <w:rFonts w:ascii="黑体;SimHei" w:hAnsi="黑体;SimHei" w:cs="黑体;SimHei" w:hint="eastAsia" w:eastAsia="黑体;SimHei"/>
          <w:szCs w:val="32"/>
        </w:rPr>
        <w:t>第一章  总则</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rFonts w:ascii="仿宋_GB2312" w:hAnsi="仿宋_GB2312" w:cs="仿宋"/>
          <w:spacing w:val="-6"/>
          <w:szCs w:val="32"/>
        </w:rPr>
      </w:pPr>
      <w:r>
        <w:rPr>
          <w:rFonts w:ascii="黑体;SimHei" w:hAnsi="黑体;SimHei" w:cs="黑体;SimHei" w:hint="eastAsia" w:eastAsia="黑体;SimHei"/>
          <w:kern w:val="0"/>
          <w:szCs w:val="32"/>
        </w:rPr>
        <w:t xml:space="preserve">第一条  </w:t>
      </w:r>
      <w:r>
        <w:rPr>
          <w:rFonts w:ascii="仿宋_GB2312" w:hAnsi="仿宋_GB2312" w:cs="仿宋" w:hint="eastAsia"/>
          <w:spacing w:val="-6"/>
          <w:szCs w:val="32"/>
        </w:rPr>
        <w:t>为了引导促进文明行为，治理不文明行为，提高文明行为促进工作的保障水平，提升公民文明素质和社会文明程度，培育和践行社会主义核心价值观，根据有关法律、法规，结合本市实际，制定本条例。</w:t>
      </w:r>
    </w:p>
    <w:p>
      <w:pPr>
        <w:pStyle w:val="Normal"/>
        <w:snapToGrid w:val="false"/>
        <w:spacing w:lineRule="auto" w:line="360"/>
        <w:ind w:firstLineChars="200" w:startChars="0" w:start="0" w:endChars="0" w:end="0"/>
        <w:jc w:val="start"/>
        <w:rPr>
          <w:rFonts w:ascii="仿宋_GB2312" w:hAnsi="仿宋_GB2312" w:cs="仿宋"/>
          <w:spacing w:val="-6"/>
          <w:szCs w:val="32"/>
        </w:rPr>
      </w:pPr>
      <w:r>
        <w:rPr>
          <w:rFonts w:ascii="黑体;SimHei" w:hAnsi="黑体;SimHei" w:cs="黑体;SimHei" w:hint="eastAsia" w:eastAsia="黑体;SimHei"/>
          <w:kern w:val="0"/>
          <w:szCs w:val="32"/>
        </w:rPr>
        <w:t xml:space="preserve">第二条  </w:t>
      </w:r>
      <w:r>
        <w:rPr>
          <w:rFonts w:ascii="仿宋_GB2312" w:hAnsi="仿宋_GB2312" w:cs="仿宋" w:hint="eastAsia"/>
          <w:spacing w:val="-6"/>
          <w:szCs w:val="32"/>
        </w:rPr>
        <w:t>本市行政区域内的文明行为促进工作，适用本条例。</w:t>
      </w:r>
    </w:p>
    <w:p>
      <w:pPr>
        <w:pStyle w:val="Normal"/>
        <w:snapToGrid w:val="false"/>
        <w:spacing w:lineRule="auto" w:line="360"/>
        <w:ind w:firstLineChars="200" w:startChars="0" w:start="0" w:endChars="0" w:end="0"/>
        <w:jc w:val="start"/>
        <w:rPr>
          <w:rFonts w:ascii="仿宋_GB2312" w:hAnsi="仿宋_GB2312" w:cs="仿宋"/>
          <w:spacing w:val="-6"/>
          <w:szCs w:val="32"/>
        </w:rPr>
      </w:pPr>
      <w:r>
        <w:rPr>
          <w:rFonts w:ascii="黑体;SimHei" w:hAnsi="黑体;SimHei" w:cs="黑体;SimHei" w:hint="eastAsia" w:eastAsia="黑体;SimHei"/>
          <w:kern w:val="0"/>
          <w:szCs w:val="32"/>
        </w:rPr>
        <w:t xml:space="preserve">第三条  </w:t>
      </w:r>
      <w:r>
        <w:rPr>
          <w:rFonts w:ascii="仿宋_GB2312" w:hAnsi="仿宋_GB2312" w:cs="仿宋" w:hint="eastAsia"/>
          <w:spacing w:val="-6"/>
          <w:szCs w:val="32"/>
        </w:rPr>
        <w:t>文明行为促进工作坚持倡导、鼓励、教育与处罚相结合的原则，构建政府统筹、部门推进、社会共建、全民参与的工作机制。</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第四条  </w:t>
      </w:r>
      <w:r>
        <w:rPr>
          <w:rFonts w:hint="eastAsia"/>
          <w:szCs w:val="32"/>
        </w:rPr>
        <w:t>市、县（市、区）精神文明建设委员会统一领导本行政区域的文明行为促进工作；市、县（市、区）精神文明建设工作指导机构具体负责本行政区域文明行为促进工作的规划实施、指导协调、督促检查和评估通报等。</w:t>
      </w:r>
    </w:p>
    <w:p>
      <w:pPr>
        <w:pStyle w:val="Normal"/>
        <w:snapToGrid w:val="false"/>
        <w:spacing w:lineRule="auto" w:line="360"/>
        <w:ind w:firstLineChars="200" w:startChars="0" w:start="0" w:endChars="0" w:end="0"/>
        <w:jc w:val="start"/>
        <w:rPr>
          <w:szCs w:val="32"/>
        </w:rPr>
      </w:pPr>
      <w:r>
        <w:rPr>
          <w:rFonts w:hint="eastAsia"/>
          <w:szCs w:val="32"/>
        </w:rPr>
        <w:t>市、县（市、区）人民政府及其有关部门，乡（镇）人民政府、街道办事处按照各自职责做好文明行为促进工作。</w:t>
      </w:r>
    </w:p>
    <w:p>
      <w:pPr>
        <w:pStyle w:val="Normal"/>
        <w:snapToGrid w:val="false"/>
        <w:spacing w:lineRule="auto" w:line="360"/>
        <w:ind w:firstLineChars="200" w:startChars="0" w:start="0" w:endChars="0" w:end="0"/>
        <w:jc w:val="start"/>
        <w:rPr>
          <w:szCs w:val="32"/>
        </w:rPr>
      </w:pPr>
      <w:r>
        <w:rPr>
          <w:rFonts w:hint="eastAsia"/>
          <w:szCs w:val="32"/>
        </w:rPr>
        <w:t>村民（居民）委员会、社区组织协助做好本辖区文明行为促进工作。</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第五条  </w:t>
      </w:r>
      <w:r>
        <w:rPr>
          <w:rFonts w:hint="eastAsia"/>
          <w:szCs w:val="32"/>
        </w:rPr>
        <w:t>国家机关、企事业单位、社会团体、其他组织和公民应当积极参与文明行为促进工作。</w:t>
      </w:r>
    </w:p>
    <w:p>
      <w:pPr>
        <w:pStyle w:val="Normal"/>
        <w:snapToGrid w:val="false"/>
        <w:spacing w:lineRule="auto" w:line="360"/>
        <w:ind w:firstLineChars="200" w:startChars="0" w:start="0" w:endChars="0" w:end="0"/>
        <w:jc w:val="start"/>
        <w:rPr>
          <w:szCs w:val="32"/>
        </w:rPr>
      </w:pPr>
      <w:r>
        <w:rPr>
          <w:rFonts w:hint="eastAsia"/>
          <w:szCs w:val="32"/>
        </w:rPr>
        <w:t>公职人员应当在文明行为促进工作中发挥表率作用。</w:t>
      </w:r>
    </w:p>
    <w:p>
      <w:pPr>
        <w:pStyle w:val="Normal"/>
        <w:snapToGrid w:val="false"/>
        <w:spacing w:lineRule="auto" w:line="360"/>
        <w:ind w:firstLineChars="200" w:startChars="0" w:start="0" w:endChars="0" w:end="0"/>
        <w:jc w:val="start"/>
        <w:rPr>
          <w:rFonts w:hint="eastAsia"/>
          <w:szCs w:val="32"/>
        </w:rPr>
      </w:pPr>
      <w:r>
        <w:rPr>
          <w:rFonts w:hint="eastAsia"/>
          <w:szCs w:val="32"/>
        </w:rPr>
        <w:t>任何单位和个人有权对不文明行为进行劝阻、制止、举报、投诉。</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第二章  倡导和鼓励的文明行为</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第六条  </w:t>
      </w:r>
      <w:r>
        <w:rPr>
          <w:rFonts w:hint="eastAsia"/>
          <w:szCs w:val="32"/>
        </w:rPr>
        <w:t>公民应当践行社会主义核心价值观，爱国敬业，遵纪守法，明理善德，弘扬传统美德、社会公德、家庭美德，提升个人品德，倡导下列行为：</w:t>
      </w:r>
    </w:p>
    <w:p>
      <w:pPr>
        <w:pStyle w:val="Normal"/>
        <w:snapToGrid w:val="false"/>
        <w:spacing w:lineRule="auto" w:line="360"/>
        <w:ind w:firstLineChars="200" w:startChars="0" w:start="0" w:endChars="0" w:end="0"/>
        <w:jc w:val="start"/>
        <w:rPr>
          <w:szCs w:val="32"/>
        </w:rPr>
      </w:pPr>
      <w:r>
        <w:rPr>
          <w:rFonts w:hint="eastAsia"/>
          <w:szCs w:val="32"/>
        </w:rPr>
        <w:t>（一）保护生态，珍惜资源，低碳生活，垃圾分类投放；</w:t>
      </w:r>
    </w:p>
    <w:p>
      <w:pPr>
        <w:pStyle w:val="Normal"/>
        <w:snapToGrid w:val="false"/>
        <w:spacing w:lineRule="auto" w:line="360"/>
        <w:ind w:firstLineChars="200" w:startChars="0" w:start="0" w:endChars="0" w:end="0"/>
        <w:jc w:val="start"/>
        <w:rPr>
          <w:szCs w:val="32"/>
        </w:rPr>
      </w:pPr>
      <w:r>
        <w:rPr>
          <w:rFonts w:hint="eastAsia"/>
          <w:szCs w:val="32"/>
        </w:rPr>
        <w:t>（二）文明出行，礼让为先；</w:t>
      </w:r>
    </w:p>
    <w:p>
      <w:pPr>
        <w:pStyle w:val="Normal"/>
        <w:snapToGrid w:val="false"/>
        <w:spacing w:lineRule="auto" w:line="360"/>
        <w:ind w:firstLineChars="200" w:startChars="0" w:start="0" w:endChars="0" w:end="0"/>
        <w:jc w:val="start"/>
        <w:rPr>
          <w:szCs w:val="32"/>
        </w:rPr>
      </w:pPr>
      <w:r>
        <w:rPr>
          <w:rFonts w:hint="eastAsia"/>
          <w:szCs w:val="32"/>
        </w:rPr>
        <w:t>（三）等候服务，自觉排队；</w:t>
      </w:r>
    </w:p>
    <w:p>
      <w:pPr>
        <w:pStyle w:val="Normal"/>
        <w:snapToGrid w:val="false"/>
        <w:spacing w:lineRule="auto" w:line="360"/>
        <w:ind w:firstLineChars="200" w:startChars="0" w:start="0" w:endChars="0" w:end="0"/>
        <w:jc w:val="start"/>
        <w:rPr>
          <w:szCs w:val="32"/>
        </w:rPr>
      </w:pPr>
      <w:r>
        <w:rPr>
          <w:rFonts w:hint="eastAsia"/>
          <w:szCs w:val="32"/>
        </w:rPr>
        <w:t>（四）在公共场所衣着得体，举止端庄，不大声喧哗；</w:t>
      </w:r>
    </w:p>
    <w:p>
      <w:pPr>
        <w:pStyle w:val="Normal"/>
        <w:snapToGrid w:val="false"/>
        <w:spacing w:lineRule="auto" w:line="360"/>
        <w:ind w:firstLineChars="200" w:startChars="0" w:start="0" w:endChars="0" w:end="0"/>
        <w:jc w:val="start"/>
        <w:rPr>
          <w:szCs w:val="32"/>
        </w:rPr>
      </w:pPr>
      <w:r>
        <w:rPr>
          <w:rFonts w:hint="eastAsia"/>
          <w:szCs w:val="32"/>
        </w:rPr>
        <w:t>（五）友善宽容，邻里和谐，勤俭持家，家庭和美；</w:t>
      </w:r>
    </w:p>
    <w:p>
      <w:pPr>
        <w:pStyle w:val="Normal"/>
        <w:snapToGrid w:val="false"/>
        <w:spacing w:lineRule="auto" w:line="360"/>
        <w:ind w:firstLineChars="200" w:startChars="0" w:start="0" w:endChars="0" w:end="0"/>
        <w:jc w:val="start"/>
        <w:rPr>
          <w:szCs w:val="32"/>
        </w:rPr>
      </w:pPr>
      <w:r>
        <w:rPr>
          <w:rFonts w:hint="eastAsia"/>
          <w:szCs w:val="32"/>
        </w:rPr>
        <w:t>（六）文明装修，合法合理使用共有空间；</w:t>
      </w:r>
    </w:p>
    <w:p>
      <w:pPr>
        <w:pStyle w:val="Normal"/>
        <w:snapToGrid w:val="false"/>
        <w:spacing w:lineRule="auto" w:line="360"/>
        <w:ind w:firstLineChars="200" w:startChars="0" w:start="0" w:endChars="0" w:end="0"/>
        <w:jc w:val="start"/>
        <w:rPr>
          <w:szCs w:val="32"/>
        </w:rPr>
      </w:pPr>
      <w:r>
        <w:rPr>
          <w:rFonts w:hint="eastAsia"/>
          <w:szCs w:val="32"/>
        </w:rPr>
        <w:t>（七）尊老爱幼，热心公益，</w:t>
      </w:r>
      <w:r>
        <w:rPr>
          <w:szCs w:val="32"/>
        </w:rPr>
        <w:t>乐善好施</w:t>
      </w:r>
      <w:r>
        <w:rPr>
          <w:rFonts w:hint="eastAsia"/>
          <w:szCs w:val="32"/>
        </w:rPr>
        <w:t>；</w:t>
      </w:r>
    </w:p>
    <w:p>
      <w:pPr>
        <w:pStyle w:val="Normal"/>
        <w:snapToGrid w:val="false"/>
        <w:spacing w:lineRule="auto" w:line="360"/>
        <w:ind w:firstLineChars="200" w:startChars="0" w:start="0" w:endChars="0" w:end="0"/>
        <w:jc w:val="start"/>
        <w:rPr>
          <w:szCs w:val="32"/>
        </w:rPr>
      </w:pPr>
      <w:r>
        <w:rPr>
          <w:rFonts w:hint="eastAsia"/>
          <w:szCs w:val="32"/>
        </w:rPr>
        <w:t>（八）移风易俗，文明节庆，喜事简办，厚养薄葬；</w:t>
      </w:r>
    </w:p>
    <w:p>
      <w:pPr>
        <w:pStyle w:val="Normal"/>
        <w:snapToGrid w:val="false"/>
        <w:spacing w:lineRule="auto" w:line="360"/>
        <w:ind w:firstLineChars="200" w:startChars="0" w:start="0" w:endChars="0" w:end="0"/>
        <w:jc w:val="start"/>
        <w:rPr>
          <w:szCs w:val="32"/>
        </w:rPr>
      </w:pPr>
      <w:r>
        <w:rPr>
          <w:rFonts w:hint="eastAsia"/>
          <w:szCs w:val="32"/>
        </w:rPr>
        <w:t>（九）文明旅游，尊重习俗，爱护文物；</w:t>
      </w:r>
    </w:p>
    <w:p>
      <w:pPr>
        <w:pStyle w:val="Normal"/>
        <w:snapToGrid w:val="false"/>
        <w:spacing w:lineRule="auto" w:line="360"/>
        <w:ind w:firstLineChars="200" w:startChars="0" w:start="0" w:endChars="0" w:end="0"/>
        <w:jc w:val="start"/>
        <w:rPr>
          <w:szCs w:val="32"/>
        </w:rPr>
      </w:pPr>
      <w:r>
        <w:rPr>
          <w:rFonts w:hint="eastAsia"/>
          <w:szCs w:val="32"/>
        </w:rPr>
        <w:t>（十）诚实守信，依法经营；</w:t>
      </w:r>
    </w:p>
    <w:p>
      <w:pPr>
        <w:pStyle w:val="Normal"/>
        <w:snapToGrid w:val="false"/>
        <w:spacing w:lineRule="auto" w:line="360"/>
        <w:ind w:firstLineChars="200" w:startChars="0" w:start="0" w:endChars="0" w:end="0"/>
        <w:jc w:val="start"/>
        <w:rPr>
          <w:szCs w:val="32"/>
        </w:rPr>
      </w:pPr>
      <w:r>
        <w:rPr>
          <w:rFonts w:hint="eastAsia"/>
          <w:szCs w:val="32"/>
        </w:rPr>
        <w:t>（十一）尊重劳动，平等待人；</w:t>
      </w:r>
    </w:p>
    <w:p>
      <w:pPr>
        <w:pStyle w:val="Normal"/>
        <w:snapToGrid w:val="false"/>
        <w:spacing w:lineRule="auto" w:line="360"/>
        <w:ind w:firstLineChars="200" w:startChars="0" w:start="0" w:endChars="0" w:end="0"/>
        <w:jc w:val="start"/>
        <w:rPr>
          <w:szCs w:val="32"/>
        </w:rPr>
      </w:pPr>
      <w:r>
        <w:rPr>
          <w:rFonts w:hint="eastAsia"/>
          <w:szCs w:val="32"/>
        </w:rPr>
        <w:t>（十二）文明用餐，绿色消费；</w:t>
      </w:r>
    </w:p>
    <w:p>
      <w:pPr>
        <w:pStyle w:val="Normal"/>
        <w:snapToGrid w:val="false"/>
        <w:spacing w:lineRule="auto" w:line="360"/>
        <w:ind w:firstLineChars="200" w:startChars="0" w:start="0" w:endChars="0" w:end="0"/>
        <w:jc w:val="start"/>
        <w:rPr>
          <w:szCs w:val="32"/>
        </w:rPr>
      </w:pPr>
      <w:r>
        <w:rPr>
          <w:rFonts w:hint="eastAsia"/>
          <w:szCs w:val="32"/>
        </w:rPr>
        <w:t>（十三）文明上网，保护隐私，谣言不传，妄语不言；</w:t>
      </w:r>
    </w:p>
    <w:p>
      <w:pPr>
        <w:pStyle w:val="Normal"/>
        <w:snapToGrid w:val="false"/>
        <w:spacing w:lineRule="auto" w:line="360"/>
        <w:ind w:firstLineChars="200" w:startChars="0" w:start="0" w:endChars="0" w:end="0"/>
        <w:jc w:val="start"/>
        <w:rPr>
          <w:szCs w:val="32"/>
        </w:rPr>
      </w:pPr>
      <w:r>
        <w:rPr>
          <w:rFonts w:hint="eastAsia"/>
          <w:szCs w:val="32"/>
        </w:rPr>
        <w:t>（十四）文明如厕，及时冲刷，保持清洁；</w:t>
      </w:r>
    </w:p>
    <w:p>
      <w:pPr>
        <w:pStyle w:val="Normal"/>
        <w:snapToGrid w:val="false"/>
        <w:spacing w:lineRule="auto" w:line="360"/>
        <w:ind w:firstLineChars="200" w:startChars="0" w:start="0" w:endChars="0" w:end="0"/>
        <w:jc w:val="start"/>
        <w:rPr>
          <w:szCs w:val="32"/>
        </w:rPr>
      </w:pPr>
      <w:r>
        <w:rPr>
          <w:rFonts w:hint="eastAsia"/>
          <w:szCs w:val="32"/>
        </w:rPr>
        <w:t>（十五）其他有益于促进社会文明的行为。</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第七条  </w:t>
      </w:r>
      <w:r>
        <w:rPr>
          <w:rFonts w:hint="eastAsia"/>
          <w:szCs w:val="32"/>
        </w:rPr>
        <w:t>鼓励、支持和保护公民采取合法、适当的方式实施见义勇为行为。</w:t>
      </w:r>
    </w:p>
    <w:p>
      <w:pPr>
        <w:pStyle w:val="Normal"/>
        <w:snapToGrid w:val="false"/>
        <w:spacing w:lineRule="auto" w:line="360"/>
        <w:ind w:firstLineChars="200" w:startChars="0" w:start="0" w:endChars="0" w:end="0"/>
        <w:jc w:val="start"/>
        <w:rPr>
          <w:szCs w:val="32"/>
        </w:rPr>
      </w:pPr>
      <w:r>
        <w:rPr>
          <w:rFonts w:hint="eastAsia"/>
          <w:szCs w:val="32"/>
        </w:rPr>
        <w:t>鼓励和支持国家机关、企事业单位、社会团体和其他组织开展应急救护技能培训；鼓励公民对需要急救的人员提供必要的帮助，鼓励具备应急救护技能的公民实施紧急现场救护。</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第八条  </w:t>
      </w:r>
      <w:r>
        <w:rPr>
          <w:rFonts w:hint="eastAsia"/>
          <w:szCs w:val="32"/>
        </w:rPr>
        <w:t>鼓励和支持公民无偿献血和捐献造血干细胞、遗体、人体器官（组织）。</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第九条  </w:t>
      </w:r>
      <w:r>
        <w:rPr>
          <w:rFonts w:hint="eastAsia"/>
          <w:szCs w:val="32"/>
        </w:rPr>
        <w:t>鼓励单位和个人开展扶老、助残、救孤、济困、助学、赈灾、医疗救助等慈善活动。</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第十条  </w:t>
      </w:r>
      <w:r>
        <w:rPr>
          <w:rFonts w:hint="eastAsia"/>
          <w:szCs w:val="32"/>
        </w:rPr>
        <w:t>鼓励和支持公民参加志愿服务活动、依法设立志愿服务组织。</w:t>
      </w:r>
    </w:p>
    <w:p>
      <w:pPr>
        <w:pStyle w:val="Normal"/>
        <w:snapToGrid w:val="false"/>
        <w:spacing w:lineRule="auto" w:line="360"/>
        <w:ind w:firstLineChars="200" w:startChars="0" w:start="0" w:endChars="0" w:end="0"/>
        <w:jc w:val="start"/>
        <w:rPr>
          <w:szCs w:val="32"/>
        </w:rPr>
      </w:pPr>
      <w:r>
        <w:rPr>
          <w:rFonts w:hint="eastAsia"/>
          <w:szCs w:val="32"/>
        </w:rPr>
        <w:t>鼓励有关单位支持职工参加志愿服务活动，提供必要的便利和保障。</w:t>
      </w:r>
    </w:p>
    <w:p>
      <w:pPr>
        <w:pStyle w:val="Normal"/>
        <w:snapToGrid w:val="false"/>
        <w:spacing w:lineRule="auto" w:line="360"/>
        <w:ind w:firstLineChars="200" w:startChars="0" w:start="0" w:endChars="0" w:end="0"/>
        <w:jc w:val="start"/>
        <w:rPr>
          <w:szCs w:val="32"/>
        </w:rPr>
      </w:pPr>
      <w:r>
        <w:rPr>
          <w:rFonts w:hint="eastAsia"/>
          <w:szCs w:val="32"/>
        </w:rPr>
        <w:t>鼓励和支持高等学校、中等职业学校将学生参与志愿服务活动纳入实践学分管理。</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第十一条  </w:t>
      </w:r>
      <w:r>
        <w:rPr>
          <w:rFonts w:hint="eastAsia"/>
          <w:szCs w:val="32"/>
        </w:rPr>
        <w:t>鼓励和支持设立民间道德奖项，对有关文明行为进行奖励。</w:t>
      </w:r>
    </w:p>
    <w:p>
      <w:pPr>
        <w:pStyle w:val="Normal"/>
        <w:snapToGrid w:val="false"/>
        <w:spacing w:lineRule="auto" w:line="360"/>
        <w:ind w:firstLineChars="200" w:startChars="0" w:start="0" w:endChars="0" w:end="0"/>
        <w:jc w:val="start"/>
        <w:rPr>
          <w:szCs w:val="32"/>
        </w:rPr>
      </w:pPr>
      <w:r>
        <w:rPr>
          <w:rFonts w:hint="eastAsia"/>
          <w:szCs w:val="32"/>
        </w:rPr>
        <w:t>鼓励用人单位对职工文明行为进行奖励。</w:t>
      </w:r>
    </w:p>
    <w:p>
      <w:pPr>
        <w:pStyle w:val="Normal"/>
        <w:snapToGrid w:val="false"/>
        <w:spacing w:lineRule="auto" w:line="360"/>
        <w:ind w:firstLineChars="200" w:startChars="0" w:start="0" w:endChars="0" w:end="0"/>
        <w:jc w:val="start"/>
        <w:rPr>
          <w:rFonts w:hint="eastAsia"/>
          <w:szCs w:val="32"/>
        </w:rPr>
      </w:pPr>
      <w:r>
        <w:rPr>
          <w:rFonts w:hint="eastAsia"/>
          <w:szCs w:val="32"/>
        </w:rPr>
        <w:t>鼓励用人单位在同等条件下优先录用或者聘用获得县级以上见义勇为勇士、道德模范、优秀志愿者等称号的先进人物。</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第三章  重点治理的不文明行为</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第十二条  </w:t>
      </w:r>
      <w:r>
        <w:rPr>
          <w:rFonts w:hint="eastAsia"/>
          <w:szCs w:val="32"/>
        </w:rPr>
        <w:t>禁止下列影响交通的不文明行为：</w:t>
      </w:r>
    </w:p>
    <w:p>
      <w:pPr>
        <w:pStyle w:val="Normal"/>
        <w:snapToGrid w:val="false"/>
        <w:spacing w:lineRule="auto" w:line="360"/>
        <w:ind w:firstLineChars="200" w:startChars="0" w:start="0" w:endChars="0" w:end="0"/>
        <w:jc w:val="start"/>
        <w:rPr>
          <w:szCs w:val="32"/>
        </w:rPr>
      </w:pPr>
      <w:r>
        <w:rPr>
          <w:rFonts w:hint="eastAsia"/>
          <w:szCs w:val="32"/>
        </w:rPr>
        <w:t xml:space="preserve">（一）驾驶机动车不按规定车道行驶、随意变更车道或者变更车道、超车不提前开启转向灯； </w:t>
      </w:r>
    </w:p>
    <w:p>
      <w:pPr>
        <w:pStyle w:val="Normal"/>
        <w:snapToGrid w:val="false"/>
        <w:spacing w:lineRule="auto" w:line="360"/>
        <w:ind w:firstLineChars="200" w:startChars="0" w:start="0" w:endChars="0" w:end="0"/>
        <w:jc w:val="start"/>
        <w:rPr>
          <w:szCs w:val="32"/>
        </w:rPr>
      </w:pPr>
      <w:r>
        <w:rPr>
          <w:rFonts w:hint="eastAsia"/>
          <w:szCs w:val="32"/>
        </w:rPr>
        <w:t>（二）机动车在遇有交通阻塞或者前方车辆缓慢行驶时，随意穿插或者超越行驶；</w:t>
      </w:r>
    </w:p>
    <w:p>
      <w:pPr>
        <w:pStyle w:val="Normal"/>
        <w:snapToGrid w:val="false"/>
        <w:spacing w:lineRule="auto" w:line="360"/>
        <w:ind w:firstLineChars="200" w:startChars="0" w:start="0" w:endChars="0" w:end="0"/>
        <w:jc w:val="start"/>
        <w:rPr>
          <w:szCs w:val="32"/>
        </w:rPr>
      </w:pPr>
      <w:r>
        <w:rPr>
          <w:rFonts w:hint="eastAsia"/>
          <w:szCs w:val="32"/>
        </w:rPr>
        <w:t>（三）机动车行经积水路段未低速通行，影响其他车辆或者行人安全；</w:t>
      </w:r>
    </w:p>
    <w:p>
      <w:pPr>
        <w:pStyle w:val="Normal"/>
        <w:snapToGrid w:val="false"/>
        <w:spacing w:lineRule="auto" w:line="360"/>
        <w:ind w:firstLineChars="200" w:startChars="0" w:start="0" w:endChars="0" w:end="0"/>
        <w:jc w:val="start"/>
        <w:rPr>
          <w:szCs w:val="32"/>
        </w:rPr>
      </w:pPr>
      <w:r>
        <w:rPr>
          <w:rFonts w:hint="eastAsia"/>
          <w:szCs w:val="32"/>
        </w:rPr>
        <w:t>（四）机动车不按停车泊位的标识方向停放；</w:t>
      </w:r>
    </w:p>
    <w:p>
      <w:pPr>
        <w:pStyle w:val="Normal"/>
        <w:snapToGrid w:val="false"/>
        <w:spacing w:lineRule="auto" w:line="360"/>
        <w:ind w:firstLineChars="200" w:startChars="0" w:start="0" w:endChars="0" w:end="0"/>
        <w:jc w:val="start"/>
        <w:rPr>
          <w:color w:val="FF0000"/>
          <w:szCs w:val="32"/>
        </w:rPr>
      </w:pPr>
      <w:r>
        <w:rPr>
          <w:rFonts w:hint="eastAsia"/>
          <w:szCs w:val="32"/>
        </w:rPr>
        <w:t>（五）驾驶机动车、电动自行车时</w:t>
      </w:r>
      <w:r>
        <w:rPr>
          <w:szCs w:val="32"/>
        </w:rPr>
        <w:t>以手持方式使用电话</w:t>
      </w:r>
      <w:r>
        <w:rPr>
          <w:rFonts w:hint="eastAsia"/>
          <w:szCs w:val="32"/>
        </w:rPr>
        <w:t>；</w:t>
      </w:r>
    </w:p>
    <w:p>
      <w:pPr>
        <w:pStyle w:val="Normal"/>
        <w:snapToGrid w:val="false"/>
        <w:spacing w:lineRule="auto" w:line="360"/>
        <w:ind w:firstLineChars="200" w:startChars="0" w:start="0" w:endChars="0" w:end="0"/>
        <w:jc w:val="start"/>
        <w:rPr>
          <w:szCs w:val="32"/>
        </w:rPr>
      </w:pPr>
      <w:r>
        <w:rPr>
          <w:rFonts w:hint="eastAsia"/>
          <w:szCs w:val="32"/>
        </w:rPr>
        <w:t>（六）驾驶电动自行车逆向行驶、闯红灯；</w:t>
      </w:r>
    </w:p>
    <w:p>
      <w:pPr>
        <w:pStyle w:val="Normal"/>
        <w:snapToGrid w:val="false"/>
        <w:spacing w:lineRule="auto" w:line="360"/>
        <w:ind w:firstLineChars="200" w:startChars="0" w:start="0" w:endChars="0" w:end="0"/>
        <w:jc w:val="start"/>
        <w:rPr>
          <w:szCs w:val="32"/>
        </w:rPr>
      </w:pPr>
      <w:r>
        <w:rPr>
          <w:rFonts w:hint="eastAsia"/>
          <w:szCs w:val="32"/>
        </w:rPr>
        <w:t>（七）驾驶电动自行车未佩戴安全头盔；</w:t>
      </w:r>
    </w:p>
    <w:p>
      <w:pPr>
        <w:pStyle w:val="Normal"/>
        <w:snapToGrid w:val="false"/>
        <w:spacing w:lineRule="auto" w:line="360"/>
        <w:ind w:firstLineChars="200" w:startChars="0" w:start="0" w:endChars="0" w:end="0"/>
        <w:jc w:val="start"/>
        <w:rPr>
          <w:szCs w:val="32"/>
        </w:rPr>
      </w:pPr>
      <w:r>
        <w:rPr>
          <w:rFonts w:hint="eastAsia"/>
          <w:szCs w:val="32"/>
        </w:rPr>
        <w:t>（八）行人跨越道路隔离设施；</w:t>
      </w:r>
    </w:p>
    <w:p>
      <w:pPr>
        <w:pStyle w:val="Normal"/>
        <w:snapToGrid w:val="false"/>
        <w:spacing w:lineRule="auto" w:line="360"/>
        <w:ind w:firstLineChars="200" w:startChars="0" w:start="0" w:endChars="0" w:end="0"/>
        <w:jc w:val="start"/>
        <w:rPr>
          <w:szCs w:val="32"/>
        </w:rPr>
      </w:pPr>
      <w:r>
        <w:rPr>
          <w:rFonts w:hint="eastAsia"/>
          <w:szCs w:val="32"/>
        </w:rPr>
        <w:t>（九）行人通过路口或者横穿道路时低头看手机、嬉戏等，影响其他车辆或者行人通行；</w:t>
      </w:r>
    </w:p>
    <w:p>
      <w:pPr>
        <w:pStyle w:val="Normal"/>
        <w:snapToGrid w:val="false"/>
        <w:spacing w:lineRule="auto" w:line="360"/>
        <w:ind w:firstLineChars="200" w:startChars="0" w:start="0" w:endChars="0" w:end="0"/>
        <w:jc w:val="start"/>
        <w:rPr>
          <w:szCs w:val="32"/>
        </w:rPr>
      </w:pPr>
      <w:r>
        <w:rPr>
          <w:rFonts w:hint="eastAsia"/>
          <w:szCs w:val="32"/>
        </w:rPr>
        <w:t>（十）占用公共免费停车泊位持续停放车辆或者在住宅小区等物业管理区域持续停放车辆影响其他业主。</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第十三条  </w:t>
      </w:r>
      <w:r>
        <w:rPr>
          <w:rFonts w:hint="eastAsia"/>
          <w:szCs w:val="32"/>
        </w:rPr>
        <w:t>禁止下列影响公共环境的不文明行为：</w:t>
      </w:r>
    </w:p>
    <w:p>
      <w:pPr>
        <w:pStyle w:val="Normal"/>
        <w:snapToGrid w:val="false"/>
        <w:spacing w:lineRule="auto" w:line="360"/>
        <w:ind w:firstLineChars="200" w:startChars="0" w:start="0" w:endChars="0" w:end="0"/>
        <w:jc w:val="start"/>
        <w:rPr>
          <w:szCs w:val="32"/>
        </w:rPr>
      </w:pPr>
      <w:r>
        <w:rPr>
          <w:rFonts w:hint="eastAsia"/>
          <w:szCs w:val="32"/>
        </w:rPr>
        <w:t>（一）乱扔垃圾，随地吐痰、便溺；</w:t>
      </w:r>
    </w:p>
    <w:p>
      <w:pPr>
        <w:pStyle w:val="Normal"/>
        <w:snapToGrid w:val="false"/>
        <w:spacing w:lineRule="auto" w:line="360"/>
        <w:ind w:firstLineChars="200" w:startChars="0" w:start="0" w:endChars="0" w:end="0"/>
        <w:jc w:val="start"/>
        <w:rPr>
          <w:szCs w:val="32"/>
        </w:rPr>
      </w:pPr>
      <w:r>
        <w:rPr>
          <w:rFonts w:hint="eastAsia"/>
          <w:szCs w:val="32"/>
        </w:rPr>
        <w:t>（二）在树木、电杆、建（构）筑物外墙或者其他设施上张贴、涂写、刻画、张挂；</w:t>
      </w:r>
    </w:p>
    <w:p>
      <w:pPr>
        <w:pStyle w:val="Normal"/>
        <w:snapToGrid w:val="false"/>
        <w:spacing w:lineRule="auto" w:line="360"/>
        <w:ind w:firstLineChars="200" w:startChars="0" w:start="0" w:endChars="0" w:end="0"/>
        <w:jc w:val="start"/>
        <w:rPr>
          <w:szCs w:val="32"/>
        </w:rPr>
      </w:pPr>
      <w:r>
        <w:rPr>
          <w:rFonts w:hint="eastAsia"/>
          <w:szCs w:val="32"/>
        </w:rPr>
        <w:t>（三）驾驶人、乘车人向车外抛撒垃圾或者其他物品；</w:t>
      </w:r>
    </w:p>
    <w:p>
      <w:pPr>
        <w:pStyle w:val="Normal"/>
        <w:snapToGrid w:val="false"/>
        <w:spacing w:lineRule="auto" w:line="360"/>
        <w:ind w:firstLineChars="200" w:startChars="0" w:start="0" w:endChars="0" w:end="0"/>
        <w:jc w:val="start"/>
        <w:rPr>
          <w:szCs w:val="32"/>
        </w:rPr>
      </w:pPr>
      <w:r>
        <w:rPr>
          <w:rFonts w:hint="eastAsia"/>
          <w:szCs w:val="32"/>
        </w:rPr>
        <w:t>（四）未经同意或者请求，向住宅发送广告；</w:t>
      </w:r>
    </w:p>
    <w:p>
      <w:pPr>
        <w:pStyle w:val="Normal"/>
        <w:snapToGrid w:val="false"/>
        <w:spacing w:lineRule="auto" w:line="360"/>
        <w:ind w:firstLineChars="200" w:startChars="0" w:start="0" w:endChars="0" w:end="0"/>
        <w:jc w:val="start"/>
        <w:rPr>
          <w:szCs w:val="32"/>
        </w:rPr>
      </w:pPr>
      <w:r>
        <w:rPr>
          <w:rFonts w:hint="eastAsia"/>
          <w:szCs w:val="32"/>
        </w:rPr>
        <w:t>（五）在法律、法规、规章规定的禁止吸烟区域和市、县（市、区）人民政府划定的禁止吸烟区域吸烟；</w:t>
      </w:r>
    </w:p>
    <w:p>
      <w:pPr>
        <w:pStyle w:val="Normal"/>
        <w:snapToGrid w:val="false"/>
        <w:spacing w:lineRule="auto" w:line="360"/>
        <w:ind w:firstLineChars="200" w:startChars="0" w:start="0" w:endChars="0" w:end="0"/>
        <w:jc w:val="start"/>
        <w:rPr>
          <w:szCs w:val="32"/>
        </w:rPr>
      </w:pPr>
      <w:r>
        <w:rPr>
          <w:rFonts w:hint="eastAsia"/>
          <w:szCs w:val="32"/>
        </w:rPr>
        <w:t>（六）在法律、法规、规章规定的禁止燃放烟花爆竹的区域和市、县（市、区）人民政府规定的禁止燃放烟花爆竹的时间和区域燃放烟花爆竹。</w:t>
      </w:r>
    </w:p>
    <w:p>
      <w:pPr>
        <w:pStyle w:val="Normal"/>
        <w:snapToGrid w:val="false"/>
        <w:spacing w:lineRule="auto" w:line="360"/>
        <w:ind w:firstLineChars="200" w:startChars="0" w:start="0" w:endChars="0" w:end="0"/>
        <w:rPr>
          <w:szCs w:val="32"/>
        </w:rPr>
      </w:pPr>
      <w:r>
        <w:rPr>
          <w:rFonts w:ascii="黑体;SimHei" w:hAnsi="黑体;SimHei" w:cs="黑体;SimHei" w:hint="eastAsia" w:eastAsia="黑体;SimHei"/>
          <w:kern w:val="0"/>
          <w:szCs w:val="32"/>
        </w:rPr>
        <w:t xml:space="preserve">第十四条  </w:t>
      </w:r>
      <w:r>
        <w:rPr>
          <w:rFonts w:hint="eastAsia"/>
          <w:szCs w:val="32"/>
        </w:rPr>
        <w:t>禁止下列影响公共秩序的不文明行为：</w:t>
      </w:r>
    </w:p>
    <w:p>
      <w:pPr>
        <w:pStyle w:val="Normal"/>
        <w:snapToGrid w:val="false"/>
        <w:spacing w:lineRule="auto" w:line="360"/>
        <w:ind w:firstLineChars="200" w:startChars="0" w:start="0" w:endChars="0" w:end="0"/>
        <w:rPr>
          <w:szCs w:val="32"/>
        </w:rPr>
      </w:pPr>
      <w:r>
        <w:rPr>
          <w:rFonts w:hint="eastAsia"/>
          <w:szCs w:val="32"/>
        </w:rPr>
        <w:t>（一）在限养区内饲养烈性犬和大型犬、携带犬只出户未采取束牵引带等安全措施、未清理犬只粪便；</w:t>
      </w:r>
    </w:p>
    <w:p>
      <w:pPr>
        <w:pStyle w:val="Normal"/>
        <w:snapToGrid w:val="false"/>
        <w:spacing w:lineRule="auto" w:line="360"/>
        <w:ind w:firstLineChars="200" w:startChars="0" w:start="0" w:endChars="0" w:end="0"/>
        <w:jc w:val="start"/>
        <w:rPr>
          <w:szCs w:val="32"/>
        </w:rPr>
      </w:pPr>
      <w:r>
        <w:rPr>
          <w:rFonts w:hint="eastAsia"/>
          <w:szCs w:val="32"/>
        </w:rPr>
        <w:t>（二）开展商业活动、集会和广场舞等娱乐活动时</w:t>
      </w:r>
      <w:r>
        <w:rPr>
          <w:rFonts w:hint="eastAsia"/>
          <w:b/>
          <w:szCs w:val="32"/>
        </w:rPr>
        <w:t>，</w:t>
      </w:r>
      <w:r>
        <w:rPr>
          <w:rFonts w:hint="eastAsia"/>
          <w:szCs w:val="32"/>
        </w:rPr>
        <w:t>使用音响设备产生超过国家标准的噪音，干扰他人生活。</w:t>
      </w:r>
    </w:p>
    <w:p>
      <w:pPr>
        <w:pStyle w:val="Normal"/>
        <w:snapToGrid w:val="false"/>
        <w:spacing w:lineRule="auto" w:line="360"/>
        <w:ind w:firstLineChars="200" w:startChars="0" w:start="0" w:endChars="0" w:end="0"/>
        <w:rPr>
          <w:szCs w:val="32"/>
        </w:rPr>
      </w:pPr>
      <w:r>
        <w:rPr>
          <w:rFonts w:hint="eastAsia"/>
          <w:szCs w:val="32"/>
        </w:rPr>
        <w:t>前款第一项规定的限养区</w:t>
      </w:r>
      <w:r>
        <w:rPr>
          <w:rFonts w:hint="eastAsia"/>
          <w:spacing w:val="-60"/>
          <w:kern w:val="0"/>
          <w:szCs w:val="32"/>
        </w:rPr>
        <w:t>，</w:t>
      </w:r>
      <w:r>
        <w:rPr>
          <w:rFonts w:hint="eastAsia"/>
          <w:szCs w:val="32"/>
        </w:rPr>
        <w:t>由市</w:t>
      </w:r>
      <w:r>
        <w:rPr>
          <w:rFonts w:hint="eastAsia"/>
          <w:spacing w:val="-60"/>
          <w:kern w:val="0"/>
          <w:szCs w:val="32"/>
        </w:rPr>
        <w:t>、</w:t>
      </w:r>
      <w:r>
        <w:rPr>
          <w:rFonts w:hint="eastAsia"/>
          <w:szCs w:val="32"/>
        </w:rPr>
        <w:t>县（市</w:t>
      </w:r>
      <w:r>
        <w:rPr>
          <w:rFonts w:hint="eastAsia"/>
          <w:spacing w:val="-60"/>
          <w:kern w:val="0"/>
          <w:szCs w:val="32"/>
        </w:rPr>
        <w:t>、</w:t>
      </w:r>
      <w:r>
        <w:rPr>
          <w:rFonts w:hint="eastAsia"/>
          <w:szCs w:val="32"/>
        </w:rPr>
        <w:t>区）人民政府划定并公布</w:t>
      </w:r>
      <w:r>
        <w:rPr>
          <w:rFonts w:hint="eastAsia"/>
          <w:spacing w:val="-60"/>
          <w:kern w:val="0"/>
          <w:szCs w:val="32"/>
        </w:rPr>
        <w:t>；</w:t>
      </w:r>
      <w:r>
        <w:rPr>
          <w:rFonts w:hint="eastAsia"/>
          <w:szCs w:val="32"/>
        </w:rPr>
        <w:t>烈性犬</w:t>
      </w:r>
      <w:r>
        <w:rPr>
          <w:rFonts w:hint="eastAsia"/>
          <w:spacing w:val="-60"/>
          <w:kern w:val="0"/>
          <w:szCs w:val="32"/>
        </w:rPr>
        <w:t>、</w:t>
      </w:r>
      <w:r>
        <w:rPr>
          <w:rFonts w:hint="eastAsia"/>
          <w:szCs w:val="32"/>
        </w:rPr>
        <w:t>大型犬的标准和种类</w:t>
      </w:r>
      <w:r>
        <w:rPr>
          <w:rFonts w:hint="eastAsia"/>
          <w:spacing w:val="-60"/>
          <w:kern w:val="0"/>
          <w:szCs w:val="32"/>
        </w:rPr>
        <w:t>，</w:t>
      </w:r>
      <w:r>
        <w:rPr>
          <w:rFonts w:hint="eastAsia"/>
          <w:szCs w:val="32"/>
        </w:rPr>
        <w:t>由市公安机关确定并公布。</w:t>
      </w:r>
    </w:p>
    <w:p>
      <w:pPr>
        <w:pStyle w:val="Normal"/>
        <w:snapToGrid w:val="false"/>
        <w:spacing w:lineRule="auto" w:line="360"/>
        <w:ind w:firstLineChars="200" w:startChars="0" w:start="0" w:endChars="0" w:end="0"/>
        <w:jc w:val="start"/>
        <w:rPr/>
      </w:pPr>
      <w:r>
        <w:rPr>
          <w:rFonts w:ascii="黑体;SimHei" w:hAnsi="黑体;SimHei" w:cs="黑体;SimHei" w:hint="eastAsia" w:eastAsia="黑体;SimHei"/>
          <w:kern w:val="0"/>
          <w:szCs w:val="32"/>
        </w:rPr>
        <w:t xml:space="preserve">第十五条  </w:t>
      </w:r>
      <w:r>
        <w:rPr>
          <w:rFonts w:hint="eastAsia"/>
          <w:szCs w:val="32"/>
        </w:rPr>
        <w:t>公民应当文明使用互联网租赁自行车，不得故意损坏车辆；规范停放互联网租赁自行车，不得影响通行或者市容市貌。</w:t>
      </w:r>
      <w:r>
        <w:rPr>
          <w:szCs w:val="32"/>
        </w:rPr>
        <w:t xml:space="preserve"> </w:t>
      </w:r>
    </w:p>
    <w:p>
      <w:pPr>
        <w:pStyle w:val="Normal"/>
        <w:snapToGrid w:val="false"/>
        <w:spacing w:lineRule="auto" w:line="360"/>
        <w:ind w:firstLineChars="200" w:startChars="0" w:start="0" w:endChars="0" w:end="0"/>
        <w:jc w:val="start"/>
        <w:rPr>
          <w:szCs w:val="32"/>
        </w:rPr>
      </w:pPr>
      <w:r>
        <w:rPr>
          <w:rFonts w:hint="eastAsia"/>
          <w:szCs w:val="32"/>
        </w:rPr>
        <w:t>互联网租赁自行车经营企业应当科学、有序投放车辆，采用设置电子停车围栏等先进技术规范停放秩序，加强车辆的停放管理，及时整理随意停放影响通行或者市容市貌的车辆。</w:t>
      </w:r>
    </w:p>
    <w:p>
      <w:pPr>
        <w:pStyle w:val="Normal"/>
        <w:snapToGrid w:val="false"/>
        <w:spacing w:lineRule="auto" w:line="360"/>
        <w:ind w:firstLineChars="200" w:startChars="0" w:start="0" w:endChars="0" w:end="0"/>
        <w:jc w:val="start"/>
        <w:rPr>
          <w:szCs w:val="32"/>
        </w:rPr>
      </w:pPr>
      <w:r>
        <w:rPr>
          <w:rFonts w:hint="eastAsia"/>
          <w:szCs w:val="32"/>
        </w:rPr>
        <w:t>需要利用本市行政区域内的停车泊位等公共资源进行经营的互联网租赁自行车经营企业，应当将企业基本登记信息、车辆投放信息、调度运维制度等依法向综合行政执法部门进行备案登记，并及时提供变更信息。</w:t>
      </w:r>
    </w:p>
    <w:p>
      <w:pPr>
        <w:pStyle w:val="Normal"/>
        <w:snapToGrid w:val="false"/>
        <w:spacing w:lineRule="auto" w:line="360"/>
        <w:ind w:firstLineChars="200" w:startChars="0" w:start="0" w:endChars="0" w:end="0"/>
        <w:jc w:val="start"/>
        <w:rPr>
          <w:rFonts w:hint="eastAsia"/>
          <w:szCs w:val="32"/>
        </w:rPr>
      </w:pPr>
      <w:r>
        <w:rPr>
          <w:rFonts w:ascii="黑体;SimHei" w:hAnsi="黑体;SimHei" w:cs="黑体;SimHei" w:hint="eastAsia" w:eastAsia="黑体;SimHei"/>
          <w:kern w:val="0"/>
          <w:szCs w:val="32"/>
        </w:rPr>
        <w:t xml:space="preserve">第十六条  </w:t>
      </w:r>
      <w:r>
        <w:rPr>
          <w:rFonts w:hint="eastAsia"/>
          <w:szCs w:val="32"/>
        </w:rPr>
        <w:t>市人民政府根据文明行为促进工作的实际，可以将其他违法行为列为重点治理的不文明行为，报市人民代表大会常务委员会备案后，适用本条例第二十六条的规定。</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第四章  实施与保障</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第十七条  </w:t>
      </w:r>
      <w:r>
        <w:rPr>
          <w:rFonts w:hint="eastAsia"/>
          <w:szCs w:val="32"/>
        </w:rPr>
        <w:t>市、县（市、区）人民政府应当在公共财政支出中统筹安排资金，保障文明行为促进工作的正常开展。</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第十八条  </w:t>
      </w:r>
      <w:r>
        <w:rPr>
          <w:rFonts w:hint="eastAsia"/>
          <w:szCs w:val="32"/>
        </w:rPr>
        <w:t>市、县（市、区）人民政府及其有关部门应当科学规划、合理布局、建设完善下列设备设施：</w:t>
      </w:r>
    </w:p>
    <w:p>
      <w:pPr>
        <w:pStyle w:val="Normal"/>
        <w:snapToGrid w:val="false"/>
        <w:spacing w:lineRule="auto" w:line="360"/>
        <w:ind w:firstLineChars="200" w:startChars="0" w:start="0" w:endChars="0" w:end="0"/>
        <w:jc w:val="start"/>
        <w:rPr>
          <w:szCs w:val="32"/>
        </w:rPr>
      </w:pPr>
      <w:r>
        <w:rPr>
          <w:rFonts w:hint="eastAsia"/>
          <w:szCs w:val="32"/>
        </w:rPr>
        <w:t>（一）人行横道、过街天桥、地下通道、停车泊位、公共厕所和垃圾分类投放以及生活垃圾分类处置、污水收集处理等市政设施；</w:t>
      </w:r>
    </w:p>
    <w:p>
      <w:pPr>
        <w:pStyle w:val="Normal"/>
        <w:snapToGrid w:val="false"/>
        <w:spacing w:lineRule="auto" w:line="360"/>
        <w:ind w:firstLineChars="200" w:startChars="0" w:start="0" w:endChars="0" w:end="0"/>
        <w:jc w:val="start"/>
        <w:rPr>
          <w:szCs w:val="32"/>
        </w:rPr>
      </w:pPr>
      <w:r>
        <w:rPr>
          <w:rFonts w:hint="eastAsia"/>
          <w:szCs w:val="32"/>
        </w:rPr>
        <w:t>（二）盲道、无障碍厕位、无障碍停车泊位等无障碍设施；</w:t>
      </w:r>
    </w:p>
    <w:p>
      <w:pPr>
        <w:pStyle w:val="Normal"/>
        <w:snapToGrid w:val="false"/>
        <w:spacing w:lineRule="auto" w:line="360"/>
        <w:ind w:firstLineChars="200" w:startChars="0" w:start="0" w:endChars="0" w:end="0"/>
        <w:jc w:val="start"/>
        <w:rPr>
          <w:szCs w:val="32"/>
        </w:rPr>
      </w:pPr>
      <w:r>
        <w:rPr>
          <w:rFonts w:hint="eastAsia"/>
          <w:szCs w:val="32"/>
        </w:rPr>
        <w:t>（三）自动体外除颤仪、母婴室等便利设备设施；</w:t>
      </w:r>
    </w:p>
    <w:p>
      <w:pPr>
        <w:pStyle w:val="Normal"/>
        <w:snapToGrid w:val="false"/>
        <w:spacing w:lineRule="auto" w:line="360"/>
        <w:ind w:firstLineChars="200" w:startChars="0" w:start="0" w:endChars="0" w:end="0"/>
        <w:jc w:val="start"/>
        <w:rPr>
          <w:szCs w:val="32"/>
        </w:rPr>
      </w:pPr>
      <w:r>
        <w:rPr>
          <w:rFonts w:hint="eastAsia"/>
          <w:szCs w:val="32"/>
        </w:rPr>
        <w:t>（四）其他与文明行为促进有关的设备设施。</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第十九条  </w:t>
      </w:r>
      <w:r>
        <w:rPr>
          <w:rFonts w:hint="eastAsia"/>
          <w:szCs w:val="32"/>
        </w:rPr>
        <w:t>市、县（市、区）人民政府应当根据有关规定，对见义勇为人员、无偿献血者、造血干细胞捐献者、志愿服务人员和道德模范等给予激励、帮扶。</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第二十条  </w:t>
      </w:r>
      <w:r>
        <w:rPr>
          <w:rFonts w:hint="eastAsia"/>
          <w:szCs w:val="32"/>
        </w:rPr>
        <w:t>市、县（市、区）设立不文明行为曝光平台，由市、县（市、区）精神文明建设工作指导机构会同相关部门组织实施。</w:t>
      </w:r>
    </w:p>
    <w:p>
      <w:pPr>
        <w:pStyle w:val="Normal"/>
        <w:snapToGrid w:val="false"/>
        <w:spacing w:lineRule="auto" w:line="360"/>
        <w:ind w:firstLineChars="200" w:startChars="0" w:start="0" w:endChars="0" w:end="0"/>
        <w:jc w:val="start"/>
        <w:rPr>
          <w:szCs w:val="32"/>
        </w:rPr>
      </w:pPr>
      <w:r>
        <w:rPr>
          <w:rFonts w:hint="eastAsia"/>
          <w:szCs w:val="32"/>
        </w:rPr>
        <w:t>违反本条例第三章规定的，有关部门可以采取适当方式在适当范围和时限内将不文明行为予以曝光；因不文明行为受到行政处罚的，可以同时通报其所在单位或者村民（居民）委员会、社区组织。</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第二十一条  </w:t>
      </w:r>
      <w:r>
        <w:rPr>
          <w:rFonts w:hint="eastAsia"/>
          <w:szCs w:val="32"/>
        </w:rPr>
        <w:t>市、县（市、区）人民政府应当建立文明行为记录制度，公民参加慈善公益、志愿服务等文明行为的记录</w:t>
      </w:r>
      <w:r>
        <w:rPr>
          <w:rFonts w:hint="eastAsia"/>
          <w:szCs w:val="32"/>
        </w:rPr>
        <w:t>,</w:t>
      </w:r>
      <w:r>
        <w:rPr>
          <w:rFonts w:hint="eastAsia"/>
          <w:szCs w:val="32"/>
        </w:rPr>
        <w:t>作为奖励依据；公民受到行政处罚的不文明行为的记录，可以按照个人信用信息管理有关规定录入个人信用信息档案。</w:t>
      </w:r>
    </w:p>
    <w:p>
      <w:pPr>
        <w:pStyle w:val="Normal"/>
        <w:snapToGrid w:val="false"/>
        <w:spacing w:lineRule="auto" w:line="360"/>
        <w:ind w:firstLineChars="200" w:startChars="0" w:start="0" w:endChars="0" w:end="0"/>
        <w:jc w:val="start"/>
        <w:rPr>
          <w:bCs/>
          <w:szCs w:val="32"/>
        </w:rPr>
      </w:pPr>
      <w:r>
        <w:rPr>
          <w:rFonts w:hint="eastAsia"/>
          <w:szCs w:val="32"/>
        </w:rPr>
        <w:t>个人信用修复，按照有关规定执行。</w:t>
      </w:r>
      <w:r>
        <w:rPr>
          <w:rFonts w:hint="eastAsia"/>
          <w:bCs/>
          <w:szCs w:val="32"/>
        </w:rPr>
        <w:t xml:space="preserve"> </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第二十二条  </w:t>
      </w:r>
      <w:r>
        <w:rPr>
          <w:rFonts w:hint="eastAsia"/>
          <w:szCs w:val="32"/>
        </w:rPr>
        <w:t>各级人民政府、有关单位根据有关规定开展群众性精神文明创建活动。</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第二十三条  </w:t>
      </w:r>
      <w:r>
        <w:rPr>
          <w:rFonts w:hint="eastAsia"/>
          <w:szCs w:val="32"/>
        </w:rPr>
        <w:t>市、县（市、区）精神文明建设工作指导机构应当将文明行为促进工作纳入城市文明程度指数测评和文明单位评选测评指标体系，将文明行为促进工作落实情况适时向社会公开。</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第二十四条  </w:t>
      </w:r>
      <w:r>
        <w:rPr>
          <w:rFonts w:hint="eastAsia"/>
          <w:szCs w:val="32"/>
        </w:rPr>
        <w:t>居民（村民）委员会、业主委员会、行业协会等自治组织可以在居民（村民）公约、管理规约、行业协会章程中约定文明行为相关内容，由成员共同遵守。</w:t>
      </w:r>
    </w:p>
    <w:p>
      <w:pPr>
        <w:pStyle w:val="Normal"/>
        <w:snapToGrid w:val="false"/>
        <w:spacing w:lineRule="auto" w:line="360"/>
        <w:ind w:firstLineChars="200" w:startChars="0" w:start="0" w:endChars="0" w:end="0"/>
        <w:rPr>
          <w:szCs w:val="32"/>
        </w:rPr>
      </w:pPr>
      <w:r>
        <w:rPr>
          <w:rFonts w:ascii="黑体;SimHei" w:hAnsi="黑体;SimHei" w:cs="黑体;SimHei" w:hint="eastAsia" w:eastAsia="黑体;SimHei"/>
          <w:kern w:val="0"/>
          <w:szCs w:val="32"/>
        </w:rPr>
        <w:t xml:space="preserve">第二十五条  </w:t>
      </w:r>
      <w:r>
        <w:rPr>
          <w:rFonts w:hint="eastAsia"/>
          <w:szCs w:val="32"/>
        </w:rPr>
        <w:t>精神文明建设工作指导机构、有关单位应当积极开展文明行为宣传教育活动，营造鼓励和促进文明行为的良好氛围。</w:t>
      </w:r>
    </w:p>
    <w:p>
      <w:pPr>
        <w:pStyle w:val="Normal"/>
        <w:snapToGrid w:val="false"/>
        <w:spacing w:lineRule="auto" w:line="360"/>
        <w:ind w:firstLineChars="200" w:startChars="0" w:start="0" w:endChars="0" w:end="0"/>
        <w:rPr>
          <w:szCs w:val="32"/>
        </w:rPr>
      </w:pPr>
      <w:r>
        <w:rPr>
          <w:rFonts w:hint="eastAsia"/>
          <w:szCs w:val="32"/>
        </w:rPr>
        <w:t>新闻媒体应当积极宣传文明行为规范，刊播公益广告，传播文明行为先进事例，加强舆论监督。</w:t>
      </w:r>
    </w:p>
    <w:p>
      <w:pPr>
        <w:pStyle w:val="Normal"/>
        <w:snapToGrid w:val="false"/>
        <w:spacing w:lineRule="auto" w:line="360"/>
        <w:ind w:firstLineChars="200" w:startChars="0" w:start="0" w:endChars="0" w:end="0"/>
        <w:rPr>
          <w:rFonts w:hint="eastAsia"/>
          <w:szCs w:val="32"/>
        </w:rPr>
      </w:pPr>
      <w:r>
        <w:rPr>
          <w:rFonts w:hint="eastAsia"/>
          <w:szCs w:val="32"/>
        </w:rPr>
        <w:t>公共场所的广告设施和公共交通工具等广告媒介应当设置一定比例的公益广告，加强文明行为宣传。</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第五章  法律责任</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第二十六条  </w:t>
      </w:r>
      <w:r>
        <w:rPr>
          <w:rFonts w:hint="eastAsia"/>
          <w:szCs w:val="32"/>
        </w:rPr>
        <w:t>违反本条例第三章规定的不文明行为，法律、法规已经有法律责任规定的，可以按照法律、法规的规定从重处罚。</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第二十七条  </w:t>
      </w:r>
      <w:r>
        <w:rPr>
          <w:rFonts w:hint="eastAsia"/>
          <w:szCs w:val="32"/>
        </w:rPr>
        <w:t>违反本条例第十二条第四项规定，机动车不按停车泊位的标识方向停放的，由公安机关交通管理部门或者综合行政执法部门按照规定职责处五十元罚款。</w:t>
      </w:r>
    </w:p>
    <w:p>
      <w:pPr>
        <w:pStyle w:val="Normal"/>
        <w:snapToGrid w:val="false"/>
        <w:spacing w:lineRule="auto" w:line="360"/>
        <w:ind w:firstLineChars="200" w:startChars="0" w:start="0" w:endChars="0" w:end="0"/>
        <w:jc w:val="start"/>
        <w:rPr/>
      </w:pPr>
      <w:r>
        <w:rPr>
          <w:rFonts w:ascii="黑体;SimHei" w:hAnsi="黑体;SimHei" w:cs="黑体;SimHei" w:hint="eastAsia" w:eastAsia="黑体;SimHei"/>
          <w:kern w:val="0"/>
          <w:szCs w:val="32"/>
        </w:rPr>
        <w:t xml:space="preserve">第二十八条  </w:t>
      </w:r>
      <w:r>
        <w:rPr>
          <w:rFonts w:hint="eastAsia"/>
          <w:szCs w:val="32"/>
        </w:rPr>
        <w:t>下列行政处罚由公安机关实施：</w:t>
      </w:r>
      <w:r>
        <w:rPr>
          <w:color w:val="FF0000"/>
          <w:szCs w:val="32"/>
        </w:rPr>
        <w:t xml:space="preserve"> </w:t>
      </w:r>
    </w:p>
    <w:p>
      <w:pPr>
        <w:pStyle w:val="Normal"/>
        <w:snapToGrid w:val="false"/>
        <w:spacing w:lineRule="auto" w:line="360"/>
        <w:ind w:firstLineChars="200" w:startChars="0" w:start="0" w:endChars="0" w:end="0"/>
        <w:jc w:val="start"/>
        <w:rPr>
          <w:szCs w:val="32"/>
        </w:rPr>
      </w:pPr>
      <w:r>
        <w:rPr>
          <w:rFonts w:hint="eastAsia"/>
          <w:szCs w:val="32"/>
        </w:rPr>
        <w:t>（一）违反本条例第十二条第三项规定的，处一百元罚款。</w:t>
      </w:r>
    </w:p>
    <w:p>
      <w:pPr>
        <w:pStyle w:val="Normal"/>
        <w:snapToGrid w:val="false"/>
        <w:spacing w:lineRule="auto" w:line="360"/>
        <w:ind w:firstLineChars="200" w:startChars="0" w:start="0" w:endChars="0" w:end="0"/>
        <w:jc w:val="start"/>
        <w:rPr>
          <w:szCs w:val="32"/>
        </w:rPr>
      </w:pPr>
      <w:r>
        <w:rPr>
          <w:rFonts w:hint="eastAsia"/>
          <w:szCs w:val="32"/>
        </w:rPr>
        <w:t>（二）违反本条例第十二条第七项规定，属于非机动车的，处警告或者五元以上五十元以下罚款。</w:t>
      </w:r>
    </w:p>
    <w:p>
      <w:pPr>
        <w:pStyle w:val="Normal"/>
        <w:snapToGrid w:val="false"/>
        <w:spacing w:lineRule="auto" w:line="360"/>
        <w:ind w:firstLineChars="200" w:startChars="0" w:start="0" w:endChars="0" w:end="0"/>
        <w:jc w:val="start"/>
        <w:rPr>
          <w:szCs w:val="32"/>
        </w:rPr>
      </w:pPr>
      <w:r>
        <w:rPr>
          <w:rFonts w:hint="eastAsia"/>
          <w:szCs w:val="32"/>
        </w:rPr>
        <w:t xml:space="preserve">（三）违反本条例第十二条第九项规定的，处警告或者十元罚款。 </w:t>
      </w:r>
    </w:p>
    <w:p>
      <w:pPr>
        <w:pStyle w:val="Normal"/>
        <w:snapToGrid w:val="false"/>
        <w:spacing w:lineRule="auto" w:line="360"/>
        <w:ind w:firstLineChars="200" w:startChars="0" w:start="0" w:endChars="0" w:end="0"/>
        <w:jc w:val="start"/>
        <w:rPr>
          <w:szCs w:val="32"/>
        </w:rPr>
      </w:pPr>
      <w:r>
        <w:rPr>
          <w:rFonts w:hint="eastAsia"/>
          <w:szCs w:val="32"/>
        </w:rPr>
        <w:t>（四）违反本条例第十二条第十项规定，在机动车道、非机动车道公共免费停车泊位持续停放车辆超过三十日的，责令驶离，拒不驶离的，处二十元以上二百元以下罚款，并将车辆拖移至指定地点</w:t>
      </w:r>
      <w:r>
        <w:rPr>
          <w:rFonts w:hint="eastAsia"/>
          <w:b/>
          <w:szCs w:val="32"/>
        </w:rPr>
        <w:t>；</w:t>
      </w:r>
      <w:r>
        <w:rPr>
          <w:rFonts w:hint="eastAsia"/>
          <w:szCs w:val="32"/>
        </w:rPr>
        <w:t>在住宅小区等物业管理区域持续停放车辆超过三十日影响其他业主的，协商解决，协商不成的，责令驶离，拒不驶离的，处二十元以上二百元以下罚款，并将车辆拖移至指定地点。</w:t>
      </w:r>
    </w:p>
    <w:p>
      <w:pPr>
        <w:pStyle w:val="Normal"/>
        <w:snapToGrid w:val="false"/>
        <w:spacing w:lineRule="auto" w:line="360"/>
        <w:ind w:firstLineChars="200" w:startChars="0" w:start="0" w:endChars="0" w:end="0"/>
        <w:jc w:val="start"/>
        <w:rPr>
          <w:szCs w:val="32"/>
        </w:rPr>
      </w:pPr>
      <w:r>
        <w:rPr>
          <w:rFonts w:hint="eastAsia"/>
          <w:szCs w:val="32"/>
        </w:rPr>
        <w:t>（五）违反本条例第十四条第一款第一项规定，在限养区饲养烈性犬</w:t>
      </w:r>
      <w:r>
        <w:rPr>
          <w:rFonts w:hint="eastAsia"/>
          <w:b/>
          <w:szCs w:val="32"/>
        </w:rPr>
        <w:t>、</w:t>
      </w:r>
      <w:r>
        <w:rPr>
          <w:rFonts w:hint="eastAsia"/>
          <w:szCs w:val="32"/>
        </w:rPr>
        <w:t>大型犬的，责令改正，拒不改正的，处二千元以上五千元以下罚款。</w:t>
      </w:r>
    </w:p>
    <w:p>
      <w:pPr>
        <w:pStyle w:val="Normal"/>
        <w:snapToGrid w:val="false"/>
        <w:spacing w:lineRule="auto" w:line="360"/>
        <w:ind w:firstLineChars="200" w:startChars="0" w:start="0" w:endChars="0" w:end="0"/>
        <w:jc w:val="start"/>
        <w:rPr>
          <w:color w:val="FF0000"/>
          <w:szCs w:val="32"/>
        </w:rPr>
      </w:pPr>
      <w:r>
        <w:rPr>
          <w:rFonts w:hint="eastAsia"/>
          <w:szCs w:val="32"/>
        </w:rPr>
        <w:t>（六）违反本条例第十四条第一款第一项规定，携带犬只出户未采取束牵引带等安全措施的，责令改正，拒不改正的，处一百元以上五百元以下罚款。</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第二十九条  </w:t>
      </w:r>
      <w:r>
        <w:rPr>
          <w:rFonts w:hint="eastAsia"/>
          <w:szCs w:val="32"/>
        </w:rPr>
        <w:t>下列行政处罚由综合行政执法部门实施：</w:t>
      </w:r>
    </w:p>
    <w:p>
      <w:pPr>
        <w:pStyle w:val="Normal"/>
        <w:snapToGrid w:val="false"/>
        <w:spacing w:lineRule="auto" w:line="360"/>
        <w:ind w:firstLineChars="200" w:startChars="0" w:start="0" w:endChars="0" w:end="0"/>
        <w:jc w:val="start"/>
        <w:rPr>
          <w:szCs w:val="32"/>
        </w:rPr>
      </w:pPr>
      <w:r>
        <w:rPr>
          <w:rFonts w:hint="eastAsia"/>
          <w:szCs w:val="32"/>
        </w:rPr>
        <w:t>（一）违反本条例第十二条第十项规定，在人行道免费停车泊位持续停放车辆超过三十日的，责令驶离，拒不驶离的，处二十元以上二百元以下罚款，并将车辆拖移至指定地点。</w:t>
      </w:r>
    </w:p>
    <w:p>
      <w:pPr>
        <w:pStyle w:val="Normal"/>
        <w:snapToGrid w:val="false"/>
        <w:spacing w:lineRule="auto" w:line="360"/>
        <w:ind w:firstLineChars="200" w:startChars="0" w:start="0" w:endChars="0" w:end="0"/>
        <w:jc w:val="start"/>
        <w:rPr>
          <w:szCs w:val="32"/>
        </w:rPr>
      </w:pPr>
      <w:r>
        <w:rPr>
          <w:rFonts w:hint="eastAsia"/>
          <w:szCs w:val="32"/>
        </w:rPr>
        <w:t>（二）违反本条例第十三条第四项规定的，对广告主处五千元以上三万元以下罚款。</w:t>
      </w:r>
    </w:p>
    <w:p>
      <w:pPr>
        <w:pStyle w:val="Normal"/>
        <w:snapToGrid w:val="false"/>
        <w:spacing w:lineRule="auto" w:line="360"/>
        <w:ind w:firstLineChars="200" w:startChars="0" w:start="0" w:endChars="0" w:end="0"/>
        <w:jc w:val="start"/>
        <w:rPr>
          <w:szCs w:val="32"/>
        </w:rPr>
      </w:pPr>
      <w:r>
        <w:rPr>
          <w:rFonts w:hint="eastAsia"/>
          <w:szCs w:val="32"/>
        </w:rPr>
        <w:t>（三）违反本条例第十四条第一款第一项规定，未清理犬只粪便的，责令改正，拒不改正的，处二十元以上五十元以下罚款。</w:t>
      </w:r>
    </w:p>
    <w:p>
      <w:pPr>
        <w:pStyle w:val="Normal"/>
        <w:snapToGrid w:val="false"/>
        <w:spacing w:lineRule="auto" w:line="360"/>
        <w:ind w:firstLineChars="200" w:startChars="0" w:start="0" w:endChars="0" w:end="0"/>
        <w:jc w:val="start"/>
        <w:rPr>
          <w:b/>
          <w:szCs w:val="32"/>
        </w:rPr>
      </w:pPr>
      <w:r>
        <w:rPr>
          <w:rFonts w:hint="eastAsia"/>
          <w:szCs w:val="32"/>
        </w:rPr>
        <w:t>（四）违反本条例第十五条第一款规定，在人行道停放互联网租赁自行车影响通行或者市容市貌的，责令改正，拒不改正的，处警告或者五元以上五十元以下罚款。</w:t>
      </w:r>
    </w:p>
    <w:p>
      <w:pPr>
        <w:pStyle w:val="Normal"/>
        <w:snapToGrid w:val="false"/>
        <w:spacing w:lineRule="auto" w:line="360"/>
        <w:ind w:firstLineChars="200" w:startChars="0" w:start="0" w:endChars="0" w:end="0"/>
        <w:jc w:val="start"/>
        <w:rPr>
          <w:szCs w:val="32"/>
        </w:rPr>
      </w:pPr>
      <w:r>
        <w:rPr>
          <w:rFonts w:hint="eastAsia"/>
          <w:szCs w:val="32"/>
        </w:rPr>
        <w:t>（五）违反本条例第十五条第二款规定，互联网租赁自行车经营企业未及时整理随意停放的车辆，影响通行或者市容市貌的，责令改正，拒不改正的，处五千元以上一万元以下罚款。</w:t>
      </w:r>
    </w:p>
    <w:p>
      <w:pPr>
        <w:pStyle w:val="Normal"/>
        <w:snapToGrid w:val="false"/>
        <w:spacing w:lineRule="auto" w:line="360"/>
        <w:ind w:firstLineChars="200" w:startChars="0" w:start="0" w:endChars="0" w:end="0"/>
        <w:jc w:val="start"/>
        <w:rPr>
          <w:szCs w:val="32"/>
        </w:rPr>
      </w:pPr>
      <w:r>
        <w:rPr>
          <w:rFonts w:hint="eastAsia"/>
          <w:szCs w:val="32"/>
        </w:rPr>
        <w:t>（六）违反本条例第十五条第三款规定，在本市行政区域经营的互联网租赁自行车经营企业未依法进行备案登记的或者未及时提供变更信息的，责令改正，拒不改正的，处五千元以上五万元以下罚款。</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第三十条  </w:t>
      </w:r>
      <w:r>
        <w:rPr>
          <w:rFonts w:hint="eastAsia"/>
          <w:szCs w:val="32"/>
        </w:rPr>
        <w:t>违反本条例第十三条第五项规定，在市、县（市、区）人民政府划定的禁止吸烟区域吸烟的，由市、县（市、区）人民政府确定的行政主管部门责令改正，处五十元以上二百元以下罚款。</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第三十一条  </w:t>
      </w:r>
      <w:r>
        <w:rPr>
          <w:rFonts w:hint="eastAsia"/>
          <w:szCs w:val="32"/>
        </w:rPr>
        <w:t>因不文明行为受到罚款处罚的，行为人可以向行政主管部门申请参加社会服务，经相关行政主管部门同意并完成相应社会服务的，可以减免罚款金额。</w:t>
      </w:r>
    </w:p>
    <w:p>
      <w:pPr>
        <w:pStyle w:val="Normal"/>
        <w:snapToGrid w:val="false"/>
        <w:spacing w:lineRule="auto" w:line="360"/>
        <w:ind w:firstLineChars="200" w:startChars="0" w:start="0" w:endChars="0" w:end="0"/>
        <w:jc w:val="start"/>
        <w:rPr>
          <w:szCs w:val="32"/>
        </w:rPr>
      </w:pPr>
      <w:r>
        <w:rPr>
          <w:rFonts w:hint="eastAsia"/>
          <w:szCs w:val="32"/>
        </w:rPr>
        <w:t>社会服务的具体办法</w:t>
      </w:r>
      <w:r>
        <w:rPr>
          <w:rFonts w:hint="eastAsia"/>
          <w:szCs w:val="32"/>
        </w:rPr>
        <w:t>,</w:t>
      </w:r>
      <w:r>
        <w:rPr>
          <w:rFonts w:hint="eastAsia"/>
          <w:szCs w:val="32"/>
        </w:rPr>
        <w:t>由市人民政府制定。</w:t>
      </w:r>
    </w:p>
    <w:p>
      <w:pPr>
        <w:pStyle w:val="Normal"/>
        <w:snapToGrid w:val="false"/>
        <w:spacing w:lineRule="auto" w:line="360"/>
        <w:ind w:firstLineChars="200" w:startChars="0" w:start="0" w:endChars="0" w:end="0"/>
        <w:jc w:val="start"/>
        <w:rPr>
          <w:rFonts w:ascii="宋体;SimSun" w:hAnsi="宋体;SimSun" w:eastAsia="宋体;SimSun" w:cs="宋体;SimSun" w:hint="eastAsia"/>
          <w:szCs w:val="32"/>
        </w:rPr>
      </w:pPr>
      <w:r>
        <w:rPr>
          <w:rFonts w:ascii="黑体;SimHei" w:hAnsi="黑体;SimHei" w:cs="黑体;SimHei" w:hint="eastAsia" w:eastAsia="黑体;SimHei"/>
          <w:kern w:val="0"/>
          <w:szCs w:val="32"/>
        </w:rPr>
        <w:t xml:space="preserve">第三十二条  </w:t>
      </w:r>
      <w:r>
        <w:rPr>
          <w:rFonts w:hint="eastAsia"/>
          <w:szCs w:val="32"/>
        </w:rPr>
        <w:t>有关行政主管部门和单位及其工作人员不按本条例规定履行职责的，由其所在单位或者上级机关、监察机关责令改正，对直接负责的主管人员和其他直接责任人员依法给予处理。</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第六章  附  则</w:t>
      </w:r>
    </w:p>
    <w:p>
      <w:pPr>
        <w:pStyle w:val="Normal"/>
        <w:spacing w:lineRule="exact" w:line="560"/>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第三十三条  </w:t>
      </w:r>
      <w:r>
        <w:rPr>
          <w:rFonts w:hint="eastAsia"/>
          <w:szCs w:val="32"/>
        </w:rPr>
        <w:t>违反本条例规定持续停放车辆的期间，自有关部门通知车辆所有人之日起计算；车辆所有人联系不上、车辆所有人不明或者车辆未悬挂牌照的，自有关部门立案公告之日起计算。</w:t>
      </w:r>
    </w:p>
    <w:p>
      <w:pPr>
        <w:pStyle w:val="Normal"/>
        <w:snapToGrid w:val="false"/>
        <w:spacing w:lineRule="auto" w:line="360"/>
        <w:ind w:firstLineChars="200" w:startChars="0" w:start="0" w:endChars="0" w:end="0"/>
        <w:jc w:val="start"/>
        <w:rPr>
          <w:szCs w:val="32"/>
        </w:rPr>
      </w:pPr>
      <w:r>
        <w:rPr>
          <w:rFonts w:ascii="黑体;SimHei" w:hAnsi="黑体;SimHei" w:cs="黑体;SimHei" w:hint="eastAsia" w:eastAsia="黑体;SimHei"/>
          <w:kern w:val="0"/>
          <w:szCs w:val="32"/>
        </w:rPr>
        <w:t xml:space="preserve">第三十四条  </w:t>
      </w:r>
      <w:r>
        <w:rPr>
          <w:rFonts w:hint="eastAsia"/>
          <w:szCs w:val="32"/>
        </w:rPr>
        <w:t>本条例自</w:t>
      </w:r>
      <w:r>
        <w:rPr>
          <w:rFonts w:hint="eastAsia"/>
          <w:szCs w:val="32"/>
        </w:rPr>
        <w:t>2019</w:t>
      </w:r>
      <w:r>
        <w:rPr>
          <w:rFonts w:hint="eastAsia"/>
          <w:szCs w:val="32"/>
        </w:rPr>
        <w:t>年</w:t>
      </w:r>
      <w:r>
        <w:rPr>
          <w:rFonts w:hint="eastAsia"/>
          <w:szCs w:val="32"/>
        </w:rPr>
        <w:t>1</w:t>
      </w:r>
      <w:r>
        <w:rPr>
          <w:rFonts w:hint="eastAsia"/>
          <w:szCs w:val="32"/>
        </w:rPr>
        <w:t>月</w:t>
      </w:r>
      <w:r>
        <w:rPr>
          <w:rFonts w:hint="eastAsia"/>
          <w:szCs w:val="32"/>
        </w:rPr>
        <w:t>1</w:t>
      </w:r>
      <w:r>
        <w:rPr>
          <w:rFonts w:hint="eastAsia"/>
          <w:szCs w:val="32"/>
        </w:rPr>
        <w:t>日起施行。</w:t>
      </w:r>
    </w:p>
    <w:p>
      <w:pPr>
        <w:pStyle w:val="Normal"/>
        <w:jc w:val="start"/>
        <w:rPr>
          <w:rFonts w:ascii="仿宋" w:hAnsi="仿宋" w:eastAsia="仿宋" w:cs="仿宋"/>
          <w:szCs w:val="32"/>
        </w:rPr>
      </w:pPr>
      <w:r>
        <w:rPr>
          <w:rFonts w:eastAsia="仿宋" w:cs="仿宋" w:ascii="仿宋" w:hAnsi="仿宋"/>
          <w:szCs w:val="32"/>
        </w:rPr>
      </w:r>
    </w:p>
    <w:p>
      <w:pPr>
        <w:pStyle w:val="Normal"/>
        <w:rPr>
          <w:rFonts w:ascii="Calibri" w:hAnsi="Calibri" w:eastAsia="宋体;SimSun" w:cs="Calibri"/>
          <w:sz w:val="21"/>
          <w:szCs w:val="22"/>
        </w:rPr>
      </w:pPr>
      <w:r>
        <w:rPr>
          <w:rFonts w:eastAsia="宋体;SimSun" w:cs="Calibri" w:ascii="Calibri" w:hAnsi="Calibri"/>
          <w:sz w:val="21"/>
          <w:szCs w:val="22"/>
        </w:rPr>
      </w:r>
    </w:p>
    <w:p>
      <w:pPr>
        <w:pStyle w:val="Normal"/>
        <w:spacing w:lineRule="exact" w:line="560"/>
        <w:rPr>
          <w:rFonts w:ascii="仿宋_GB2312" w:hAnsi="仿宋_GB2312" w:eastAsia="宋体;SimSun" w:cs="Arial" w:hint="eastAsia"/>
          <w:sz w:val="21"/>
          <w:szCs w:val="32"/>
        </w:rPr>
      </w:pPr>
      <w:r>
        <w:rPr>
          <w:rFonts w:eastAsia="宋体;SimSun" w:cs="Arial" w:hint="eastAsia" w:ascii="仿宋_GB2312" w:hAnsi="仿宋_GB2312"/>
          <w:sz w:val="21"/>
          <w:szCs w:val="32"/>
        </w:rPr>
      </w:r>
    </w:p>
    <w:p>
      <w:pPr>
        <w:pStyle w:val="Normal"/>
        <w:spacing w:lineRule="exact" w:line="560"/>
        <w:rPr>
          <w:rFonts w:ascii="仿宋_GB2312" w:hAnsi="仿宋_GB2312" w:cs="Arial" w:hint="eastAsia"/>
          <w:szCs w:val="32"/>
        </w:rPr>
      </w:pPr>
      <w:r>
        <w:rPr>
          <w:rFonts w:cs="Arial" w:hint="eastAsia" w:ascii="仿宋_GB2312" w:hAnsi="仿宋_GB2312"/>
          <w:szCs w:val="32"/>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sectPr>
      <w:footerReference w:type="default" r:id="rId2"/>
      <w:type w:val="nextPage"/>
      <w:pgSz w:w="11906" w:h="16838"/>
      <w:pgMar w:left="1588" w:right="1474" w:gutter="0" w:header="0" w:top="2013" w:footer="992" w:bottom="1899"/>
      <w:pgNumType w:fmt="decimal"/>
      <w:formProt w:val="false"/>
      <w:textDirection w:val="lrTb"/>
      <w:docGrid w:type="linesAndChars" w:linePitch="590" w:charSpace="429496606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Hyperlink">
    <w:name w:val="Hyperlink"/>
    <w:rPr>
      <w:rFonts w:ascii="ˎ̥" w:hAnsi="ˎ̥" w:cs="ˎ̥"/>
      <w:strike w:val="false"/>
      <w:dstrike w:val="false"/>
      <w:color w:val="0404B3"/>
      <w:sz w:val="18"/>
      <w:szCs w:val="18"/>
      <w:u w:val="none"/>
    </w:rPr>
  </w:style>
  <w:style w:type="character" w:styleId="PageNumber">
    <w:name w:val="page number"/>
    <w:basedOn w:val="Style14"/>
    <w:rPr/>
  </w:style>
  <w:style w:type="character" w:styleId="Char">
    <w:name w:val="页眉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2018-12-18T18:02:00Z</dcterms:created>
  <dc:creator>Lenovo</dc:creator>
  <dc:description/>
  <dc:language>en-US</dc:language>
  <cp:lastModifiedBy>lenovo727</cp:lastModifiedBy>
  <cp:lastPrinted>2018-12-12T08:29:00Z</cp:lastPrinted>
  <dcterms:modified xsi:type="dcterms:W3CDTF">2018-12-18T18:02:00Z</dcterms:modified>
  <cp:revision>2</cp:revision>
  <dc:subject/>
  <dc:title>法规修改决定电子报备格式标准及示例</dc:title>
</cp:coreProperties>
</file>