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ascii="Times New Roman" w:hAnsi="Times New Roman" w:cs="Times New Roman"/>
          <w:spacing w:val="6"/>
          <w:sz w:val="32"/>
          <w:szCs w:val="32"/>
        </w:rPr>
      </w:pPr>
      <w:r>
        <w:rPr>
          <w:rFonts w:cs="Times New Roman" w:ascii="Times New Roman" w:hAnsi="Times New Roman"/>
          <w:spacing w:val="6"/>
          <w:sz w:val="32"/>
          <w:szCs w:val="32"/>
        </w:rPr>
      </w:r>
    </w:p>
    <w:p>
      <w:pPr>
        <w:pStyle w:val="Style15"/>
        <w:rPr>
          <w:rFonts w:ascii="Times New Roman" w:hAnsi="Times New Roman" w:cs="Times New Roman"/>
          <w:spacing w:val="6"/>
          <w:sz w:val="32"/>
          <w:szCs w:val="32"/>
        </w:rPr>
      </w:pPr>
      <w:r>
        <w:rPr>
          <w:rFonts w:cs="Times New Roman" w:ascii="Times New Roman" w:hAnsi="Times New Roman"/>
          <w:spacing w:val="6"/>
          <w:sz w:val="32"/>
          <w:szCs w:val="32"/>
        </w:rPr>
      </w:r>
    </w:p>
    <w:p>
      <w:pPr>
        <w:pStyle w:val="Normal"/>
        <w:snapToGrid w:val="false"/>
        <w:spacing w:lineRule="exact" w:line="560"/>
        <w:jc w:val="center"/>
        <w:rPr>
          <w:rFonts w:ascii="宋体;方正书宋_GBK" w:hAnsi="宋体;方正书宋_GBK" w:eastAsia="宋体;方正书宋_GBK" w:cs="宋体;方正书宋_GBK"/>
          <w:spacing w:val="0"/>
          <w:sz w:val="44"/>
          <w:szCs w:val="44"/>
        </w:rPr>
      </w:pPr>
      <w:r>
        <w:rPr>
          <w:rFonts w:ascii="宋体;方正书宋_GBK" w:hAnsi="宋体;方正书宋_GBK" w:cs="宋体;方正书宋_GBK" w:eastAsia="宋体;方正书宋_GBK"/>
          <w:spacing w:val="0"/>
          <w:sz w:val="44"/>
          <w:szCs w:val="44"/>
        </w:rPr>
        <w:t>衢州市工业固体废物管理若干规定</w:t>
      </w:r>
    </w:p>
    <w:p>
      <w:pPr>
        <w:pStyle w:val="Normal"/>
        <w:snapToGrid w:val="false"/>
        <w:spacing w:lineRule="exact" w:line="560"/>
        <w:jc w:val="center"/>
        <w:rPr>
          <w:rFonts w:ascii="宋体;方正书宋_GBK" w:hAnsi="宋体;方正书宋_GBK" w:eastAsia="宋体;方正书宋_GBK" w:cs="宋体;方正书宋_GBK"/>
          <w:spacing w:val="0"/>
          <w:sz w:val="44"/>
          <w:szCs w:val="44"/>
        </w:rPr>
      </w:pPr>
      <w:r>
        <w:rPr>
          <w:rFonts w:eastAsia="宋体;方正书宋_GBK" w:cs="宋体;方正书宋_GBK" w:ascii="宋体;方正书宋_GBK" w:hAnsi="宋体;方正书宋_GBK"/>
          <w:spacing w:val="0"/>
          <w:sz w:val="44"/>
          <w:szCs w:val="44"/>
        </w:rPr>
      </w:r>
    </w:p>
    <w:p>
      <w:pPr>
        <w:pStyle w:val="Normal"/>
        <w:spacing w:lineRule="exact" w:line="560"/>
        <w:ind w:firstLineChars="200" w:startChars="0" w:start="0" w:endChars="0" w:end="0"/>
        <w:jc w:val="start"/>
        <w:rPr>
          <w:rFonts w:ascii="楷体_GB2312" w:hAnsi="楷体_GB2312" w:eastAsia="楷体_GB2312" w:cs="Times New Roman"/>
          <w:bCs/>
          <w:spacing w:val="0"/>
          <w:sz w:val="32"/>
          <w:szCs w:val="32"/>
        </w:rPr>
      </w:pPr>
      <w:r>
        <w:rPr>
          <w:rFonts w:ascii="楷体_GB2312" w:hAnsi="楷体_GB2312" w:cs="Times New Roman" w:eastAsia="楷体_GB2312"/>
          <w:bCs/>
          <w:spacing w:val="0"/>
          <w:sz w:val="32"/>
          <w:szCs w:val="32"/>
        </w:rPr>
        <w:t>（</w:t>
      </w:r>
      <w:r>
        <w:rPr>
          <w:rFonts w:eastAsia="楷体_GB2312" w:cs="Times New Roman" w:ascii="楷体_GB2312" w:hAnsi="楷体_GB2312"/>
          <w:bCs/>
          <w:spacing w:val="0"/>
          <w:sz w:val="32"/>
          <w:szCs w:val="32"/>
        </w:rPr>
        <w:t>2021</w:t>
      </w:r>
      <w:r>
        <w:rPr>
          <w:rFonts w:ascii="楷体_GB2312" w:hAnsi="楷体_GB2312" w:cs="Times New Roman" w:eastAsia="楷体_GB2312"/>
          <w:bCs/>
          <w:spacing w:val="0"/>
          <w:sz w:val="32"/>
          <w:szCs w:val="32"/>
        </w:rPr>
        <w:t>年</w:t>
      </w:r>
      <w:r>
        <w:rPr>
          <w:rFonts w:eastAsia="楷体_GB2312" w:cs="Times New Roman" w:hint="eastAsia" w:ascii="楷体_GB2312" w:hAnsi="楷体_GB2312"/>
          <w:bCs/>
          <w:spacing w:val="0"/>
          <w:sz w:val="32"/>
          <w:szCs w:val="32"/>
        </w:rPr>
        <w:t>11</w:t>
      </w:r>
      <w:r>
        <w:rPr>
          <w:rFonts w:ascii="楷体_GB2312" w:hAnsi="楷体_GB2312" w:cs="Times New Roman" w:eastAsia="楷体_GB2312"/>
          <w:bCs/>
          <w:spacing w:val="0"/>
          <w:sz w:val="32"/>
          <w:szCs w:val="32"/>
        </w:rPr>
        <w:t>月</w:t>
      </w:r>
      <w:r>
        <w:rPr>
          <w:rFonts w:eastAsia="楷体_GB2312" w:cs="Times New Roman" w:hint="eastAsia" w:ascii="楷体_GB2312" w:hAnsi="楷体_GB2312"/>
          <w:bCs/>
          <w:spacing w:val="0"/>
          <w:sz w:val="32"/>
          <w:szCs w:val="32"/>
        </w:rPr>
        <w:t>30</w:t>
      </w:r>
      <w:r>
        <w:rPr>
          <w:rFonts w:ascii="楷体_GB2312" w:hAnsi="楷体_GB2312" w:cs="Times New Roman" w:eastAsia="楷体_GB2312"/>
          <w:bCs/>
          <w:spacing w:val="0"/>
          <w:sz w:val="32"/>
          <w:szCs w:val="32"/>
        </w:rPr>
        <w:t>日衢州市第七届人民代表大会常务委</w:t>
      </w:r>
    </w:p>
    <w:p>
      <w:pPr>
        <w:pStyle w:val="Normal"/>
        <w:spacing w:lineRule="exact" w:line="560"/>
        <w:ind w:firstLineChars="200" w:startChars="0" w:start="0" w:endChars="0" w:end="0"/>
        <w:jc w:val="start"/>
        <w:rPr>
          <w:rFonts w:ascii="楷体_GB2312" w:hAnsi="楷体_GB2312" w:eastAsia="楷体_GB2312" w:cs="Times New Roman"/>
          <w:bCs/>
          <w:spacing w:val="0"/>
          <w:sz w:val="32"/>
          <w:szCs w:val="32"/>
        </w:rPr>
      </w:pPr>
      <w:r>
        <w:rPr>
          <w:rFonts w:ascii="楷体_GB2312" w:hAnsi="楷体_GB2312" w:cs="Times New Roman" w:eastAsia="楷体_GB2312"/>
          <w:bCs/>
          <w:spacing w:val="0"/>
          <w:sz w:val="32"/>
          <w:szCs w:val="32"/>
        </w:rPr>
        <w:t>员会第三十</w:t>
      </w:r>
      <w:r>
        <w:rPr>
          <w:rFonts w:ascii="楷体_GB2312" w:hAnsi="楷体_GB2312" w:cs="Times New Roman" w:hint="eastAsia" w:eastAsia="楷体_GB2312"/>
          <w:bCs/>
          <w:spacing w:val="0"/>
          <w:sz w:val="32"/>
          <w:szCs w:val="32"/>
        </w:rPr>
        <w:t>七</w:t>
      </w:r>
      <w:r>
        <w:rPr>
          <w:rFonts w:ascii="楷体_GB2312" w:hAnsi="楷体_GB2312" w:cs="Times New Roman" w:eastAsia="楷体_GB2312"/>
          <w:bCs/>
          <w:spacing w:val="0"/>
          <w:sz w:val="32"/>
          <w:szCs w:val="32"/>
        </w:rPr>
        <w:t xml:space="preserve">次会议通过  </w:t>
      </w:r>
      <w:r>
        <w:rPr>
          <w:rFonts w:eastAsia="楷体_GB2312" w:cs="Times New Roman" w:ascii="楷体_GB2312" w:hAnsi="楷体_GB2312"/>
          <w:bCs/>
          <w:spacing w:val="0"/>
          <w:sz w:val="32"/>
          <w:szCs w:val="32"/>
        </w:rPr>
        <w:t>2021</w:t>
      </w:r>
      <w:r>
        <w:rPr>
          <w:rFonts w:ascii="楷体_GB2312" w:hAnsi="楷体_GB2312" w:cs="Times New Roman" w:eastAsia="楷体_GB2312"/>
          <w:bCs/>
          <w:spacing w:val="0"/>
          <w:sz w:val="32"/>
          <w:szCs w:val="32"/>
        </w:rPr>
        <w:t>年</w:t>
      </w:r>
      <w:r>
        <w:rPr>
          <w:rFonts w:eastAsia="楷体_GB2312" w:cs="Times New Roman" w:hint="eastAsia" w:ascii="楷体_GB2312" w:hAnsi="楷体_GB2312"/>
          <w:bCs/>
          <w:spacing w:val="0"/>
          <w:sz w:val="32"/>
          <w:szCs w:val="32"/>
        </w:rPr>
        <w:t>12</w:t>
      </w:r>
      <w:r>
        <w:rPr>
          <w:rFonts w:ascii="楷体_GB2312" w:hAnsi="楷体_GB2312" w:cs="Times New Roman" w:eastAsia="楷体_GB2312"/>
          <w:bCs/>
          <w:spacing w:val="0"/>
          <w:sz w:val="32"/>
          <w:szCs w:val="32"/>
        </w:rPr>
        <w:t>月</w:t>
      </w:r>
      <w:r>
        <w:rPr>
          <w:rFonts w:eastAsia="楷体_GB2312" w:cs="Times New Roman" w:hint="eastAsia" w:ascii="楷体_GB2312" w:hAnsi="楷体_GB2312"/>
          <w:bCs/>
          <w:spacing w:val="0"/>
          <w:sz w:val="32"/>
          <w:szCs w:val="32"/>
        </w:rPr>
        <w:t>22</w:t>
      </w:r>
      <w:r>
        <w:rPr>
          <w:rFonts w:ascii="楷体_GB2312" w:hAnsi="楷体_GB2312" w:cs="Times New Roman" w:eastAsia="楷体_GB2312"/>
          <w:bCs/>
          <w:spacing w:val="0"/>
          <w:sz w:val="32"/>
          <w:szCs w:val="32"/>
        </w:rPr>
        <w:t>日浙江省第</w:t>
      </w:r>
    </w:p>
    <w:p>
      <w:pPr>
        <w:pStyle w:val="Normal"/>
        <w:spacing w:lineRule="exact" w:line="560"/>
        <w:ind w:firstLineChars="200" w:startChars="0" w:start="0" w:endChars="0" w:end="0"/>
        <w:jc w:val="start"/>
        <w:rPr>
          <w:rFonts w:ascii="楷体_GB2312" w:hAnsi="楷体_GB2312" w:eastAsia="楷体_GB2312" w:cs="Times New Roman"/>
          <w:bCs/>
          <w:spacing w:val="0"/>
          <w:sz w:val="32"/>
          <w:szCs w:val="32"/>
        </w:rPr>
      </w:pPr>
      <w:r>
        <w:rPr>
          <w:rFonts w:ascii="楷体_GB2312" w:hAnsi="楷体_GB2312" w:cs="Times New Roman" w:eastAsia="楷体_GB2312"/>
          <w:bCs/>
          <w:spacing w:val="0"/>
          <w:sz w:val="32"/>
          <w:szCs w:val="32"/>
        </w:rPr>
        <w:t>十三届人民代表大会常务委员会第三十</w:t>
      </w:r>
      <w:r>
        <w:rPr>
          <w:rFonts w:ascii="楷体_GB2312" w:hAnsi="楷体_GB2312" w:cs="Times New Roman" w:hint="eastAsia" w:eastAsia="楷体_GB2312"/>
          <w:bCs/>
          <w:spacing w:val="0"/>
          <w:sz w:val="32"/>
          <w:szCs w:val="32"/>
        </w:rPr>
        <w:t>三</w:t>
      </w:r>
      <w:r>
        <w:rPr>
          <w:rFonts w:ascii="楷体_GB2312" w:hAnsi="楷体_GB2312" w:cs="Times New Roman" w:eastAsia="楷体_GB2312"/>
          <w:bCs/>
          <w:spacing w:val="0"/>
          <w:sz w:val="32"/>
          <w:szCs w:val="32"/>
        </w:rPr>
        <w:t>次会议批准）</w:t>
      </w:r>
    </w:p>
    <w:p>
      <w:pPr>
        <w:pStyle w:val="Normal"/>
        <w:spacing w:lineRule="exact" w:line="560"/>
        <w:ind w:firstLineChars="200" w:startChars="0" w:start="0" w:endChars="0" w:end="0"/>
        <w:jc w:val="start"/>
        <w:rPr>
          <w:rFonts w:ascii="楷体_GB2312" w:hAnsi="楷体_GB2312" w:eastAsia="楷体_GB2312" w:cs="Times New Roman"/>
          <w:bCs/>
          <w:spacing w:val="0"/>
          <w:sz w:val="32"/>
          <w:szCs w:val="32"/>
        </w:rPr>
      </w:pPr>
      <w:r>
        <w:rPr>
          <w:rFonts w:eastAsia="楷体_GB2312" w:cs="Times New Roman" w:ascii="楷体_GB2312" w:hAnsi="楷体_GB2312"/>
          <w:bCs/>
          <w:spacing w:val="0"/>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黑体"/>
          <w:sz w:val="32"/>
          <w:szCs w:val="32"/>
        </w:rPr>
        <w:t>第一条</w:t>
      </w:r>
      <w:r>
        <w:rPr>
          <w:rFonts w:ascii="FreeSerif" w:hAnsi="FreeSerif" w:cs="FreeSerif" w:hint="eastAsia" w:eastAsia="黑体"/>
          <w:sz w:val="32"/>
          <w:szCs w:val="32"/>
        </w:rPr>
        <w:t xml:space="preserve"> </w:t>
      </w:r>
      <w:r>
        <w:rPr>
          <w:rFonts w:ascii="FreeSerif" w:hAnsi="FreeSerif" w:cs="FreeSerif" w:eastAsia="仿宋_GB2312"/>
          <w:spacing w:val="6"/>
          <w:sz w:val="32"/>
          <w:szCs w:val="32"/>
        </w:rPr>
        <w:t>为加强工业固体废物管理，防治环境污染，保障公众健康，维护生态安全，推进生态文明建设，促进经济社会可持续发展，根据《中华人民共和国固体废物污染环境防治法》和其他有关法律、法规，结合本市实际，制定本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highlight w:val="yellow"/>
        </w:rPr>
      </w:pPr>
      <w:r>
        <w:rPr>
          <w:rFonts w:ascii="FreeSerif" w:hAnsi="FreeSerif" w:cs="FreeSerif" w:eastAsia="黑体"/>
          <w:sz w:val="32"/>
          <w:szCs w:val="32"/>
        </w:rPr>
        <w:t>第二条</w:t>
      </w:r>
      <w:r>
        <w:rPr>
          <w:rFonts w:ascii="FreeSerif" w:hAnsi="FreeSerif" w:cs="FreeSerif" w:hint="eastAsia" w:eastAsia="黑体"/>
          <w:sz w:val="32"/>
          <w:szCs w:val="32"/>
        </w:rPr>
        <w:t xml:space="preserve"> </w:t>
      </w:r>
      <w:r>
        <w:rPr>
          <w:rFonts w:ascii="FreeSerif" w:hAnsi="FreeSerif" w:cs="FreeSerif" w:eastAsia="仿宋_GB2312"/>
          <w:spacing w:val="6"/>
          <w:sz w:val="32"/>
          <w:szCs w:val="32"/>
        </w:rPr>
        <w:t>本市行政区域内工业固体废物的产生、收集、贮存、运输、利用、处置及相关管理活动适用本规定。法律、法规对工业固体废物管理另有规定的，从其规定。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本规定所称工业固体废物，是指在工业生产活动中产生的固体废物，包括工业危险废物和一般工业固体废物。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工业危险废物是指列入国家危险废物名录或者根据国家规定的危险废物鉴别标准和鉴别方法认定的具有危险特性的工业固体废物。一般工业固体废物是指不属于工业危险废物的工业固体废物。</w:t>
      </w:r>
    </w:p>
    <w:p>
      <w:pPr>
        <w:pStyle w:val="Style15"/>
        <w:keepNext w:val="false"/>
        <w:keepLines w:val="false"/>
        <w:pageBreakBefore w:val="false"/>
        <w:kinsoku w:val="true"/>
        <w:overflowPunct w:val="true"/>
        <w:autoSpaceDE w:val="true"/>
        <w:bidi w:val="0"/>
        <w:spacing w:lineRule="exact" w:line="560"/>
        <w:rPr>
          <w:rFonts w:ascii="FreeSerif" w:hAnsi="FreeSerif" w:eastAsia="仿宋_GB2312" w:cs="FreeSerif"/>
          <w:spacing w:val="6"/>
          <w:sz w:val="32"/>
          <w:szCs w:val="32"/>
        </w:rPr>
      </w:pPr>
      <w:r>
        <w:rPr>
          <w:rFonts w:ascii="FreeSerif" w:hAnsi="FreeSerif" w:cs="FreeSerif" w:eastAsia="黑体"/>
          <w:sz w:val="32"/>
          <w:szCs w:val="32"/>
        </w:rPr>
        <w:t>第三条</w:t>
      </w:r>
      <w:r>
        <w:rPr>
          <w:rFonts w:ascii="FreeSerif" w:hAnsi="FreeSerif" w:cs="FreeSerif" w:hint="eastAsia" w:eastAsia="仿宋_GB2312"/>
          <w:spacing w:val="6"/>
          <w:sz w:val="32"/>
          <w:szCs w:val="32"/>
        </w:rPr>
        <w:t xml:space="preserve"> </w:t>
      </w:r>
      <w:r>
        <w:rPr>
          <w:rFonts w:ascii="FreeSerif" w:hAnsi="FreeSerif" w:cs="FreeSerif" w:eastAsia="仿宋_GB2312"/>
          <w:spacing w:val="6"/>
          <w:sz w:val="32"/>
          <w:szCs w:val="32"/>
        </w:rPr>
        <w:t>工业固体废物管理遵循源头减量、综合利用、全程监管、就近处置的原则，推动工业固体废物减量化、资源化、无害化。</w:t>
      </w:r>
    </w:p>
    <w:p>
      <w:pPr>
        <w:pStyle w:val="Normal"/>
        <w:keepNext w:val="false"/>
        <w:keepLines w:val="false"/>
        <w:pageBreakBefore w:val="false"/>
        <w:shd w:fill="FFFFFF" w:val="clear"/>
        <w:kinsoku w:val="true"/>
        <w:overflowPunct w:val="true"/>
        <w:autoSpaceDE w:val="true"/>
        <w:bidi w:val="0"/>
        <w:spacing w:lineRule="exact" w:line="560"/>
        <w:ind w:firstLineChars="200" w:startChars="0" w:start="0" w:endChars="0" w:end="0"/>
        <w:textAlignment w:val="baseline"/>
        <w:rPr>
          <w:rFonts w:ascii="FreeSerif" w:hAnsi="FreeSerif" w:cs="FreeSerif"/>
          <w:color w:val="000000"/>
        </w:rPr>
      </w:pPr>
      <w:r>
        <w:rPr>
          <w:rFonts w:ascii="FreeSerif" w:hAnsi="FreeSerif" w:cs="FreeSerif" w:eastAsia="黑体"/>
          <w:color w:val="000000"/>
          <w:sz w:val="32"/>
          <w:szCs w:val="32"/>
        </w:rPr>
        <w:t xml:space="preserve">第四条 </w:t>
      </w:r>
      <w:r>
        <w:rPr>
          <w:rFonts w:ascii="FreeSerif" w:hAnsi="FreeSerif" w:cs="FreeSerif" w:eastAsia="仿宋_GB2312"/>
          <w:color w:val="000000"/>
          <w:spacing w:val="6"/>
          <w:sz w:val="32"/>
          <w:szCs w:val="32"/>
        </w:rPr>
        <w:t>产生、收集、贮存、运输、利用、处置工业固体废物的单位和其他生产经营者应当建立健全污染环境防治责任制度，明确责任人、责任岗位和管理措施，防止或者减少工业固体废物对环境的污染，对所造成的环境污染依法承担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黑体"/>
          <w:sz w:val="32"/>
          <w:szCs w:val="32"/>
        </w:rPr>
        <w:t xml:space="preserve">第五条 </w:t>
      </w:r>
      <w:r>
        <w:rPr>
          <w:rFonts w:ascii="FreeSerif" w:hAnsi="FreeSerif" w:cs="FreeSerif" w:eastAsia="仿宋_GB2312"/>
          <w:spacing w:val="6"/>
          <w:sz w:val="32"/>
          <w:szCs w:val="32"/>
        </w:rPr>
        <w:t>市、县（市、区）、乡（镇）人民政府和街道办事处对本辖区内工业固体废物污染环境防治负责。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市、县（市、区）人民政府应当加强对工业固体废物管理工作的领导，建立工业固体废物管理协调机制，将工业固体废物污染环境防治目标完成情况纳入对本级人民政府负有环境保护监督管理职责的部门及其负责人和下级人民政府及其负责人的考核内容，作为对其考核评价的重要依据。</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乡（镇）人民政府、街道办事处应当</w:t>
      </w:r>
      <w:r>
        <w:rPr>
          <w:rFonts w:ascii="FreeSerif" w:hAnsi="FreeSerif" w:cs="FreeSerif" w:eastAsia="仿宋_GB2312"/>
          <w:spacing w:val="6"/>
          <w:sz w:val="32"/>
          <w:szCs w:val="32"/>
          <w:lang w:eastAsia="zh-CN"/>
        </w:rPr>
        <w:t>落实环境污染日常</w:t>
      </w:r>
      <w:r>
        <w:rPr>
          <w:rFonts w:ascii="FreeSerif" w:hAnsi="FreeSerif" w:cs="FreeSerif" w:eastAsia="仿宋_GB2312"/>
          <w:spacing w:val="6"/>
          <w:sz w:val="32"/>
          <w:szCs w:val="32"/>
        </w:rPr>
        <w:t>网格</w:t>
      </w:r>
      <w:r>
        <w:rPr>
          <w:rFonts w:ascii="FreeSerif" w:hAnsi="FreeSerif" w:cs="FreeSerif" w:eastAsia="仿宋_GB2312"/>
          <w:spacing w:val="6"/>
          <w:sz w:val="32"/>
          <w:szCs w:val="32"/>
          <w:lang w:eastAsia="zh-CN"/>
        </w:rPr>
        <w:t>巡查机制</w:t>
      </w:r>
      <w:r>
        <w:rPr>
          <w:rFonts w:ascii="FreeSerif" w:hAnsi="FreeSerif" w:cs="FreeSerif" w:eastAsia="仿宋_GB2312"/>
          <w:spacing w:val="6"/>
          <w:sz w:val="32"/>
          <w:szCs w:val="32"/>
        </w:rPr>
        <w:t>，发现违法倾倒、堆放、丢弃、遗撒</w:t>
      </w:r>
      <w:r>
        <w:rPr>
          <w:rFonts w:ascii="FreeSerif" w:hAnsi="FreeSerif" w:cs="FreeSerif" w:eastAsia="仿宋_GB2312"/>
          <w:spacing w:val="6"/>
          <w:sz w:val="32"/>
          <w:szCs w:val="32"/>
          <w:lang w:eastAsia="zh-CN"/>
        </w:rPr>
        <w:t>工业固体废物等</w:t>
      </w:r>
      <w:r>
        <w:rPr>
          <w:rFonts w:ascii="FreeSerif" w:hAnsi="FreeSerif" w:cs="FreeSerif" w:eastAsia="仿宋_GB2312"/>
          <w:spacing w:val="6"/>
          <w:sz w:val="32"/>
          <w:szCs w:val="32"/>
        </w:rPr>
        <w:t>污染环境</w:t>
      </w:r>
      <w:r>
        <w:rPr>
          <w:rFonts w:ascii="FreeSerif" w:hAnsi="FreeSerif" w:cs="FreeSerif" w:eastAsia="仿宋_GB2312"/>
          <w:spacing w:val="6"/>
          <w:sz w:val="32"/>
          <w:szCs w:val="32"/>
          <w:lang w:eastAsia="zh-CN"/>
        </w:rPr>
        <w:t>行为</w:t>
      </w:r>
      <w:r>
        <w:rPr>
          <w:rFonts w:ascii="FreeSerif" w:hAnsi="FreeSerif" w:cs="FreeSerif" w:eastAsia="仿宋_GB2312"/>
          <w:spacing w:val="6"/>
          <w:sz w:val="32"/>
          <w:szCs w:val="32"/>
        </w:rPr>
        <w:t>的，应当及时制止，</w:t>
      </w:r>
      <w:r>
        <w:rPr>
          <w:rFonts w:ascii="FreeSerif" w:hAnsi="FreeSerif" w:cs="FreeSerif" w:eastAsia="仿宋_GB2312"/>
          <w:spacing w:val="6"/>
          <w:sz w:val="32"/>
          <w:szCs w:val="32"/>
          <w:lang w:eastAsia="zh-CN"/>
        </w:rPr>
        <w:t>并</w:t>
      </w:r>
      <w:r>
        <w:rPr>
          <w:rFonts w:ascii="FreeSerif" w:hAnsi="FreeSerif" w:cs="FreeSerif" w:eastAsia="仿宋_GB2312"/>
          <w:spacing w:val="6"/>
          <w:sz w:val="32"/>
          <w:szCs w:val="32"/>
        </w:rPr>
        <w:t>向县（市、区）生态环境部门报告，配合做好处置工作。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开发区（园区）管理机构按照市、县（市、区）人民政府确定的职责做好工业固体废物污染环境防治的监督管理工作。</w:t>
      </w:r>
    </w:p>
    <w:p>
      <w:pPr>
        <w:pStyle w:val="Style15"/>
        <w:keepNext w:val="false"/>
        <w:keepLines w:val="false"/>
        <w:pageBreakBefore w:val="false"/>
        <w:kinsoku w:val="true"/>
        <w:overflowPunct w:val="true"/>
        <w:autoSpaceDE w:val="true"/>
        <w:bidi w:val="0"/>
        <w:spacing w:lineRule="exact" w:line="560"/>
        <w:rPr>
          <w:rFonts w:ascii="FreeSerif" w:hAnsi="FreeSerif" w:eastAsia="仿宋_GB2312" w:cs="FreeSerif"/>
          <w:spacing w:val="6"/>
          <w:sz w:val="32"/>
          <w:szCs w:val="32"/>
        </w:rPr>
      </w:pPr>
      <w:r>
        <w:rPr>
          <w:rFonts w:ascii="FreeSerif" w:hAnsi="FreeSerif" w:cs="FreeSerif" w:eastAsia="黑体"/>
          <w:sz w:val="32"/>
          <w:szCs w:val="32"/>
        </w:rPr>
        <w:t xml:space="preserve">第六条 </w:t>
      </w:r>
      <w:r>
        <w:rPr>
          <w:rFonts w:ascii="FreeSerif" w:hAnsi="FreeSerif" w:cs="FreeSerif" w:eastAsia="仿宋_GB2312"/>
          <w:spacing w:val="6"/>
          <w:sz w:val="32"/>
          <w:szCs w:val="32"/>
        </w:rPr>
        <w:t>生态环境主管部门负责本行政区域内工业固体废物污染环境防治的统一监督管理工作。</w:t>
      </w:r>
    </w:p>
    <w:p>
      <w:pPr>
        <w:pStyle w:val="Style15"/>
        <w:keepNext w:val="false"/>
        <w:keepLines w:val="false"/>
        <w:pageBreakBefore w:val="false"/>
        <w:kinsoku w:val="true"/>
        <w:overflowPunct w:val="true"/>
        <w:autoSpaceDE w:val="true"/>
        <w:bidi w:val="0"/>
        <w:spacing w:lineRule="exact" w:line="560"/>
        <w:rPr>
          <w:rFonts w:ascii="FreeSerif" w:hAnsi="FreeSerif" w:eastAsia="仿宋_GB2312" w:cs="FreeSerif"/>
          <w:spacing w:val="6"/>
          <w:sz w:val="32"/>
          <w:szCs w:val="32"/>
        </w:rPr>
      </w:pPr>
      <w:r>
        <w:rPr>
          <w:rFonts w:ascii="FreeSerif" w:hAnsi="FreeSerif" w:cs="FreeSerif" w:eastAsia="仿宋_GB2312"/>
          <w:spacing w:val="6"/>
          <w:sz w:val="32"/>
          <w:szCs w:val="32"/>
        </w:rPr>
        <w:t>发展改革部门负责本行政区域内工业固体废物循环利用的组织协调工作。</w:t>
      </w:r>
    </w:p>
    <w:p>
      <w:pPr>
        <w:pStyle w:val="Style15"/>
        <w:keepNext w:val="false"/>
        <w:keepLines w:val="false"/>
        <w:pageBreakBefore w:val="false"/>
        <w:kinsoku w:val="true"/>
        <w:overflowPunct w:val="true"/>
        <w:autoSpaceDE w:val="true"/>
        <w:bidi w:val="0"/>
        <w:spacing w:lineRule="exact" w:line="560"/>
        <w:rPr>
          <w:rFonts w:ascii="FreeSerif" w:hAnsi="FreeSerif" w:eastAsia="仿宋_GB2312" w:cs="FreeSerif"/>
          <w:spacing w:val="6"/>
          <w:sz w:val="32"/>
          <w:szCs w:val="32"/>
        </w:rPr>
      </w:pPr>
      <w:r>
        <w:rPr>
          <w:rFonts w:ascii="FreeSerif" w:hAnsi="FreeSerif" w:cs="FreeSerif" w:eastAsia="仿宋_GB2312"/>
          <w:spacing w:val="6"/>
          <w:sz w:val="32"/>
          <w:szCs w:val="32"/>
        </w:rPr>
        <w:t>经济和信息化部门负责本行政区域内工业固体废物综合利用及固体废物处理技术产业化推广工作。</w:t>
      </w:r>
    </w:p>
    <w:p>
      <w:pPr>
        <w:pStyle w:val="Style15"/>
        <w:keepNext w:val="false"/>
        <w:keepLines w:val="false"/>
        <w:pageBreakBefore w:val="false"/>
        <w:kinsoku w:val="true"/>
        <w:overflowPunct w:val="true"/>
        <w:autoSpaceDE w:val="true"/>
        <w:bidi w:val="0"/>
        <w:spacing w:lineRule="exact" w:line="560"/>
        <w:rPr>
          <w:rFonts w:ascii="FreeSerif" w:hAnsi="FreeSerif" w:eastAsia="仿宋_GB2312" w:cs="FreeSerif"/>
          <w:spacing w:val="6"/>
          <w:sz w:val="32"/>
          <w:szCs w:val="32"/>
        </w:rPr>
      </w:pPr>
      <w:r>
        <w:rPr>
          <w:rFonts w:ascii="FreeSerif" w:hAnsi="FreeSerif" w:cs="FreeSerif" w:eastAsia="仿宋_GB2312"/>
          <w:spacing w:val="6"/>
          <w:sz w:val="32"/>
          <w:szCs w:val="32"/>
        </w:rPr>
        <w:t>交通运输、商务、自然资源和规划、公安、应急管理、市场监督管理等部门按照各自职责做好工业固体废物污染环境防治的监督管理工作。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color w:val="FF0000"/>
          <w:spacing w:val="6"/>
          <w:sz w:val="32"/>
          <w:szCs w:val="32"/>
        </w:rPr>
      </w:pPr>
      <w:r>
        <w:rPr>
          <w:rFonts w:ascii="FreeSerif" w:hAnsi="FreeSerif" w:cs="FreeSerif" w:eastAsia="黑体"/>
          <w:color w:val="000000"/>
          <w:sz w:val="32"/>
          <w:szCs w:val="32"/>
        </w:rPr>
        <w:t>第七条</w:t>
      </w:r>
      <w:r>
        <w:rPr>
          <w:rFonts w:ascii="FreeSerif" w:hAnsi="FreeSerif" w:cs="FreeSerif" w:eastAsia="黑体"/>
          <w:color w:val="FF0000"/>
          <w:sz w:val="32"/>
          <w:szCs w:val="32"/>
        </w:rPr>
        <w:t xml:space="preserve"> </w:t>
      </w:r>
      <w:r>
        <w:rPr>
          <w:rFonts w:ascii="FreeSerif" w:hAnsi="FreeSerif" w:cs="FreeSerif" w:eastAsia="仿宋_GB2312"/>
          <w:color w:val="000000"/>
          <w:spacing w:val="6"/>
          <w:sz w:val="32"/>
          <w:szCs w:val="32"/>
        </w:rPr>
        <w:t>市、县（市、区）人民政府应当鼓励和扶持工业固体废物综合利用项目建设，对科技开发、技术改造和产品的示范与推广给予资金或者其他支持。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黑体"/>
          <w:sz w:val="32"/>
          <w:szCs w:val="32"/>
        </w:rPr>
        <w:t xml:space="preserve">第八条 </w:t>
      </w:r>
      <w:r>
        <w:rPr>
          <w:rFonts w:ascii="FreeSerif" w:hAnsi="FreeSerif" w:cs="FreeSerif" w:eastAsia="仿宋_GB2312"/>
          <w:spacing w:val="6"/>
          <w:sz w:val="32"/>
          <w:szCs w:val="32"/>
        </w:rPr>
        <w:t>县（市、区）人民政府应当加强工业固体废物统一收运体系建设，合理布局工业危险废物收集转运中心和一般工业固体废物二次分拣中心。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鼓励社会力量依法投资、建设、运营工业危险废物收集转运中心和一般工业固体废物二次分拣中心。</w:t>
      </w:r>
    </w:p>
    <w:p>
      <w:pPr>
        <w:pStyle w:val="Style15"/>
        <w:keepNext w:val="false"/>
        <w:keepLines w:val="false"/>
        <w:pageBreakBefore w:val="false"/>
        <w:kinsoku w:val="true"/>
        <w:overflowPunct w:val="true"/>
        <w:autoSpaceDE w:val="true"/>
        <w:bidi w:val="0"/>
        <w:spacing w:lineRule="exact" w:line="560"/>
        <w:rPr>
          <w:rFonts w:ascii="FreeSerif" w:hAnsi="FreeSerif" w:eastAsia="仿宋_GB2312" w:cs="FreeSerif"/>
          <w:spacing w:val="6"/>
          <w:sz w:val="32"/>
          <w:szCs w:val="32"/>
        </w:rPr>
      </w:pPr>
      <w:r>
        <w:rPr>
          <w:rFonts w:ascii="FreeSerif" w:hAnsi="FreeSerif" w:cs="FreeSerif" w:eastAsia="黑体"/>
          <w:sz w:val="32"/>
          <w:szCs w:val="32"/>
          <w:u w:val="none"/>
        </w:rPr>
        <w:t>第九条</w:t>
      </w:r>
      <w:r>
        <w:rPr>
          <w:rFonts w:ascii="FreeSerif" w:hAnsi="FreeSerif" w:cs="FreeSerif" w:eastAsia="仿宋_GB2312"/>
          <w:spacing w:val="6"/>
          <w:sz w:val="32"/>
          <w:szCs w:val="32"/>
        </w:rPr>
        <w:t xml:space="preserve"> 市、县（市、区）人民政府应当按照工业固体废物就近处置的原则，优化工业固体废物处置布局，提升处置能力；倡导产生工业固体废物的单位和其他生产经营者通过工业固体废物统一收运体系就近处置工业固体废物。</w:t>
      </w:r>
    </w:p>
    <w:p>
      <w:pPr>
        <w:pStyle w:val="Normal"/>
        <w:keepNext w:val="false"/>
        <w:keepLines w:val="false"/>
        <w:pageBreakBefore w:val="false"/>
        <w:shd w:fill="FFFFFF" w:val="clear"/>
        <w:kinsoku w:val="true"/>
        <w:overflowPunct w:val="true"/>
        <w:autoSpaceDE w:val="true"/>
        <w:bidi w:val="0"/>
        <w:spacing w:lineRule="exact" w:line="560"/>
        <w:ind w:firstLineChars="200" w:startChars="0" w:start="0" w:endChars="0" w:end="0"/>
        <w:textAlignment w:val="baseline"/>
        <w:rPr>
          <w:rFonts w:ascii="FreeSerif" w:hAnsi="FreeSerif" w:eastAsia="仿宋_GB2312" w:cs="FreeSerif"/>
          <w:spacing w:val="6"/>
          <w:sz w:val="32"/>
          <w:szCs w:val="32"/>
        </w:rPr>
      </w:pPr>
      <w:r>
        <w:rPr>
          <w:rFonts w:ascii="FreeSerif" w:hAnsi="FreeSerif" w:cs="FreeSerif" w:eastAsia="黑体"/>
          <w:sz w:val="32"/>
          <w:szCs w:val="32"/>
        </w:rPr>
        <w:t xml:space="preserve">第十条 </w:t>
      </w:r>
      <w:r>
        <w:rPr>
          <w:rFonts w:ascii="FreeSerif" w:hAnsi="FreeSerif" w:cs="FreeSerif" w:eastAsia="仿宋_GB2312"/>
          <w:spacing w:val="6"/>
          <w:sz w:val="32"/>
          <w:szCs w:val="32"/>
        </w:rPr>
        <w:t>生态环境主管部门应当加强工业固体废物管理数字化建设，</w:t>
      </w:r>
      <w:r>
        <w:rPr>
          <w:rFonts w:ascii="FreeSerif" w:hAnsi="FreeSerif" w:cs="FreeSerif" w:eastAsia="仿宋_GB2312"/>
          <w:color w:val="000000"/>
          <w:spacing w:val="6"/>
          <w:sz w:val="32"/>
          <w:szCs w:val="32"/>
        </w:rPr>
        <w:t>推进</w:t>
      </w:r>
      <w:r>
        <w:rPr>
          <w:rFonts w:ascii="FreeSerif" w:hAnsi="FreeSerif" w:cs="FreeSerif" w:eastAsia="仿宋_GB2312"/>
          <w:spacing w:val="6"/>
          <w:sz w:val="32"/>
          <w:szCs w:val="32"/>
        </w:rPr>
        <w:t>建立统一的工业固体废物信息平台，实现工业固体废物污染环境防治全流程数字化管理。</w:t>
      </w:r>
    </w:p>
    <w:p>
      <w:pPr>
        <w:pStyle w:val="Normal"/>
        <w:keepNext w:val="false"/>
        <w:keepLines w:val="false"/>
        <w:pageBreakBefore w:val="false"/>
        <w:shd w:fill="FFFFFF" w:val="clear"/>
        <w:kinsoku w:val="true"/>
        <w:overflowPunct w:val="true"/>
        <w:autoSpaceDE w:val="true"/>
        <w:bidi w:val="0"/>
        <w:spacing w:lineRule="exact" w:line="560"/>
        <w:ind w:firstLineChars="200" w:startChars="0" w:start="0" w:endChars="0" w:end="0"/>
        <w:textAlignment w:val="baseline"/>
        <w:rPr>
          <w:rFonts w:ascii="FreeSerif" w:hAnsi="FreeSerif" w:eastAsia="仿宋_GB2312" w:cs="FreeSerif"/>
          <w:spacing w:val="6"/>
          <w:sz w:val="32"/>
          <w:szCs w:val="32"/>
        </w:rPr>
      </w:pPr>
      <w:r>
        <w:rPr>
          <w:rFonts w:ascii="FreeSerif" w:hAnsi="FreeSerif" w:cs="FreeSerif" w:eastAsia="仿宋_GB2312"/>
          <w:spacing w:val="6"/>
          <w:sz w:val="32"/>
          <w:szCs w:val="32"/>
        </w:rPr>
        <w:t>生态环境、发展改革、经济和信息化、交通运输、商务、自然资源和规划、公安、应急管理、市场监督管理等部门应当建立工业固体废物管理信息共享机制，实现数据共享和业务协同。</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黑体"/>
          <w:sz w:val="32"/>
          <w:szCs w:val="32"/>
        </w:rPr>
        <w:t xml:space="preserve">第十一条 </w:t>
      </w:r>
      <w:r>
        <w:rPr>
          <w:rFonts w:ascii="FreeSerif" w:hAnsi="FreeSerif" w:cs="FreeSerif" w:eastAsia="仿宋_GB2312"/>
          <w:spacing w:val="6"/>
          <w:sz w:val="32"/>
          <w:szCs w:val="32"/>
        </w:rPr>
        <w:t>产生、收集、贮存、运输、利用、处置工业固体废物的单位和其他生产经营者应当向所在地生态环境主管部门提供工业固体废物的种类、数量、流向、贮存、利用、处置等有关资料，以及减少工业固体废物产生、促进综合利用和防治工业固体废物污染环境的具体措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鼓励产生、收集、贮存、运输、利用、处置工业固体废物的单位和其他生产经营者通过工业固体废物信息平台建立台账、报送有关资料。产生工业危险废物的单位和其他生产经营者，应当通过国家危险废物信息管理系统申报工业危险废物的种类、产生量、流向、贮存、处置等有关资料。</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黑体"/>
          <w:sz w:val="32"/>
          <w:szCs w:val="32"/>
        </w:rPr>
        <w:t xml:space="preserve">第十二条 </w:t>
      </w:r>
      <w:r>
        <w:rPr>
          <w:rFonts w:ascii="FreeSerif" w:hAnsi="FreeSerif" w:cs="FreeSerif" w:eastAsia="仿宋_GB2312"/>
          <w:spacing w:val="6"/>
          <w:sz w:val="32"/>
          <w:szCs w:val="32"/>
        </w:rPr>
        <w:t>市生态环境主管部门应当按照工业固体废物产生量、对环境影响程度、是否因生态环境违法行为被追究刑事责任或者受到行政处罚等因素，将管理对象分为一般监管对象和重点监管对象，并定期公布重点监管对象名录。</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黑体"/>
          <w:sz w:val="32"/>
          <w:szCs w:val="32"/>
        </w:rPr>
        <w:t xml:space="preserve">第十三条 </w:t>
      </w:r>
      <w:r>
        <w:rPr>
          <w:rFonts w:ascii="FreeSerif" w:hAnsi="FreeSerif" w:cs="FreeSerif" w:eastAsia="仿宋_GB2312"/>
          <w:spacing w:val="6"/>
          <w:sz w:val="32"/>
          <w:szCs w:val="32"/>
        </w:rPr>
        <w:t>重点监管单位贮存工业固体废物的，应当在贮存场所内及出入口安装视频监控设备，保证设备正常运行。视频监控设备应当与生态环境主管部门监控系统联网。</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违反前款规定，未安装视频监控设备、设备未正常运行或者未与生态环境主管部门监控系统联网的，由生态环境主管部门责令改正；逾期不改正的，处五千元以上五万元以下的罚款。</w:t>
      </w:r>
    </w:p>
    <w:p>
      <w:pPr>
        <w:pStyle w:val="Normal"/>
        <w:keepNext w:val="false"/>
        <w:keepLines w:val="false"/>
        <w:pageBreakBefore w:val="false"/>
        <w:widowControl/>
        <w:suppressLineNumbers w:val="0"/>
        <w:kinsoku w:val="true"/>
        <w:overflowPunct w:val="true"/>
        <w:autoSpaceDE w:val="true"/>
        <w:bidi w:val="0"/>
        <w:spacing w:lineRule="exact" w:line="560"/>
        <w:ind w:firstLineChars="200" w:startChars="0" w:start="0" w:endChars="0" w:end="0"/>
        <w:jc w:val="start"/>
        <w:rPr>
          <w:rFonts w:ascii="FreeSerif" w:hAnsi="FreeSerif" w:eastAsia="仿宋_GB2312" w:cs="FreeSerif"/>
          <w:spacing w:val="6"/>
          <w:sz w:val="32"/>
          <w:szCs w:val="32"/>
        </w:rPr>
      </w:pPr>
      <w:r>
        <w:rPr>
          <w:rFonts w:ascii="FreeSerif" w:hAnsi="FreeSerif" w:cs="FreeSerif" w:eastAsia="黑体"/>
          <w:sz w:val="32"/>
          <w:szCs w:val="32"/>
        </w:rPr>
        <w:t xml:space="preserve">第十四条 </w:t>
      </w:r>
      <w:r>
        <w:rPr>
          <w:rFonts w:ascii="FreeSerif" w:hAnsi="FreeSerif" w:cs="FreeSerif" w:eastAsia="仿宋_GB2312"/>
          <w:spacing w:val="6"/>
          <w:sz w:val="32"/>
          <w:szCs w:val="32"/>
        </w:rPr>
        <w:t>产生工业固体废物的单位和其他生产经营者应当按照国家和省的有关规定，开展工业固体废物实际产生种类、数量、流向、主要污染物成分、利用处置方式可行性、贮存能力和贮存设施规范性等的核查，并向所在地生态环境主管部门报告。</w:t>
      </w:r>
    </w:p>
    <w:p>
      <w:pPr>
        <w:pStyle w:val="Normal"/>
        <w:keepNext w:val="false"/>
        <w:keepLines w:val="false"/>
        <w:pageBreakBefore w:val="false"/>
        <w:widowControl/>
        <w:suppressLineNumbers w:val="0"/>
        <w:kinsoku w:val="true"/>
        <w:overflowPunct w:val="true"/>
        <w:autoSpaceDE w:val="true"/>
        <w:bidi w:val="0"/>
        <w:spacing w:lineRule="exact" w:line="560"/>
        <w:ind w:firstLineChars="200" w:startChars="0" w:start="0" w:endChars="0" w:end="0"/>
        <w:jc w:val="start"/>
        <w:rPr>
          <w:rFonts w:ascii="FreeSerif" w:hAnsi="FreeSerif" w:eastAsia="仿宋_GB2312" w:cs="FreeSerif"/>
          <w:spacing w:val="6"/>
          <w:sz w:val="32"/>
          <w:szCs w:val="32"/>
        </w:rPr>
      </w:pPr>
      <w:r>
        <w:rPr>
          <w:rFonts w:ascii="FreeSerif" w:hAnsi="FreeSerif" w:cs="FreeSerif" w:eastAsia="仿宋_GB2312"/>
          <w:spacing w:val="6"/>
          <w:sz w:val="32"/>
          <w:szCs w:val="32"/>
        </w:rPr>
        <w:t xml:space="preserve">生态环境主管部门发现核查报告内容不实或者核查结果有误的，应当及时启动核实工作。 </w:t>
      </w:r>
    </w:p>
    <w:p>
      <w:pPr>
        <w:pStyle w:val="BodyText"/>
        <w:keepNext w:val="false"/>
        <w:keepLines w:val="false"/>
        <w:pageBreakBefore w:val="false"/>
        <w:kinsoku w:val="true"/>
        <w:overflowPunct w:val="true"/>
        <w:autoSpaceDE w:val="true"/>
        <w:bidi w:val="0"/>
        <w:spacing w:lineRule="exact" w:line="560"/>
        <w:rPr>
          <w:rFonts w:ascii="FreeSerif" w:hAnsi="FreeSerif" w:cs="FreeSerif"/>
          <w:lang w:val="en"/>
        </w:rPr>
      </w:pPr>
      <w:r>
        <w:rPr>
          <w:rFonts w:cs="FreeSerif" w:ascii="FreeSerif" w:hAnsi="FreeSerif"/>
          <w:spacing w:val="6"/>
          <w:sz w:val="32"/>
          <w:szCs w:val="32"/>
          <w:lang w:val="en"/>
        </w:rPr>
        <w:t xml:space="preserve">    </w:t>
      </w:r>
      <w:r>
        <w:rPr>
          <w:rFonts w:ascii="FreeSerif" w:hAnsi="FreeSerif" w:cs="FreeSerif" w:eastAsia="仿宋_GB2312"/>
          <w:spacing w:val="6"/>
          <w:sz w:val="32"/>
          <w:szCs w:val="32"/>
        </w:rPr>
        <w:t>生态环境主管部门可以通过政府购买服务的方式委托技</w:t>
      </w:r>
    </w:p>
    <w:p>
      <w:pPr>
        <w:pStyle w:val="Normal"/>
        <w:keepNext w:val="false"/>
        <w:keepLines w:val="false"/>
        <w:pageBreakBefore w:val="false"/>
        <w:widowControl/>
        <w:suppressLineNumbers w:val="0"/>
        <w:kinsoku w:val="true"/>
        <w:overflowPunct w:val="true"/>
        <w:autoSpaceDE w:val="true"/>
        <w:bidi w:val="0"/>
        <w:spacing w:lineRule="exact" w:line="560"/>
        <w:jc w:val="start"/>
        <w:rPr>
          <w:rFonts w:ascii="FreeSerif" w:hAnsi="FreeSerif" w:eastAsia="仿宋_GB2312" w:cs="FreeSerif"/>
          <w:spacing w:val="6"/>
          <w:sz w:val="32"/>
          <w:szCs w:val="32"/>
        </w:rPr>
      </w:pPr>
      <w:r>
        <w:rPr>
          <w:rFonts w:ascii="FreeSerif" w:hAnsi="FreeSerif" w:cs="FreeSerif" w:eastAsia="仿宋_GB2312"/>
          <w:spacing w:val="6"/>
          <w:sz w:val="32"/>
          <w:szCs w:val="32"/>
        </w:rPr>
        <w:t>术服务机构提供核实服务。技术服务机构应当对提交的核实结果的真实性、完整性和准确性负责。</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both"/>
        <w:rPr>
          <w:rFonts w:ascii="FreeSerif" w:hAnsi="FreeSerif" w:eastAsia="仿宋_GB2312" w:cs="FreeSerif"/>
          <w:spacing w:val="6"/>
          <w:sz w:val="32"/>
          <w:szCs w:val="32"/>
        </w:rPr>
      </w:pPr>
      <w:r>
        <w:rPr>
          <w:rFonts w:ascii="FreeSerif" w:hAnsi="FreeSerif" w:cs="FreeSerif" w:eastAsia="黑体"/>
          <w:sz w:val="32"/>
          <w:szCs w:val="32"/>
        </w:rPr>
        <w:t xml:space="preserve">第十五条 </w:t>
      </w:r>
      <w:r>
        <w:rPr>
          <w:rFonts w:ascii="FreeSerif" w:hAnsi="FreeSerif" w:cs="FreeSerif" w:eastAsia="仿宋_GB2312"/>
          <w:spacing w:val="6"/>
          <w:sz w:val="32"/>
          <w:szCs w:val="32"/>
        </w:rPr>
        <w:t>禁止任何单位和个人在农用地和法律法规禁止的其他地点倾倒、堆放、丢弃、遗撒、贮存工业固体废物。</w:t>
      </w:r>
    </w:p>
    <w:p>
      <w:pPr>
        <w:pStyle w:val="Style15"/>
        <w:keepNext w:val="false"/>
        <w:keepLines w:val="false"/>
        <w:pageBreakBefore w:val="false"/>
        <w:kinsoku w:val="true"/>
        <w:overflowPunct w:val="true"/>
        <w:autoSpaceDE w:val="true"/>
        <w:bidi w:val="0"/>
        <w:spacing w:lineRule="exact" w:line="560"/>
        <w:rPr>
          <w:rFonts w:ascii="FreeSerif" w:hAnsi="FreeSerif" w:eastAsia="仿宋_GB2312" w:cs="FreeSerif"/>
          <w:spacing w:val="6"/>
          <w:sz w:val="32"/>
          <w:szCs w:val="32"/>
        </w:rPr>
      </w:pPr>
      <w:r>
        <w:rPr>
          <w:rFonts w:ascii="FreeSerif" w:hAnsi="FreeSerif" w:cs="FreeSerif" w:eastAsia="仿宋_GB2312"/>
          <w:spacing w:val="6"/>
          <w:sz w:val="32"/>
          <w:szCs w:val="32"/>
        </w:rPr>
        <w:t>违反前款规定，有下列行为之一的，由生态环境主管部门责令改正，处以罚款，没收违法所得；对情节严重的，报经有批准权的人民政府批准，可以责令停业或者关闭；对尚不构成犯罪的，由公安机关依照《中华人民共和国固体废物污染环境防治法》对法定代表人、主要负责人、直接负责的主管人员和其他责任人员处以拘留：</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both"/>
        <w:rPr>
          <w:rFonts w:ascii="FreeSerif" w:hAnsi="FreeSerif" w:eastAsia="仿宋_GB2312" w:cs="FreeSerif"/>
          <w:spacing w:val="6"/>
          <w:sz w:val="32"/>
          <w:szCs w:val="32"/>
        </w:rPr>
      </w:pPr>
      <w:r>
        <w:rPr>
          <w:rFonts w:ascii="FreeSerif" w:hAnsi="FreeSerif" w:cs="FreeSerif" w:eastAsia="仿宋_GB2312"/>
          <w:spacing w:val="6"/>
          <w:sz w:val="32"/>
          <w:szCs w:val="32"/>
        </w:rPr>
        <w:t>（一）倾倒、堆放、丢弃、遗撒、贮存一般工业固体废物，造成一般工业固体废物扬散、流失、渗漏或者其他环境污染的；</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both"/>
        <w:rPr>
          <w:rFonts w:ascii="FreeSerif" w:hAnsi="FreeSerif" w:eastAsia="仿宋_GB2312" w:cs="FreeSerif"/>
          <w:spacing w:val="6"/>
          <w:sz w:val="32"/>
          <w:szCs w:val="32"/>
        </w:rPr>
      </w:pPr>
      <w:r>
        <w:rPr>
          <w:rFonts w:ascii="FreeSerif" w:hAnsi="FreeSerif" w:cs="FreeSerif" w:eastAsia="仿宋_GB2312"/>
          <w:spacing w:val="6"/>
          <w:sz w:val="32"/>
          <w:szCs w:val="32"/>
        </w:rPr>
        <w:t>（二）倾倒、堆放、丢弃、遗撒、贮存工业危险废物的；</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both"/>
        <w:rPr>
          <w:rFonts w:ascii="FreeSerif" w:hAnsi="FreeSerif" w:eastAsia="仿宋_GB2312" w:cs="FreeSerif"/>
          <w:spacing w:val="6"/>
          <w:sz w:val="32"/>
          <w:szCs w:val="32"/>
        </w:rPr>
      </w:pPr>
      <w:r>
        <w:rPr>
          <w:rFonts w:ascii="FreeSerif" w:hAnsi="FreeSerif" w:cs="FreeSerif" w:eastAsia="仿宋_GB2312"/>
          <w:spacing w:val="6"/>
          <w:sz w:val="32"/>
          <w:szCs w:val="32"/>
        </w:rPr>
        <w:t>（三）在生态保护红线区域、永久基本农田集中区域和其他需要特别保护的区域内，建设一般工业固体废物、工业危险废物集中贮存设施、场所的。</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both"/>
        <w:rPr>
          <w:rFonts w:ascii="FreeSerif" w:hAnsi="FreeSerif" w:eastAsia="仿宋_GB2312" w:cs="FreeSerif"/>
          <w:strike w:val="false"/>
          <w:dstrike w:val="false"/>
          <w:color w:val="FF0000"/>
          <w:spacing w:val="6"/>
          <w:sz w:val="32"/>
          <w:szCs w:val="32"/>
        </w:rPr>
      </w:pPr>
      <w:r>
        <w:rPr>
          <w:rFonts w:ascii="FreeSerif" w:hAnsi="FreeSerif" w:cs="FreeSerif" w:eastAsia="仿宋_GB2312"/>
          <w:spacing w:val="6"/>
          <w:sz w:val="32"/>
          <w:szCs w:val="32"/>
        </w:rPr>
        <w:t>有前款第一项行为，处所需处置费用一倍以上三倍以下的罚款，所需处置费用不足十万元的，按十万元计算；有前款第二项行为，处所需处置费用三倍以上五倍以下的罚款，所需处置费用不足二十万元的，按二十万元计算；有前款第三项行为，处十万元以上一百万元以下</w:t>
      </w:r>
      <w:r>
        <w:rPr>
          <w:rFonts w:ascii="FreeSerif" w:hAnsi="FreeSerif" w:cs="FreeSerif" w:eastAsia="仿宋_GB2312"/>
          <w:color w:val="000000"/>
          <w:spacing w:val="6"/>
          <w:sz w:val="32"/>
          <w:szCs w:val="32"/>
          <w:shd w:fill="auto" w:val="clear"/>
        </w:rPr>
        <w:t>的</w:t>
      </w:r>
      <w:r>
        <w:rPr>
          <w:rFonts w:ascii="FreeSerif" w:hAnsi="FreeSerif" w:cs="FreeSerif" w:eastAsia="仿宋_GB2312"/>
          <w:spacing w:val="6"/>
          <w:sz w:val="32"/>
          <w:szCs w:val="32"/>
        </w:rPr>
        <w:t>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jc w:val="both"/>
        <w:rPr>
          <w:rFonts w:ascii="FreeSerif" w:hAnsi="FreeSerif" w:eastAsia="仿宋_GB2312" w:cs="FreeSerif"/>
          <w:spacing w:val="6"/>
          <w:sz w:val="32"/>
          <w:szCs w:val="32"/>
        </w:rPr>
      </w:pPr>
      <w:r>
        <w:rPr>
          <w:rFonts w:ascii="FreeSerif" w:hAnsi="FreeSerif" w:cs="FreeSerif" w:eastAsia="黑体"/>
          <w:sz w:val="32"/>
          <w:szCs w:val="32"/>
        </w:rPr>
        <w:t xml:space="preserve">第十六条 </w:t>
      </w:r>
      <w:r>
        <w:rPr>
          <w:rFonts w:ascii="FreeSerif" w:hAnsi="FreeSerif" w:cs="FreeSerif" w:eastAsia="仿宋_GB2312"/>
          <w:spacing w:val="6"/>
          <w:sz w:val="32"/>
          <w:szCs w:val="32"/>
        </w:rPr>
        <w:t>产生工业固体废物的单位和其他生产经营者委托他人运输、利用、处置工业固体废物前，应当对受托方的经营范围、证照信息、环境影响评价文件和</w:t>
      </w:r>
      <w:r>
        <w:rPr>
          <w:rFonts w:ascii="FreeSerif" w:hAnsi="FreeSerif" w:cs="FreeSerif" w:eastAsia="仿宋_GB2312"/>
          <w:strike w:val="false"/>
          <w:dstrike w:val="false"/>
          <w:color w:val="000000"/>
          <w:spacing w:val="6"/>
          <w:sz w:val="32"/>
          <w:szCs w:val="32"/>
        </w:rPr>
        <w:t>技术</w:t>
      </w:r>
      <w:r>
        <w:rPr>
          <w:rFonts w:ascii="FreeSerif" w:hAnsi="FreeSerif" w:cs="FreeSerif" w:eastAsia="仿宋_GB2312"/>
          <w:spacing w:val="6"/>
          <w:sz w:val="32"/>
          <w:szCs w:val="32"/>
        </w:rPr>
        <w:t>能力等情况进行核实，依法签订书面合同，在合同中约定运输、利用、处置的方式和污染防治要求。受托方应当提供相关材料，配合做好核实。</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黑体"/>
          <w:sz w:val="32"/>
          <w:szCs w:val="32"/>
        </w:rPr>
        <w:t xml:space="preserve">第十七条 </w:t>
      </w:r>
      <w:r>
        <w:rPr>
          <w:rFonts w:ascii="FreeSerif" w:hAnsi="FreeSerif" w:cs="FreeSerif" w:eastAsia="仿宋_GB2312"/>
          <w:spacing w:val="6"/>
          <w:sz w:val="32"/>
          <w:szCs w:val="32"/>
        </w:rPr>
        <w:t>对未列入《国家危险废物名录》但应当开展危险废物鉴别的工业固体废物，产生工业固体废物的单位和其他生产经营者应当按照国家有关规定，委托第三方开展危险废物鉴别，也可以自行开展危险废物鉴别。开展危险废物鉴别应当依据国家规定的危险废物鉴别标准和鉴别方法。</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在鉴别完成前，前款规定的工业固体废物不得按照一般工业固体废物管理。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违反前款规定，对本条第一款规定的工业固体废物在完成鉴别前按照一般工业固体废物管理的，由生态环境主管部门责令改正，处一万元以上十万元以下的罚款。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黑体"/>
          <w:sz w:val="32"/>
          <w:szCs w:val="32"/>
        </w:rPr>
        <w:t xml:space="preserve">第十八条 </w:t>
      </w:r>
      <w:r>
        <w:rPr>
          <w:rFonts w:ascii="FreeSerif" w:hAnsi="FreeSerif" w:cs="FreeSerif" w:eastAsia="仿宋_GB2312"/>
          <w:spacing w:val="6"/>
          <w:sz w:val="32"/>
          <w:szCs w:val="32"/>
        </w:rPr>
        <w:t>生态环境、发展改革、经济和信息化、交通运输、商务、自然资源和规划、公安、应急管理、市场监督管理、综合行政执法等有关部门应当建立联合执法机制，实现信息及时、充分、有效共享。</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仿宋_GB2312"/>
          <w:spacing w:val="6"/>
          <w:sz w:val="32"/>
          <w:szCs w:val="32"/>
        </w:rPr>
        <w:t>行政机关在行政执法中应当加强与司法机关的协调联动；发现违法行为涉嫌犯罪的，应当及时将案件移送司法机关，依法追究刑事责任。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仿宋_GB2312" w:cs="FreeSerif"/>
          <w:spacing w:val="6"/>
          <w:sz w:val="32"/>
          <w:szCs w:val="32"/>
        </w:rPr>
      </w:pPr>
      <w:r>
        <w:rPr>
          <w:rFonts w:ascii="FreeSerif" w:hAnsi="FreeSerif" w:cs="FreeSerif" w:eastAsia="黑体"/>
          <w:sz w:val="32"/>
          <w:szCs w:val="32"/>
        </w:rPr>
        <w:t xml:space="preserve">第十九条 </w:t>
      </w:r>
      <w:r>
        <w:rPr>
          <w:rFonts w:ascii="FreeSerif" w:hAnsi="FreeSerif" w:cs="FreeSerif" w:eastAsia="仿宋_GB2312"/>
          <w:spacing w:val="6"/>
          <w:sz w:val="32"/>
          <w:szCs w:val="32"/>
        </w:rPr>
        <w:t>违反本规定的行为，有关法律、行政法规和省的地方性法规已有法律责任规定的，从其规定。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FreeSerif" w:hAnsi="FreeSerif" w:eastAsia="楷体_GB2312" w:cs="FreeSerif"/>
          <w:b/>
          <w:spacing w:val="10"/>
        </w:rPr>
      </w:pPr>
      <w:r>
        <w:rPr>
          <w:rFonts w:ascii="FreeSerif" w:hAnsi="FreeSerif" w:cs="FreeSerif" w:eastAsia="黑体"/>
          <w:sz w:val="32"/>
          <w:szCs w:val="32"/>
        </w:rPr>
        <w:t xml:space="preserve">第二十条 </w:t>
      </w:r>
      <w:r>
        <w:rPr>
          <w:rFonts w:ascii="FreeSerif" w:hAnsi="FreeSerif" w:cs="FreeSerif" w:eastAsia="仿宋_GB2312"/>
          <w:spacing w:val="6"/>
          <w:sz w:val="32"/>
          <w:szCs w:val="32"/>
        </w:rPr>
        <w:t>本规定自</w:t>
      </w:r>
      <w:r>
        <w:rPr>
          <w:rFonts w:cs="FreeSerif" w:ascii="FreeSerif" w:hAnsi="FreeSerif"/>
          <w:spacing w:val="6"/>
          <w:sz w:val="32"/>
          <w:szCs w:val="32"/>
        </w:rPr>
        <w:t>2022</w:t>
      </w:r>
      <w:r>
        <w:rPr>
          <w:rFonts w:ascii="FreeSerif" w:hAnsi="FreeSerif" w:cs="FreeSerif" w:eastAsia="仿宋_GB2312"/>
          <w:spacing w:val="6"/>
          <w:sz w:val="32"/>
          <w:szCs w:val="32"/>
        </w:rPr>
        <w:t>年</w:t>
      </w:r>
      <w:r>
        <w:rPr>
          <w:rFonts w:cs="FreeSerif" w:ascii="FreeSerif" w:hAnsi="FreeSerif"/>
          <w:spacing w:val="6"/>
          <w:sz w:val="32"/>
          <w:szCs w:val="32"/>
        </w:rPr>
        <w:t>5</w:t>
      </w:r>
      <w:r>
        <w:rPr>
          <w:rFonts w:ascii="FreeSerif" w:hAnsi="FreeSerif" w:cs="FreeSerif" w:eastAsia="仿宋_GB2312"/>
          <w:spacing w:val="6"/>
          <w:sz w:val="32"/>
          <w:szCs w:val="32"/>
        </w:rPr>
        <w:t>月</w:t>
      </w:r>
      <w:r>
        <w:rPr>
          <w:rFonts w:cs="FreeSerif" w:ascii="FreeSerif" w:hAnsi="FreeSerif"/>
          <w:spacing w:val="6"/>
          <w:sz w:val="32"/>
          <w:szCs w:val="32"/>
        </w:rPr>
        <w:t>1</w:t>
      </w:r>
      <w:r>
        <w:rPr>
          <w:rFonts w:ascii="FreeSerif" w:hAnsi="FreeSerif" w:cs="FreeSerif" w:eastAsia="仿宋_GB2312"/>
          <w:spacing w:val="6"/>
          <w:sz w:val="32"/>
          <w:szCs w:val="32"/>
        </w:rPr>
        <w:t>日起施行。</w:t>
      </w:r>
    </w:p>
    <w:p>
      <w:pPr>
        <w:pStyle w:val="Normal"/>
        <w:keepNext w:val="false"/>
        <w:keepLines w:val="false"/>
        <w:pageBreakBefore w:val="false"/>
        <w:kinsoku w:val="true"/>
        <w:overflowPunct w:val="true"/>
        <w:autoSpaceDE w:val="true"/>
        <w:bidi w:val="0"/>
        <w:spacing w:lineRule="exact" w:line="560"/>
        <w:rPr>
          <w:rFonts w:ascii="FreeSerif" w:hAnsi="FreeSerif" w:eastAsia="楷体_GB2312" w:cs="FreeSerif"/>
          <w:b/>
          <w:spacing w:val="10"/>
        </w:rPr>
      </w:pPr>
      <w:r>
        <w:rPr>
          <w:rFonts w:eastAsia="楷体_GB2312" w:cs="FreeSerif" w:ascii="FreeSerif" w:hAnsi="FreeSerif"/>
          <w:b/>
          <w:spacing w:val="10"/>
        </w:rPr>
      </w:r>
    </w:p>
    <w:p>
      <w:pPr>
        <w:pStyle w:val="Normal"/>
        <w:spacing w:lineRule="exact" w:line="560"/>
        <w:jc w:val="center"/>
        <w:rPr>
          <w:rFonts w:ascii="FreeSerif" w:hAnsi="FreeSerif" w:eastAsia="方正小标宋简体" w:cs="FreeSerif"/>
          <w:sz w:val="44"/>
          <w:szCs w:val="44"/>
        </w:rPr>
      </w:pPr>
      <w:r>
        <w:rPr>
          <w:rFonts w:eastAsia="方正小标宋简体" w:cs="FreeSerif" w:ascii="FreeSerif" w:hAnsi="FreeSerif"/>
          <w:sz w:val="44"/>
          <w:szCs w:val="44"/>
        </w:rPr>
      </w:r>
    </w:p>
    <w:p>
      <w:pPr>
        <w:pStyle w:val="Normal"/>
        <w:rPr>
          <w:rFonts w:ascii="FreeSerif" w:hAnsi="FreeSerif" w:eastAsia="方正小标宋简体" w:cs="FreeSerif"/>
          <w:sz w:val="44"/>
          <w:szCs w:val="44"/>
        </w:rPr>
      </w:pPr>
      <w:r>
        <w:rPr>
          <w:rFonts w:eastAsia="方正小标宋简体" w:cs="FreeSerif" w:ascii="FreeSerif" w:hAnsi="FreeSerif"/>
          <w:sz w:val="44"/>
          <w:szCs w:val="44"/>
        </w:rPr>
      </w:r>
    </w:p>
    <w:sectPr>
      <w:footerReference w:type="default" r:id="rId2"/>
      <w:type w:val="nextPage"/>
      <w:pgSz w:w="11906" w:h="16838"/>
      <w:pgMar w:left="1531" w:right="1474" w:gutter="0" w:header="0" w:top="2098"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Cambria">
    <w:altName w:val="FreeSerif"/>
    <w:charset w:val="00" w:characterSet="windows-1252"/>
    <w:family w:val="roman"/>
    <w:pitch w:val="default"/>
  </w:font>
  <w:font w:name="宋体">
    <w:altName w:val="方正书宋_GBK"/>
    <w:charset w:val="00" w:characterSet="windows-1252"/>
    <w:family w:val="auto"/>
    <w:pitch w:val="default"/>
  </w:font>
  <w:font w:name="Times New Roman">
    <w:charset w:val="00" w:characterSet="windows-1252"/>
    <w:family w:val="roman"/>
    <w:pitch w:val="default"/>
  </w:font>
  <w:font w:name="楷体_GB2312">
    <w:charset w:val="86"/>
    <w:family w:val="modern"/>
    <w:pitch w:val="default"/>
  </w:font>
  <w:font w:name="FreeSerif">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-156845</wp:posOffset>
              </wp:positionV>
              <wp:extent cx="553720" cy="1210310"/>
              <wp:effectExtent l="0" t="0" r="0" b="0"/>
              <wp:wrapNone/>
              <wp:docPr id="1" name="Frame1"/>
              <a:graphic xmlns:a="http://schemas.openxmlformats.org/drawingml/2006/main">
                <a:graphicData uri="http://schemas.microsoft.com/office/word/2010/wordprocessingShape">
                  <wps:wsp>
                    <wps:cNvSpPr txBox="1"/>
                    <wps:spPr>
                      <a:xfrm>
                        <a:off x="0" y="0"/>
                        <a:ext cx="553720" cy="1210310"/>
                      </a:xfrm>
                      <a:prstGeom prst="rect"/>
                      <a:solidFill>
                        <a:srgbClr val="FFFFFF">
                          <a:alpha val="0"/>
                        </a:srgbClr>
                      </a:solidFill>
                    </wps:spPr>
                    <wps:txbx>
                      <w:txbxContent>
                        <w:p>
                          <w:pPr>
                            <w:pStyle w:val="Footer"/>
                            <w:ind w:firstLineChars="0" w:firstLine="0" w:startChars="159" w:endChars="200"/>
                            <w:rPr/>
                          </w:pPr>
                          <w:r>
                            <w:rPr>
                              <w:rStyle w:val="PageNumber"/>
                              <w:rFonts w:eastAsia="宋体;方正书宋_GBK" w:cs="宋体;方正书宋_GBK" w:hint="eastAsia" w:ascii="宋体;方正书宋_GBK" w:hAnsi="宋体;方正书宋_GBK"/>
                              <w:sz w:val="28"/>
                              <w:szCs w:val="28"/>
                            </w:rPr>
                            <w:t xml:space="preserve">— </w:t>
                          </w:r>
                          <w:r>
                            <w:rPr>
                              <w:rStyle w:val="PageNumber"/>
                              <w:rFonts w:eastAsia="宋体;方正书宋_GBK" w:cs="宋体;方正书宋_GBK" w:hint="eastAsia" w:ascii="宋体;方正书宋_GBK" w:hAnsi="宋体;方正书宋_GBK"/>
                              <w:sz w:val="28"/>
                              <w:szCs w:val="28"/>
                            </w:rPr>
                            <w:fldChar w:fldCharType="begin"/>
                          </w:r>
                          <w:r>
                            <w:rPr>
                              <w:rStyle w:val="PageNumber"/>
                              <w:rFonts w:eastAsia="宋体;方正书宋_GBK" w:cs="宋体;方正书宋_GBK" w:hint="eastAsia" w:ascii="宋体;方正书宋_GBK" w:hAnsi="宋体;方正书宋_GBK"/>
                              <w:sz w:val="28"/>
                              <w:szCs w:val="28"/>
                            </w:rPr>
                            <w:instrText xml:space="preserve"> PAGE </w:instrText>
                          </w:r>
                          <w:r>
                            <w:rPr>
                              <w:rStyle w:val="PageNumber"/>
                              <w:rFonts w:eastAsia="宋体;方正书宋_GBK" w:cs="宋体;方正书宋_GBK" w:hint="eastAsia" w:ascii="宋体;方正书宋_GBK" w:hAnsi="宋体;方正书宋_GBK"/>
                              <w:sz w:val="28"/>
                              <w:szCs w:val="28"/>
                            </w:rPr>
                            <w:fldChar w:fldCharType="separate"/>
                          </w:r>
                          <w:r>
                            <w:rPr>
                              <w:rStyle w:val="PageNumber"/>
                              <w:rFonts w:eastAsia="宋体;方正书宋_GBK" w:cs="宋体;方正书宋_GBK" w:hint="eastAsia" w:ascii="宋体;方正书宋_GBK" w:hAnsi="宋体;方正书宋_GBK"/>
                              <w:sz w:val="28"/>
                              <w:szCs w:val="28"/>
                            </w:rPr>
                            <w:t>7</w:t>
                          </w:r>
                          <w:r>
                            <w:rPr>
                              <w:rStyle w:val="PageNumber"/>
                              <w:rFonts w:eastAsia="宋体;方正书宋_GBK" w:cs="宋体;方正书宋_GBK" w:hint="eastAsia" w:ascii="宋体;方正书宋_GBK" w:hAnsi="宋体;方正书宋_GBK"/>
                              <w:sz w:val="28"/>
                              <w:szCs w:val="28"/>
                            </w:rPr>
                            <w:fldChar w:fldCharType="end"/>
                          </w:r>
                          <w:r>
                            <w:rPr>
                              <w:rStyle w:val="PageNumbe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95.3pt;mso-wrap-distance-left:9.05pt;mso-wrap-distance-right:0pt;mso-wrap-distance-top:0pt;mso-wrap-distance-bottom:0pt;margin-top:-12.35pt;mso-position-vertical-relative:text;margin-left:401.45pt;mso-position-horizontal:outside;mso-position-horizontal-relative:margin">
              <v:fill opacity="0f"/>
              <v:textbox inset="0.000694444444444445in,0.000694444444444445in,0.000694444444444445in,0.000694444444444445in">
                <w:txbxContent>
                  <w:p>
                    <w:pPr>
                      <w:pStyle w:val="Footer"/>
                      <w:ind w:firstLineChars="0" w:firstLine="0" w:startChars="159" w:endChars="200"/>
                      <w:rPr/>
                    </w:pPr>
                    <w:r>
                      <w:rPr>
                        <w:rStyle w:val="PageNumber"/>
                        <w:rFonts w:eastAsia="宋体;方正书宋_GBK" w:cs="宋体;方正书宋_GBK" w:hint="eastAsia" w:ascii="宋体;方正书宋_GBK" w:hAnsi="宋体;方正书宋_GBK"/>
                        <w:sz w:val="28"/>
                        <w:szCs w:val="28"/>
                      </w:rPr>
                      <w:t xml:space="preserve">— </w:t>
                    </w:r>
                    <w:r>
                      <w:rPr>
                        <w:rStyle w:val="PageNumber"/>
                        <w:rFonts w:eastAsia="宋体;方正书宋_GBK" w:cs="宋体;方正书宋_GBK" w:hint="eastAsia" w:ascii="宋体;方正书宋_GBK" w:hAnsi="宋体;方正书宋_GBK"/>
                        <w:sz w:val="28"/>
                        <w:szCs w:val="28"/>
                      </w:rPr>
                      <w:fldChar w:fldCharType="begin"/>
                    </w:r>
                    <w:r>
                      <w:rPr>
                        <w:rStyle w:val="PageNumber"/>
                        <w:rFonts w:eastAsia="宋体;方正书宋_GBK" w:cs="宋体;方正书宋_GBK" w:hint="eastAsia" w:ascii="宋体;方正书宋_GBK" w:hAnsi="宋体;方正书宋_GBK"/>
                        <w:sz w:val="28"/>
                        <w:szCs w:val="28"/>
                      </w:rPr>
                      <w:instrText xml:space="preserve"> PAGE </w:instrText>
                    </w:r>
                    <w:r>
                      <w:rPr>
                        <w:rStyle w:val="PageNumber"/>
                        <w:rFonts w:eastAsia="宋体;方正书宋_GBK" w:cs="宋体;方正书宋_GBK" w:hint="eastAsia" w:ascii="宋体;方正书宋_GBK" w:hAnsi="宋体;方正书宋_GBK"/>
                        <w:sz w:val="28"/>
                        <w:szCs w:val="28"/>
                      </w:rPr>
                      <w:fldChar w:fldCharType="separate"/>
                    </w:r>
                    <w:r>
                      <w:rPr>
                        <w:rStyle w:val="PageNumber"/>
                        <w:rFonts w:eastAsia="宋体;方正书宋_GBK" w:cs="宋体;方正书宋_GBK" w:hint="eastAsia" w:ascii="宋体;方正书宋_GBK" w:hAnsi="宋体;方正书宋_GBK"/>
                        <w:sz w:val="28"/>
                        <w:szCs w:val="28"/>
                      </w:rPr>
                      <w:t>7</w:t>
                    </w:r>
                    <w:r>
                      <w:rPr>
                        <w:rStyle w:val="PageNumber"/>
                        <w:rFonts w:eastAsia="宋体;方正书宋_GBK" w:cs="宋体;方正书宋_GBK" w:hint="eastAsia" w:ascii="宋体;方正书宋_GBK" w:hAnsi="宋体;方正书宋_GBK"/>
                        <w:sz w:val="28"/>
                        <w:szCs w:val="28"/>
                      </w:rPr>
                      <w:fldChar w:fldCharType="end"/>
                    </w:r>
                    <w:r>
                      <w:rPr>
                        <w:rStyle w:val="PageNumbe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DejaVu Sans" w:hAnsi="Calibri;DejaVu Sans" w:eastAsia="宋体;方正书宋_GBK"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Normal"/>
    <w:qFormat/>
    <w:pPr>
      <w:spacing w:before="240" w:after="60"/>
      <w:jc w:val="center"/>
      <w:outlineLvl w:val="0"/>
    </w:pPr>
    <w:rPr>
      <w:rFonts w:ascii="Cambria;FreeSerif" w:hAnsi="Cambria;FreeSerif" w:eastAsia="仿宋;方正仿宋_GBK" w:cs="Times New Roman"/>
      <w:b/>
      <w:spacing w:val="0"/>
      <w:szCs w:val="24"/>
    </w:rPr>
  </w:style>
  <w:style w:type="paragraph" w:styleId="BodyText">
    <w:name w:val="Body Text"/>
    <w:basedOn w:val="Normal"/>
    <w:pPr/>
    <w:rPr>
      <w:rFonts w:cs="黑体"/>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widowControl w:val="false"/>
      <w:ind w:firstLineChars="200" w:startChars="0" w:start="0" w:endChars="0" w:end="0"/>
      <w:jc w:val="both"/>
    </w:pPr>
    <w:rPr>
      <w:rFonts w:ascii="宋体;方正书宋_GBK" w:hAnsi="宋体;方正书宋_GBK" w:eastAsia="宋体;方正书宋_GBK" w:cs="宋体;方正书宋_GBK"/>
      <w:kern w:val="2"/>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方正书宋_GBK" w:hAnsi="宋体;方正书宋_GBK" w:eastAsia="宋体;方正书宋_GBK" w:cs="宋体;方正书宋_GBK"/>
      <w:spacing w:val="0"/>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2014-10-31T20:08:00Z</dcterms:created>
  <dc:creator>Administrator</dc:creator>
  <dc:description/>
  <dc:language>en-US</dc:language>
  <cp:lastModifiedBy>quzhou</cp:lastModifiedBy>
  <dcterms:modified xsi:type="dcterms:W3CDTF">2022-01-06T17:01:02Z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