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ind w:firstLineChars="0" w:firstLine="0" w:startChars="0" w:start="0" w:endChars="0" w:end="0"/>
        <w:rPr>
          <w:rFonts w:ascii="宋体" w:hAnsi="宋体" w:eastAsia="宋体" w:cs="宋体" w:hint="eastAsia"/>
          <w:sz w:val="44"/>
          <w:szCs w:val="44"/>
        </w:rPr>
      </w:pPr>
      <w:r>
        <w:rPr>
          <w:rFonts w:eastAsia="宋体" w:cs="宋体" w:hint="eastAsia" w:ascii="宋体" w:hAnsi="宋体"/>
          <w:sz w:val="44"/>
          <w:szCs w:val="44"/>
        </w:rPr>
      </w:r>
    </w:p>
    <w:p>
      <w:pPr>
        <w:pStyle w:val="2"/>
        <w:ind w:firstLineChars="0" w:firstLine="0" w:startChars="0" w:start="0" w:endChars="0" w:end="0"/>
        <w:rPr>
          <w:rFonts w:ascii="宋体" w:hAnsi="宋体" w:eastAsia="宋体" w:cs="宋体" w:hint="eastAsia"/>
          <w:sz w:val="44"/>
          <w:szCs w:val="44"/>
        </w:rPr>
      </w:pPr>
      <w:r>
        <w:rPr>
          <w:rFonts w:eastAsia="宋体" w:cs="宋体" w:hint="eastAsia" w:ascii="宋体" w:hAnsi="宋体"/>
          <w:sz w:val="44"/>
          <w:szCs w:val="44"/>
        </w:rPr>
      </w:r>
    </w:p>
    <w:p>
      <w:pPr>
        <w:pStyle w:val="Normal"/>
        <w:snapToGrid w:val="false"/>
        <w:spacing w:lineRule="atLeast" w:line="560"/>
        <w:jc w:val="center"/>
        <w:rPr>
          <w:rFonts w:ascii="宋体" w:hAnsi="宋体" w:eastAsia="宋体" w:cs="宋体" w:hint="eastAsia"/>
          <w:bCs/>
          <w:color w:val="000000"/>
          <w:sz w:val="44"/>
          <w:szCs w:val="44"/>
        </w:rPr>
      </w:pPr>
      <w:r>
        <w:rPr>
          <w:rFonts w:ascii="宋体" w:hAnsi="宋体" w:cs="宋体" w:hint="eastAsia"/>
          <w:bCs/>
          <w:color w:val="000000"/>
          <w:sz w:val="44"/>
          <w:szCs w:val="44"/>
        </w:rPr>
        <w:t>克拉玛依市城市绿化条例</w:t>
      </w:r>
    </w:p>
    <w:p>
      <w:pPr>
        <w:pStyle w:val="2"/>
        <w:rPr>
          <w:rFonts w:ascii="Times New Roman" w:hAnsi="Times New Roman" w:eastAsia="宋体" w:cs="Times New Roman"/>
          <w:bCs/>
          <w:color w:val="000000"/>
          <w:sz w:val="44"/>
          <w:szCs w:val="44"/>
        </w:rPr>
      </w:pPr>
      <w:r>
        <w:rPr>
          <w:rFonts w:eastAsia="宋体" w:cs="Times New Roman"/>
          <w:bCs/>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40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b w:val="false"/>
          <w:color w:val="000000"/>
          <w:sz w:val="32"/>
          <w:szCs w:val="32"/>
        </w:rPr>
        <w:t>（</w:t>
      </w:r>
      <w:r>
        <w:rPr>
          <w:rFonts w:eastAsia="楷体_GB2312;楷体" w:cs="Times New Roman"/>
          <w:b w:val="false"/>
          <w:color w:val="000000"/>
          <w:sz w:val="32"/>
          <w:szCs w:val="32"/>
        </w:rPr>
        <w:t>2022</w:t>
      </w:r>
      <w:r>
        <w:rPr>
          <w:rFonts w:ascii="Times New Roman" w:hAnsi="Times New Roman" w:cs="Times New Roman" w:eastAsia="楷体_GB2312;楷体"/>
          <w:b w:val="false"/>
          <w:color w:val="000000"/>
          <w:sz w:val="32"/>
          <w:szCs w:val="32"/>
        </w:rPr>
        <w:t>年</w:t>
      </w:r>
      <w:r>
        <w:rPr>
          <w:rFonts w:eastAsia="楷体_GB2312;楷体" w:cs="Times New Roman"/>
          <w:b w:val="false"/>
          <w:color w:val="000000"/>
          <w:sz w:val="32"/>
          <w:szCs w:val="32"/>
        </w:rPr>
        <w:t>11</w:t>
      </w:r>
      <w:r>
        <w:rPr>
          <w:rFonts w:ascii="Times New Roman" w:hAnsi="Times New Roman" w:cs="Times New Roman" w:eastAsia="楷体_GB2312;楷体"/>
          <w:b w:val="false"/>
          <w:color w:val="000000"/>
          <w:sz w:val="32"/>
          <w:szCs w:val="32"/>
        </w:rPr>
        <w:t>月</w:t>
      </w:r>
      <w:r>
        <w:rPr>
          <w:rFonts w:eastAsia="楷体_GB2312;楷体" w:cs="Times New Roman"/>
          <w:b w:val="false"/>
          <w:color w:val="000000"/>
          <w:sz w:val="32"/>
          <w:szCs w:val="32"/>
        </w:rPr>
        <w:t>22</w:t>
      </w:r>
      <w:r>
        <w:rPr>
          <w:rFonts w:ascii="Times New Roman" w:hAnsi="Times New Roman" w:cs="Times New Roman" w:eastAsia="楷体_GB2312;楷体"/>
          <w:b w:val="false"/>
          <w:color w:val="000000"/>
          <w:sz w:val="32"/>
          <w:szCs w:val="32"/>
        </w:rPr>
        <w:t xml:space="preserve">日克拉玛依市第十五届人民代表大会常务委员会第五次会议通过  </w:t>
      </w:r>
      <w:r>
        <w:rPr>
          <w:rFonts w:eastAsia="楷体_GB2312;楷体" w:cs="Times New Roman"/>
          <w:color w:val="000000"/>
          <w:kern w:val="0"/>
          <w:sz w:val="32"/>
          <w:szCs w:val="32"/>
        </w:rPr>
        <w:t>2023</w:t>
      </w:r>
      <w:r>
        <w:rPr>
          <w:rFonts w:ascii="Times New Roman" w:hAnsi="Times New Roman" w:cs="Times New Roman" w:eastAsia="楷体_GB2312;楷体"/>
          <w:color w:val="000000"/>
          <w:kern w:val="0"/>
          <w:sz w:val="32"/>
          <w:szCs w:val="32"/>
        </w:rPr>
        <w:t>年</w:t>
      </w:r>
      <w:r>
        <w:rPr>
          <w:rFonts w:eastAsia="楷体_GB2312;楷体" w:cs="Times New Roman"/>
          <w:color w:val="000000"/>
          <w:kern w:val="0"/>
          <w:sz w:val="32"/>
          <w:szCs w:val="32"/>
        </w:rPr>
        <w:t>3</w:t>
      </w:r>
      <w:r>
        <w:rPr>
          <w:rFonts w:ascii="Times New Roman" w:hAnsi="Times New Roman" w:cs="Times New Roman" w:eastAsia="楷体_GB2312;楷体"/>
          <w:color w:val="000000"/>
          <w:kern w:val="0"/>
          <w:sz w:val="32"/>
          <w:szCs w:val="32"/>
        </w:rPr>
        <w:t>月</w:t>
      </w:r>
      <w:r>
        <w:rPr>
          <w:rFonts w:eastAsia="楷体_GB2312;楷体" w:cs="Times New Roman"/>
          <w:color w:val="000000"/>
          <w:kern w:val="0"/>
          <w:sz w:val="32"/>
          <w:szCs w:val="32"/>
        </w:rPr>
        <w:t>29</w:t>
      </w:r>
      <w:r>
        <w:rPr>
          <w:rFonts w:ascii="Times New Roman" w:hAnsi="Times New Roman" w:cs="Times New Roman" w:eastAsia="楷体_GB2312;楷体"/>
          <w:color w:val="000000"/>
          <w:kern w:val="0"/>
          <w:sz w:val="32"/>
          <w:szCs w:val="32"/>
        </w:rPr>
        <w:t>日新疆维吾尔自治区第十四届人民代表大会常务委员会第一次会议批准</w:t>
      </w:r>
      <w:r>
        <w:rPr>
          <w:rFonts w:ascii="Times New Roman" w:hAnsi="Times New Roman" w:cs="Times New Roman" w:eastAsia="楷体_GB2312;楷体"/>
          <w:b w:val="false"/>
          <w:color w:val="000000"/>
          <w:sz w:val="32"/>
          <w:szCs w:val="32"/>
        </w:rPr>
        <w:t>）</w:t>
      </w:r>
    </w:p>
    <w:p>
      <w:pPr>
        <w:pStyle w:val="Normal"/>
        <w:snapToGrid w:val="false"/>
        <w:spacing w:lineRule="atLeast" w:line="0"/>
        <w:jc w:val="center"/>
        <w:rPr>
          <w:rFonts w:ascii="Times New Roman" w:hAnsi="Times New Roman" w:eastAsia="楷体_GB2312;楷体" w:cs="Times New Roman"/>
          <w:color w:val="000000"/>
          <w:sz w:val="32"/>
          <w:szCs w:val="32"/>
        </w:rPr>
      </w:pPr>
      <w:r>
        <w:rPr>
          <w:rFonts w:eastAsia="楷体_GB2312;楷体" w:cs="Times New Roman"/>
          <w:color w:val="000000"/>
          <w:sz w:val="32"/>
          <w:szCs w:val="32"/>
        </w:rPr>
      </w:r>
    </w:p>
    <w:p>
      <w:pPr>
        <w:pStyle w:val="Normal"/>
        <w:snapToGrid w:val="false"/>
        <w:spacing w:lineRule="atLeast" w:line="0"/>
        <w:jc w:val="center"/>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目  录</w:t>
      </w:r>
    </w:p>
    <w:p>
      <w:pPr>
        <w:pStyle w:val="Style15"/>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第一章　总  则</w:t>
      </w:r>
    </w:p>
    <w:p>
      <w:pPr>
        <w:pStyle w:val="Style15"/>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第二章　规划和建设</w:t>
      </w:r>
    </w:p>
    <w:p>
      <w:pPr>
        <w:pStyle w:val="Style15"/>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第三章　保护和管理</w:t>
      </w:r>
    </w:p>
    <w:p>
      <w:pPr>
        <w:pStyle w:val="Style15"/>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第四章　法律责任</w:t>
      </w:r>
    </w:p>
    <w:p>
      <w:pPr>
        <w:pStyle w:val="Style15"/>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楷体_GB2312;楷体"/>
          <w:color w:val="000000"/>
          <w:sz w:val="32"/>
          <w:szCs w:val="32"/>
        </w:rPr>
        <w:t>第</w:t>
      </w:r>
      <w:r>
        <w:rPr>
          <w:rFonts w:ascii="Times New Roman" w:hAnsi="Times New Roman" w:cs="Times New Roman" w:eastAsia="楷体_GB2312;楷体"/>
          <w:sz w:val="32"/>
          <w:szCs w:val="32"/>
        </w:rPr>
        <w:t>五章　附  则</w:t>
      </w:r>
    </w:p>
    <w:p>
      <w:pPr>
        <w:pStyle w:val="Normal"/>
        <w:snapToGrid w:val="false"/>
        <w:spacing w:lineRule="auto" w:line="360"/>
        <w:ind w:firstLineChars="200" w:startChars="0" w:start="0" w:endChars="0" w:end="0"/>
        <w:rPr>
          <w:rFonts w:ascii="Times New Roman" w:hAnsi="Times New Roman" w:eastAsia="仿宋_GB2312;仿宋" w:cs="Times New Roman"/>
          <w:sz w:val="32"/>
          <w:szCs w:val="32"/>
        </w:rPr>
      </w:pPr>
      <w:r>
        <w:rPr>
          <w:rFonts w:eastAsia="仿宋_GB2312;仿宋" w:cs="Times New Roman"/>
          <w:sz w:val="32"/>
          <w:szCs w:val="32"/>
        </w:rPr>
      </w:r>
    </w:p>
    <w:p>
      <w:pPr>
        <w:pStyle w:val="Heading1"/>
        <w:keepNext w:val="false"/>
        <w:keepLines w:val="false"/>
        <w:pageBreakBefore w:val="false"/>
        <w:widowControl w:val="false"/>
        <w:kinsoku w:val="true"/>
        <w:overflowPunct w:val="true"/>
        <w:autoSpaceDE w:val="true"/>
        <w:bidi w:val="0"/>
        <w:snapToGrid w:val="false"/>
        <w:spacing w:lineRule="exact" w:line="560"/>
        <w:ind w:hanging="0" w:start="0"/>
        <w:jc w:val="center"/>
        <w:textAlignment w:val="auto"/>
        <w:rPr>
          <w:rFonts w:ascii="Times New Roman" w:hAnsi="Times New Roman" w:cs="Times New Roman"/>
          <w:b w:val="false"/>
          <w:sz w:val="32"/>
          <w:szCs w:val="32"/>
        </w:rPr>
      </w:pPr>
      <w:r>
        <w:rPr>
          <w:rFonts w:ascii="Times New Roman" w:hAnsi="Times New Roman" w:cs="Times New Roman" w:eastAsia="黑体"/>
          <w:b w:val="false"/>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cs="Times New Roman"/>
          <w:b w:val="false"/>
          <w:sz w:val="32"/>
          <w:szCs w:val="32"/>
        </w:rPr>
      </w:pPr>
      <w:r>
        <w:rPr>
          <w:rFonts w:cs="Times New Roman"/>
          <w:b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第一条  </w:t>
      </w:r>
      <w:r>
        <w:rPr>
          <w:rFonts w:ascii="Times New Roman" w:hAnsi="Times New Roman" w:cs="Times New Roman" w:eastAsia="仿宋_GB2312;仿宋"/>
          <w:sz w:val="32"/>
          <w:szCs w:val="32"/>
        </w:rPr>
        <w:t>为了加强城市绿化建设和管理</w:t>
      </w:r>
      <w:r>
        <w:rPr>
          <w:rFonts w:ascii="Times New Roman" w:hAnsi="Times New Roman" w:cs="Times New Roman" w:eastAsia="仿宋_GB2312;仿宋"/>
          <w:b w:val="false"/>
          <w:bCs w:val="false"/>
          <w:sz w:val="32"/>
          <w:szCs w:val="32"/>
        </w:rPr>
        <w:t>，保护和改善城市生态</w:t>
      </w:r>
      <w:r>
        <w:rPr>
          <w:rFonts w:ascii="Times New Roman" w:hAnsi="Times New Roman" w:cs="Times New Roman" w:eastAsia="仿宋_GB2312;仿宋"/>
          <w:sz w:val="32"/>
          <w:szCs w:val="32"/>
        </w:rPr>
        <w:t>环境，建设生态园林城市，根据国务院《城市绿化条例》和有关法律、法规，结合本市实际，制定本条例。</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第二条  </w:t>
      </w:r>
      <w:r>
        <w:rPr>
          <w:rFonts w:ascii="Times New Roman" w:hAnsi="Times New Roman" w:cs="Times New Roman" w:eastAsia="仿宋_GB2312;仿宋"/>
          <w:sz w:val="32"/>
          <w:szCs w:val="32"/>
        </w:rPr>
        <w:t>本条例适用于本市城市规划区域内绿地、绿化设施、种植和养护树木花草等城市绿化的规划、建设、保护和管理。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 xml:space="preserve">第三条  </w:t>
      </w:r>
      <w:r>
        <w:rPr>
          <w:rFonts w:ascii="Times New Roman" w:hAnsi="Times New Roman" w:cs="Times New Roman" w:eastAsia="仿宋_GB2312;仿宋"/>
          <w:color w:val="000000"/>
          <w:sz w:val="32"/>
          <w:szCs w:val="32"/>
        </w:rPr>
        <w:t>城市绿化工作应当遵循生态优先、科学规划、政府主导、社会参与、建管并重的原则。</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第四条  </w:t>
      </w:r>
      <w:r>
        <w:rPr>
          <w:rFonts w:ascii="Times New Roman" w:hAnsi="Times New Roman" w:cs="Times New Roman" w:eastAsia="仿宋_GB2312;仿宋"/>
          <w:sz w:val="32"/>
          <w:szCs w:val="32"/>
        </w:rPr>
        <w:t>市、区人民政府应当把城市绿化建设纳入国民经济和社会发展规划，将城市绿化建设和养护经费列入本级财政预算，</w:t>
      </w:r>
      <w:r>
        <w:rPr>
          <w:rFonts w:ascii="Times New Roman" w:hAnsi="Times New Roman" w:cs="Times New Roman" w:eastAsia="仿宋_GB2312;仿宋"/>
          <w:b w:val="false"/>
          <w:bCs w:val="false"/>
          <w:sz w:val="32"/>
          <w:szCs w:val="32"/>
        </w:rPr>
        <w:t>协调解决城市绿化工作中的重大问题，实行绿化工作绩效考核。</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w:t>
      </w:r>
      <w:bookmarkStart w:id="0" w:name="_Hlk112843651"/>
      <w:r>
        <w:rPr>
          <w:rFonts w:ascii="Times New Roman" w:hAnsi="Times New Roman" w:cs="Times New Roman" w:eastAsia="仿宋_GB2312;仿宋"/>
          <w:sz w:val="32"/>
          <w:szCs w:val="32"/>
        </w:rPr>
        <w:t>住房和城乡建设</w:t>
      </w:r>
      <w:bookmarkEnd w:id="0"/>
      <w:r>
        <w:rPr>
          <w:rFonts w:ascii="Times New Roman" w:hAnsi="Times New Roman" w:cs="Times New Roman" w:eastAsia="仿宋_GB2312;仿宋"/>
          <w:sz w:val="32"/>
          <w:szCs w:val="32"/>
        </w:rPr>
        <w:t>主管部门、区住房和城乡建设主管部</w:t>
      </w:r>
      <w:r>
        <w:rPr>
          <w:rFonts w:ascii="Times New Roman" w:hAnsi="Times New Roman" w:cs="Times New Roman" w:eastAsia="仿宋_GB2312;仿宋"/>
          <w:b w:val="false"/>
          <w:bCs w:val="false"/>
          <w:sz w:val="32"/>
          <w:szCs w:val="32"/>
        </w:rPr>
        <w:t>门或者区人民政府确定的部门</w:t>
      </w:r>
      <w:r>
        <w:rPr>
          <w:rFonts w:ascii="Times New Roman" w:hAnsi="Times New Roman" w:cs="Times New Roman" w:eastAsia="仿宋_GB2312;仿宋"/>
          <w:b w:val="false"/>
          <w:bCs w:val="false"/>
          <w:sz w:val="32"/>
          <w:szCs w:val="32"/>
          <w:shd w:fill="auto" w:val="clear"/>
        </w:rPr>
        <w:t>（以下统</w:t>
      </w:r>
      <w:r>
        <w:rPr>
          <w:rFonts w:ascii="Times New Roman" w:hAnsi="Times New Roman" w:cs="Times New Roman" w:eastAsia="仿宋_GB2312;仿宋"/>
          <w:b w:val="false"/>
          <w:bCs w:val="false"/>
          <w:color w:val="000000"/>
          <w:sz w:val="32"/>
          <w:szCs w:val="32"/>
          <w:shd w:fill="auto" w:val="clear"/>
        </w:rPr>
        <w:t>称城市绿化主管部门</w:t>
      </w:r>
      <w:r>
        <w:rPr>
          <w:rFonts w:ascii="Times New Roman" w:hAnsi="Times New Roman" w:cs="Times New Roman" w:eastAsia="仿宋_GB2312;仿宋"/>
          <w:b w:val="false"/>
          <w:bCs w:val="false"/>
          <w:color w:val="000000"/>
          <w:sz w:val="32"/>
          <w:szCs w:val="32"/>
          <w:shd w:fill="auto" w:val="clear"/>
        </w:rPr>
        <w:t>）</w:t>
      </w:r>
      <w:r>
        <w:rPr>
          <w:rFonts w:ascii="Times New Roman" w:hAnsi="Times New Roman" w:cs="Times New Roman" w:eastAsia="仿宋_GB2312;仿宋"/>
          <w:b w:val="false"/>
          <w:bCs w:val="false"/>
          <w:color w:val="000000"/>
          <w:sz w:val="32"/>
          <w:szCs w:val="32"/>
        </w:rPr>
        <w:t>负责本行政</w:t>
      </w:r>
      <w:r>
        <w:rPr>
          <w:rFonts w:ascii="Times New Roman" w:hAnsi="Times New Roman" w:cs="Times New Roman" w:eastAsia="仿宋_GB2312;仿宋"/>
          <w:sz w:val="32"/>
          <w:szCs w:val="32"/>
        </w:rPr>
        <w:t>区域内的城市绿化工作。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发展和改革、生态环境、交通运输、财政、自然资源、水务、林业和草原、</w:t>
      </w:r>
      <w:r>
        <w:rPr>
          <w:rFonts w:ascii="Times New Roman" w:hAnsi="Times New Roman" w:cs="Times New Roman" w:eastAsia="仿宋_GB2312;仿宋"/>
          <w:b w:val="false"/>
          <w:bCs w:val="false"/>
          <w:color w:val="000000"/>
          <w:sz w:val="32"/>
          <w:szCs w:val="32"/>
        </w:rPr>
        <w:t>公安</w:t>
      </w:r>
      <w:r>
        <w:rPr>
          <w:rFonts w:ascii="Times New Roman" w:hAnsi="Times New Roman" w:cs="Times New Roman" w:eastAsia="仿宋_GB2312;仿宋"/>
          <w:sz w:val="32"/>
          <w:szCs w:val="32"/>
        </w:rPr>
        <w:t>等部门，按照各自职责协同做好城市绿化工作。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kern w:val="0"/>
          <w:sz w:val="32"/>
          <w:szCs w:val="32"/>
        </w:rPr>
      </w:pPr>
      <w:r>
        <w:rPr>
          <w:rFonts w:ascii="Times New Roman" w:hAnsi="Times New Roman" w:cs="Times New Roman" w:eastAsia="黑体"/>
          <w:sz w:val="32"/>
          <w:szCs w:val="32"/>
        </w:rPr>
        <w:t xml:space="preserve">第五条  </w:t>
      </w:r>
      <w:r>
        <w:rPr>
          <w:rFonts w:ascii="Times New Roman" w:hAnsi="Times New Roman" w:cs="Times New Roman" w:eastAsia="仿宋_GB2312;仿宋"/>
          <w:b w:val="false"/>
          <w:bCs w:val="false"/>
          <w:sz w:val="32"/>
          <w:szCs w:val="32"/>
        </w:rPr>
        <w:t>鼓励单位和个人以投资、捐资、认建、认养等形式，参与城市绿化的建设和养护。捐资、认建、认养的单位或者个人可以享有绿地、树木一定期限的冠名权。</w:t>
      </w:r>
      <w:bookmarkStart w:id="1" w:name="tiao5_kuan3"/>
      <w:bookmarkEnd w:id="1"/>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sz w:val="32"/>
          <w:szCs w:val="32"/>
        </w:rPr>
      </w:pPr>
      <w:r>
        <w:rPr>
          <w:rFonts w:ascii="Times New Roman" w:hAnsi="Times New Roman" w:cs="Times New Roman" w:eastAsia="仿宋_GB2312;仿宋"/>
          <w:b w:val="false"/>
          <w:bCs w:val="false"/>
          <w:kern w:val="0"/>
          <w:sz w:val="32"/>
          <w:szCs w:val="32"/>
        </w:rPr>
        <w:t>鼓励居民利用</w:t>
      </w:r>
      <w:bookmarkStart w:id="2" w:name="_Hlk112945762"/>
      <w:r>
        <w:rPr>
          <w:rFonts w:ascii="Times New Roman" w:hAnsi="Times New Roman" w:cs="Times New Roman" w:eastAsia="仿宋_GB2312;仿宋"/>
          <w:b w:val="false"/>
          <w:bCs w:val="false"/>
          <w:kern w:val="0"/>
          <w:sz w:val="32"/>
          <w:szCs w:val="32"/>
        </w:rPr>
        <w:t>自有居住空间开展绿化</w:t>
      </w:r>
      <w:bookmarkEnd w:id="2"/>
      <w:r>
        <w:rPr>
          <w:rFonts w:ascii="Times New Roman" w:hAnsi="Times New Roman" w:cs="Times New Roman" w:eastAsia="仿宋_GB2312;仿宋"/>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第六条  </w:t>
      </w:r>
      <w:r>
        <w:rPr>
          <w:rFonts w:ascii="Times New Roman" w:hAnsi="Times New Roman" w:cs="Times New Roman" w:eastAsia="仿宋_GB2312;仿宋"/>
          <w:sz w:val="32"/>
          <w:szCs w:val="32"/>
        </w:rPr>
        <w:t>市、区人民政府应当组织开展全民义务植树活动。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单位和有劳动能力的公民，应当依照国家和自治区的有关规定履行植树或者其他绿化义务。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0"/>
          <w:sz w:val="32"/>
          <w:szCs w:val="32"/>
        </w:rPr>
      </w:pPr>
      <w:r>
        <w:rPr>
          <w:rFonts w:ascii="Times New Roman" w:hAnsi="Times New Roman" w:cs="Times New Roman" w:eastAsia="仿宋_GB2312;仿宋"/>
          <w:sz w:val="32"/>
          <w:szCs w:val="32"/>
        </w:rPr>
        <w:t>驻市的石油、石化等央企应当按照所在</w:t>
      </w:r>
      <w:r>
        <w:rPr>
          <w:rFonts w:ascii="Times New Roman" w:hAnsi="Times New Roman" w:cs="Times New Roman" w:eastAsia="仿宋_GB2312;仿宋"/>
          <w:b w:val="false"/>
          <w:bCs w:val="false"/>
          <w:sz w:val="32"/>
          <w:szCs w:val="32"/>
        </w:rPr>
        <w:t>区</w:t>
      </w:r>
      <w:r>
        <w:rPr>
          <w:rFonts w:ascii="Times New Roman" w:hAnsi="Times New Roman" w:cs="Times New Roman" w:eastAsia="仿宋_GB2312;仿宋"/>
          <w:sz w:val="32"/>
          <w:szCs w:val="32"/>
        </w:rPr>
        <w:t>人民政府统一安排，自行组织义务植树活动。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第七条  </w:t>
      </w:r>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sz w:val="32"/>
          <w:szCs w:val="32"/>
        </w:rPr>
        <w:t>、新闻媒体应当开展绿化宣传教育工作，普及绿化知识，倡导实现碳达峰、碳中和目标的绿色环保理念，增强全社会绿化意识。</w:t>
      </w:r>
    </w:p>
    <w:p>
      <w:pPr>
        <w:pStyle w:val="2"/>
        <w:keepNext w:val="false"/>
        <w:keepLines w:val="false"/>
        <w:pageBreakBefore w:val="false"/>
        <w:widowControl w:val="false"/>
        <w:kinsoku w:val="true"/>
        <w:overflowPunct w:val="true"/>
        <w:autoSpaceDE w:val="true"/>
        <w:bidi w:val="0"/>
        <w:snapToGrid w:val="false"/>
        <w:spacing w:lineRule="exact" w:line="560"/>
        <w:ind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Heading1"/>
        <w:keepNext w:val="false"/>
        <w:keepLines w:val="false"/>
        <w:pageBreakBefore w:val="false"/>
        <w:widowControl w:val="false"/>
        <w:kinsoku w:val="true"/>
        <w:overflowPunct w:val="true"/>
        <w:autoSpaceDE w:val="true"/>
        <w:bidi w:val="0"/>
        <w:snapToGrid w:val="false"/>
        <w:spacing w:lineRule="exact" w:line="560"/>
        <w:ind w:hanging="0" w:start="0"/>
        <w:jc w:val="center"/>
        <w:textAlignment w:val="auto"/>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第二章 规划和建设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黑体" w:cs="Times New Roman"/>
          <w:b w:val="false"/>
          <w:sz w:val="32"/>
          <w:szCs w:val="32"/>
        </w:rPr>
      </w:pPr>
      <w:r>
        <w:rPr>
          <w:rFonts w:eastAsia="黑体" w:cs="Times New Roman"/>
          <w:b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1F497D"/>
          <w:sz w:val="32"/>
          <w:szCs w:val="32"/>
        </w:rPr>
      </w:pPr>
      <w:r>
        <w:rPr>
          <w:rFonts w:ascii="Times New Roman" w:hAnsi="Times New Roman" w:cs="Times New Roman" w:eastAsia="黑体"/>
          <w:sz w:val="32"/>
          <w:szCs w:val="32"/>
        </w:rPr>
        <w:t xml:space="preserve">第八条  </w:t>
      </w:r>
      <w:r>
        <w:rPr>
          <w:rFonts w:ascii="Times New Roman" w:hAnsi="Times New Roman" w:cs="Times New Roman" w:eastAsia="仿宋_GB2312;仿宋"/>
          <w:b w:val="false"/>
          <w:bCs w:val="false"/>
          <w:sz w:val="32"/>
          <w:szCs w:val="32"/>
        </w:rPr>
        <w:t>市</w:t>
      </w:r>
      <w:bookmarkStart w:id="3" w:name="_Hlk110506857"/>
      <w:r>
        <w:rPr>
          <w:rFonts w:ascii="Times New Roman" w:hAnsi="Times New Roman" w:cs="Times New Roman" w:eastAsia="仿宋_GB2312;仿宋"/>
          <w:b w:val="false"/>
          <w:bCs w:val="false"/>
          <w:sz w:val="32"/>
          <w:szCs w:val="32"/>
        </w:rPr>
        <w:t>人民政府应当组织市自然资源主管部门</w:t>
      </w:r>
      <w:bookmarkEnd w:id="3"/>
      <w:r>
        <w:rPr>
          <w:rFonts w:ascii="Times New Roman" w:hAnsi="Times New Roman" w:cs="Times New Roman" w:eastAsia="仿宋_GB2312;仿宋"/>
          <w:b w:val="false"/>
          <w:bCs w:val="false"/>
          <w:sz w:val="32"/>
          <w:szCs w:val="32"/>
        </w:rPr>
        <w:t>和</w:t>
      </w:r>
      <w:r>
        <w:rPr>
          <w:rFonts w:ascii="Times New Roman" w:hAnsi="Times New Roman" w:cs="Times New Roman" w:eastAsia="仿宋_GB2312;仿宋"/>
          <w:b w:val="false"/>
          <w:bCs w:val="false"/>
          <w:color w:val="000000"/>
          <w:sz w:val="32"/>
          <w:szCs w:val="32"/>
          <w:shd w:fill="auto" w:val="clear"/>
        </w:rPr>
        <w:t>城市绿化主管部门等共同</w:t>
      </w:r>
      <w:r>
        <w:rPr>
          <w:rFonts w:ascii="Times New Roman" w:hAnsi="Times New Roman" w:cs="Times New Roman" w:eastAsia="仿宋_GB2312;仿宋"/>
          <w:sz w:val="32"/>
          <w:szCs w:val="32"/>
        </w:rPr>
        <w:t>编制城市绿地系统规划，纳入</w:t>
      </w:r>
      <w:r>
        <w:rPr>
          <w:rFonts w:ascii="Times New Roman" w:hAnsi="Times New Roman" w:cs="Times New Roman" w:eastAsia="仿宋_GB2312;仿宋"/>
          <w:color w:val="000000"/>
          <w:sz w:val="32"/>
          <w:szCs w:val="32"/>
        </w:rPr>
        <w:t>国土空间规划</w:t>
      </w:r>
      <w:r>
        <w:rPr>
          <w:rFonts w:ascii="Times New Roman" w:hAnsi="Times New Roman" w:cs="Times New Roman" w:eastAsia="仿宋_GB2312;仿宋"/>
          <w:sz w:val="32"/>
          <w:szCs w:val="32"/>
        </w:rPr>
        <w:t>。</w:t>
      </w:r>
      <w:bookmarkStart w:id="4" w:name="_Hlk110505866"/>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城市绿地系统规划应当明确城市绿化目标和布局，确定绿化用地面积，合理设置各类绿地。</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cs="Times New Roman"/>
          <w:sz w:val="32"/>
          <w:szCs w:val="32"/>
        </w:rPr>
      </w:pPr>
      <w:bookmarkEnd w:id="4"/>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sz w:val="32"/>
          <w:szCs w:val="32"/>
        </w:rPr>
        <w:t>应当根据城市绿地系统规划编制年度建设计划，并组织实施。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第九条</w:t>
      </w:r>
      <w:bookmarkStart w:id="5" w:name="_Hlk110503687"/>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城市绿地实行绿线管理制度。</w:t>
      </w:r>
      <w:bookmarkStart w:id="6" w:name="_Hlk112862246"/>
      <w:r>
        <w:rPr>
          <w:rFonts w:ascii="Times New Roman" w:hAnsi="Times New Roman" w:cs="Times New Roman" w:eastAsia="仿宋_GB2312;仿宋"/>
          <w:b w:val="false"/>
          <w:bCs w:val="false"/>
          <w:sz w:val="32"/>
          <w:szCs w:val="32"/>
        </w:rPr>
        <w:t>市</w:t>
      </w:r>
      <w:bookmarkEnd w:id="6"/>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sz w:val="32"/>
          <w:szCs w:val="32"/>
        </w:rPr>
        <w:t>和自然资源主管部门应当按照城市绿地系统规划，共同划定城市绿线，并向社会公布，</w:t>
      </w:r>
      <w:r>
        <w:rPr>
          <w:rFonts w:ascii="Times New Roman" w:hAnsi="Times New Roman" w:cs="Times New Roman" w:eastAsia="仿宋_GB2312;仿宋"/>
          <w:b w:val="false"/>
          <w:bCs w:val="false"/>
          <w:sz w:val="32"/>
          <w:szCs w:val="32"/>
        </w:rPr>
        <w:t>接受监督。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bookmarkEnd w:id="5"/>
      <w:r>
        <w:rPr>
          <w:rFonts w:ascii="Times New Roman" w:hAnsi="Times New Roman" w:cs="Times New Roman" w:eastAsia="黑体"/>
          <w:sz w:val="32"/>
          <w:szCs w:val="32"/>
        </w:rPr>
        <w:t xml:space="preserve">第十条  </w:t>
      </w:r>
      <w:r>
        <w:rPr>
          <w:rFonts w:ascii="Times New Roman" w:hAnsi="Times New Roman" w:cs="Times New Roman" w:eastAsia="仿宋_GB2312;仿宋"/>
          <w:sz w:val="32"/>
          <w:szCs w:val="32"/>
        </w:rPr>
        <w:t>城市绿地系统规划、绿线、绿地性质和用途不得擅自改变。因特殊情形确需调整的，按照</w:t>
      </w:r>
      <w:r>
        <w:rPr>
          <w:rFonts w:ascii="Times New Roman" w:hAnsi="Times New Roman" w:cs="Times New Roman" w:eastAsia="仿宋_GB2312;仿宋"/>
          <w:b w:val="false"/>
          <w:bCs w:val="false"/>
          <w:sz w:val="32"/>
          <w:szCs w:val="32"/>
        </w:rPr>
        <w:t>法定</w:t>
      </w:r>
      <w:r>
        <w:rPr>
          <w:rFonts w:ascii="Times New Roman" w:hAnsi="Times New Roman" w:cs="Times New Roman" w:eastAsia="仿宋_GB2312;仿宋"/>
          <w:sz w:val="32"/>
          <w:szCs w:val="32"/>
        </w:rPr>
        <w:t>程序办理。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调整后的绿地总量不得减少。因调整减少规划绿地的，应当补足相同面积的规划绿地。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kern w:val="0"/>
          <w:sz w:val="32"/>
          <w:szCs w:val="32"/>
        </w:rPr>
      </w:pPr>
      <w:r>
        <w:rPr>
          <w:rFonts w:ascii="Times New Roman" w:hAnsi="Times New Roman" w:cs="Times New Roman" w:eastAsia="黑体"/>
          <w:color w:val="000000"/>
          <w:sz w:val="32"/>
          <w:szCs w:val="32"/>
        </w:rPr>
        <w:t xml:space="preserve">第十一条  </w:t>
      </w:r>
      <w:r>
        <w:rPr>
          <w:rFonts w:ascii="Times New Roman" w:hAnsi="Times New Roman" w:cs="Times New Roman" w:eastAsia="仿宋_GB2312;仿宋"/>
          <w:sz w:val="32"/>
          <w:szCs w:val="32"/>
        </w:rPr>
        <w:t>城市新建、改建、扩建工程项目</w:t>
      </w:r>
      <w:r>
        <w:rPr>
          <w:rFonts w:ascii="Times New Roman" w:hAnsi="Times New Roman" w:cs="Times New Roman" w:eastAsia="仿宋_GB2312;仿宋"/>
          <w:kern w:val="0"/>
          <w:sz w:val="32"/>
          <w:szCs w:val="32"/>
        </w:rPr>
        <w:t>绿地率应当符合</w:t>
      </w:r>
      <w:r>
        <w:rPr>
          <w:rFonts w:ascii="Times New Roman" w:hAnsi="Times New Roman" w:cs="Times New Roman" w:eastAsia="仿宋_GB2312;仿宋"/>
          <w:sz w:val="32"/>
          <w:szCs w:val="32"/>
        </w:rPr>
        <w:t>国家和自治区规定的标准</w:t>
      </w:r>
      <w:r>
        <w:rPr>
          <w:rFonts w:ascii="Times New Roman" w:hAnsi="Times New Roman" w:cs="Times New Roman" w:eastAsia="仿宋_GB2312;仿宋"/>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color w:val="000000"/>
          <w:sz w:val="32"/>
          <w:szCs w:val="32"/>
        </w:rPr>
      </w:pPr>
      <w:r>
        <w:rPr>
          <w:rFonts w:ascii="Times New Roman" w:hAnsi="Times New Roman" w:cs="Times New Roman" w:eastAsia="仿宋_GB2312;仿宋"/>
          <w:color w:val="000000"/>
          <w:sz w:val="32"/>
          <w:szCs w:val="32"/>
        </w:rPr>
        <w:t>建设项目不能按照规定的标准建设的</w:t>
      </w:r>
      <w:r>
        <w:rPr>
          <w:rFonts w:ascii="Times New Roman" w:hAnsi="Times New Roman" w:cs="Times New Roman" w:eastAsia="仿宋_GB2312;仿宋"/>
          <w:b w:val="false"/>
          <w:bCs w:val="false"/>
          <w:color w:val="000000"/>
          <w:sz w:val="32"/>
          <w:szCs w:val="32"/>
        </w:rPr>
        <w:t>，应当在区</w:t>
      </w:r>
      <w:r>
        <w:rPr>
          <w:rFonts w:ascii="Times New Roman" w:hAnsi="Times New Roman" w:cs="Times New Roman" w:eastAsia="仿宋_GB2312;仿宋"/>
          <w:b w:val="false"/>
          <w:bCs w:val="false"/>
          <w:color w:val="000000"/>
          <w:sz w:val="32"/>
          <w:szCs w:val="32"/>
          <w:shd w:fill="auto" w:val="clear"/>
        </w:rPr>
        <w:t>城市绿化</w:t>
      </w:r>
      <w:r>
        <w:rPr>
          <w:rFonts w:ascii="Times New Roman" w:hAnsi="Times New Roman" w:cs="Times New Roman" w:eastAsia="仿宋_GB2312;仿宋"/>
          <w:b w:val="false"/>
          <w:bCs w:val="false"/>
          <w:color w:val="000000"/>
          <w:sz w:val="32"/>
          <w:szCs w:val="32"/>
        </w:rPr>
        <w:t>主管部</w:t>
      </w:r>
      <w:r>
        <w:rPr>
          <w:rFonts w:ascii="Times New Roman" w:hAnsi="Times New Roman" w:cs="Times New Roman" w:eastAsia="仿宋_GB2312;仿宋"/>
          <w:color w:val="000000"/>
          <w:sz w:val="32"/>
          <w:szCs w:val="32"/>
        </w:rPr>
        <w:t>门指定的区域承担相应面积的</w:t>
      </w:r>
      <w:r>
        <w:rPr>
          <w:rFonts w:ascii="Times New Roman" w:hAnsi="Times New Roman" w:cs="Times New Roman" w:eastAsia="仿宋_GB2312;仿宋"/>
          <w:b w:val="false"/>
          <w:bCs w:val="false"/>
          <w:color w:val="000000"/>
          <w:sz w:val="32"/>
          <w:szCs w:val="32"/>
        </w:rPr>
        <w:t>绿化建设任务。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第十二条  </w:t>
      </w:r>
      <w:r>
        <w:rPr>
          <w:rFonts w:ascii="Times New Roman" w:hAnsi="Times New Roman" w:cs="Times New Roman" w:eastAsia="仿宋_GB2312;仿宋"/>
          <w:sz w:val="32"/>
          <w:szCs w:val="32"/>
        </w:rPr>
        <w:t>城市绿地建设按照下列规定分工负责：</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sz w:val="32"/>
          <w:szCs w:val="32"/>
        </w:rPr>
      </w:pPr>
      <w:r>
        <w:rPr>
          <w:rFonts w:ascii="Times New Roman" w:hAnsi="Times New Roman" w:cs="Times New Roman" w:eastAsia="仿宋_GB2312;仿宋"/>
          <w:sz w:val="32"/>
          <w:szCs w:val="32"/>
        </w:rPr>
        <w:t>（一）</w:t>
      </w:r>
      <w:bookmarkStart w:id="7" w:name="_Hlk110524528"/>
      <w:r>
        <w:rPr>
          <w:rFonts w:ascii="Times New Roman" w:hAnsi="Times New Roman" w:cs="Times New Roman" w:eastAsia="仿宋_GB2312;仿宋"/>
          <w:sz w:val="32"/>
          <w:szCs w:val="32"/>
        </w:rPr>
        <w:t>公园绿地、广场绿地、道路绿地、防护绿地等公共绿地，以及其他公用设施附属绿地，</w:t>
      </w:r>
      <w:r>
        <w:rPr>
          <w:rFonts w:ascii="Times New Roman" w:hAnsi="Times New Roman" w:cs="Times New Roman" w:eastAsia="仿宋_GB2312;仿宋"/>
          <w:b w:val="false"/>
          <w:bCs w:val="false"/>
          <w:sz w:val="32"/>
          <w:szCs w:val="32"/>
        </w:rPr>
        <w:t>由</w:t>
      </w:r>
      <w:bookmarkStart w:id="8" w:name="_Hlk112927492"/>
      <w:r>
        <w:rPr>
          <w:rFonts w:ascii="Times New Roman" w:hAnsi="Times New Roman" w:cs="Times New Roman" w:eastAsia="仿宋_GB2312;仿宋"/>
          <w:b w:val="false"/>
          <w:bCs w:val="false"/>
          <w:color w:val="000000"/>
          <w:sz w:val="32"/>
          <w:szCs w:val="32"/>
          <w:shd w:fill="auto" w:val="clear"/>
        </w:rPr>
        <w:t>城市绿化主管部门</w:t>
      </w:r>
      <w:bookmarkStart w:id="9" w:name="_Hlk112865130"/>
      <w:bookmarkStart w:id="10" w:name="_Hlk110524029"/>
      <w:bookmarkEnd w:id="8"/>
      <w:r>
        <w:rPr>
          <w:rFonts w:ascii="Times New Roman" w:hAnsi="Times New Roman" w:cs="Times New Roman" w:eastAsia="仿宋_GB2312;仿宋"/>
          <w:b w:val="false"/>
          <w:bCs w:val="false"/>
          <w:sz w:val="32"/>
          <w:szCs w:val="32"/>
        </w:rPr>
        <w:t>负责</w:t>
      </w:r>
      <w:bookmarkStart w:id="11" w:name="_Hlk110524639"/>
      <w:bookmarkStart w:id="12" w:name="_Hlk110525098"/>
      <w:bookmarkEnd w:id="7"/>
      <w:bookmarkEnd w:id="9"/>
      <w:bookmarkEnd w:id="10"/>
      <w:r>
        <w:rPr>
          <w:rFonts w:ascii="Times New Roman" w:hAnsi="Times New Roman" w:cs="Times New Roman" w:eastAsia="仿宋_GB2312;仿宋"/>
          <w:b w:val="false"/>
          <w:bCs w:val="false"/>
          <w:sz w:val="32"/>
          <w:szCs w:val="32"/>
        </w:rPr>
        <w:t>；</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w:t>
      </w:r>
      <w:bookmarkEnd w:id="12"/>
      <w:r>
        <w:rPr>
          <w:rFonts w:ascii="Times New Roman" w:hAnsi="Times New Roman" w:cs="Times New Roman" w:eastAsia="仿宋_GB2312;仿宋"/>
          <w:sz w:val="32"/>
          <w:szCs w:val="32"/>
        </w:rPr>
        <w:t>驻市的石油、石化等央企，以及其他单位的附属绿地及其管界内的防护绿地、自建公园，由该央企和相关单位负责</w:t>
      </w:r>
      <w:bookmarkEnd w:id="11"/>
      <w:r>
        <w:rPr>
          <w:rFonts w:ascii="Times New Roman" w:hAnsi="Times New Roman" w:cs="Times New Roman" w:eastAsia="仿宋_GB2312;仿宋"/>
          <w:sz w:val="32"/>
          <w:szCs w:val="32"/>
        </w:rPr>
        <w:t>；</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（三）居住区公共绿地，由开发建设单位负责； </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（四）商业中心附属绿地，</w:t>
      </w:r>
      <w:r>
        <w:rPr>
          <w:rFonts w:ascii="Times New Roman" w:hAnsi="Times New Roman" w:cs="Times New Roman" w:eastAsia="仿宋_GB2312;仿宋"/>
          <w:kern w:val="2"/>
          <w:sz w:val="32"/>
          <w:szCs w:val="32"/>
        </w:rPr>
        <w:t>由开发建设单位负</w:t>
      </w:r>
      <w:r>
        <w:rPr>
          <w:rFonts w:ascii="Times New Roman" w:hAnsi="Times New Roman" w:cs="Times New Roman" w:eastAsia="仿宋_GB2312;仿宋"/>
          <w:sz w:val="32"/>
          <w:szCs w:val="32"/>
        </w:rPr>
        <w:t>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bookmarkStart w:id="13" w:name="_Hlk110526691"/>
      <w:r>
        <w:rPr>
          <w:rFonts w:ascii="Times New Roman" w:hAnsi="Times New Roman" w:cs="Times New Roman" w:eastAsia="仿宋_GB2312;仿宋"/>
          <w:kern w:val="2"/>
          <w:sz w:val="32"/>
          <w:szCs w:val="32"/>
        </w:rPr>
        <w:t>（五）铁路、公路、河道、水库等用地范围内的绿地，由有关主管部门负责；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bookmarkEnd w:id="13"/>
      <w:r>
        <w:rPr>
          <w:rFonts w:ascii="Times New Roman" w:hAnsi="Times New Roman" w:cs="Times New Roman" w:eastAsia="仿宋_GB2312;仿宋"/>
          <w:sz w:val="32"/>
          <w:szCs w:val="32"/>
        </w:rPr>
        <w:t>（六）其他建设责任不明确的绿地，由所在区人民政府确定的单位负责。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sz w:val="32"/>
          <w:szCs w:val="32"/>
        </w:rPr>
      </w:pPr>
      <w:r>
        <w:rPr>
          <w:rFonts w:ascii="Times New Roman" w:hAnsi="Times New Roman" w:cs="Times New Roman" w:eastAsia="黑体"/>
          <w:sz w:val="32"/>
          <w:szCs w:val="32"/>
        </w:rPr>
        <w:t xml:space="preserve">第十三条  </w:t>
      </w:r>
      <w:r>
        <w:rPr>
          <w:rFonts w:ascii="Times New Roman" w:hAnsi="Times New Roman" w:cs="Times New Roman" w:eastAsia="仿宋_GB2312;仿宋"/>
          <w:kern w:val="0"/>
          <w:sz w:val="32"/>
          <w:szCs w:val="32"/>
        </w:rPr>
        <w:t>城市新建、改建、扩建工程项目的附属</w:t>
      </w:r>
      <w:r>
        <w:rPr>
          <w:rFonts w:ascii="Times New Roman" w:hAnsi="Times New Roman" w:cs="Times New Roman" w:eastAsia="仿宋_GB2312;仿宋"/>
          <w:sz w:val="32"/>
          <w:szCs w:val="32"/>
        </w:rPr>
        <w:t>绿化</w:t>
      </w:r>
      <w:r>
        <w:rPr>
          <w:rFonts w:ascii="Times New Roman" w:hAnsi="Times New Roman" w:cs="Times New Roman" w:eastAsia="仿宋_GB2312;仿宋"/>
          <w:kern w:val="0"/>
          <w:sz w:val="32"/>
          <w:szCs w:val="32"/>
        </w:rPr>
        <w:t>工程，应当与主体工程同步规划、同步设计、</w:t>
      </w:r>
      <w:r>
        <w:rPr>
          <w:rFonts w:ascii="Times New Roman" w:hAnsi="Times New Roman" w:cs="Times New Roman" w:eastAsia="仿宋_GB2312;仿宋"/>
          <w:sz w:val="32"/>
          <w:szCs w:val="32"/>
        </w:rPr>
        <w:t>同步施工、同步验收。因特殊原因不能同步竣工的，附属绿化工程应当于主体工程建设完成后的</w:t>
      </w:r>
      <w:r>
        <w:rPr>
          <w:rFonts w:ascii="Times New Roman" w:hAnsi="Times New Roman" w:cs="Times New Roman" w:eastAsia="仿宋_GB2312;仿宋"/>
          <w:b w:val="false"/>
          <w:bCs w:val="false"/>
          <w:sz w:val="32"/>
          <w:szCs w:val="32"/>
        </w:rPr>
        <w:t>第二个</w:t>
      </w:r>
      <w:r>
        <w:rPr>
          <w:rFonts w:ascii="Times New Roman" w:hAnsi="Times New Roman" w:cs="Times New Roman" w:eastAsia="仿宋_GB2312;仿宋"/>
          <w:sz w:val="32"/>
          <w:szCs w:val="32"/>
        </w:rPr>
        <w:t>绿化季节内完成。</w:t>
      </w:r>
    </w:p>
    <w:p>
      <w:pPr>
        <w:pStyle w:val="2"/>
        <w:keepNext w:val="false"/>
        <w:keepLines w:val="false"/>
        <w:pageBreakBefore w:val="false"/>
        <w:widowControl w:val="false"/>
        <w:kinsoku w:val="true"/>
        <w:overflowPunct w:val="true"/>
        <w:autoSpaceDE w:val="true"/>
        <w:bidi w:val="0"/>
        <w:snapToGrid w:val="false"/>
        <w:spacing w:lineRule="exact" w:line="560"/>
        <w:ind w:startChars="0" w:start="0" w:endChars="0" w:end="0"/>
        <w:jc w:val="both"/>
        <w:textAlignment w:val="auto"/>
        <w:rPr>
          <w:rFonts w:ascii="Times New Roman" w:hAnsi="Times New Roman" w:eastAsia="仿宋_GB2312;仿宋" w:cs="Times New Roman"/>
          <w:b w:val="false"/>
          <w:bCs w:val="false"/>
        </w:rPr>
      </w:pPr>
      <w:r>
        <w:rPr>
          <w:rFonts w:ascii="Times New Roman" w:hAnsi="Times New Roman" w:cs="Times New Roman" w:eastAsia="仿宋_GB2312;仿宋"/>
          <w:b w:val="false"/>
          <w:bCs w:val="false"/>
          <w:sz w:val="32"/>
          <w:szCs w:val="32"/>
        </w:rPr>
        <w:t>绿化工程建成后，建设单位应当及时组织竣工验收，未经验收或者验收不合格，不得交付使用。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第十四条  </w:t>
      </w:r>
      <w:r>
        <w:rPr>
          <w:rFonts w:ascii="Times New Roman" w:hAnsi="Times New Roman" w:cs="Times New Roman" w:eastAsia="仿宋_GB2312;仿宋"/>
          <w:b w:val="false"/>
          <w:bCs w:val="false"/>
          <w:sz w:val="32"/>
          <w:szCs w:val="32"/>
        </w:rPr>
        <w:t>自然资源主管部门审批</w:t>
      </w:r>
      <w:bookmarkStart w:id="14" w:name="_Hlk113017584"/>
      <w:r>
        <w:rPr>
          <w:rFonts w:ascii="Times New Roman" w:hAnsi="Times New Roman" w:cs="Times New Roman" w:eastAsia="仿宋_GB2312;仿宋"/>
          <w:b w:val="false"/>
          <w:bCs w:val="false"/>
          <w:sz w:val="32"/>
          <w:szCs w:val="32"/>
        </w:rPr>
        <w:t>建设工程项目附属绿化工程设计方案</w:t>
      </w:r>
      <w:bookmarkEnd w:id="14"/>
      <w:r>
        <w:rPr>
          <w:rFonts w:ascii="Times New Roman" w:hAnsi="Times New Roman" w:cs="Times New Roman" w:eastAsia="仿宋_GB2312;仿宋"/>
          <w:b w:val="false"/>
          <w:bCs w:val="false"/>
          <w:sz w:val="32"/>
          <w:szCs w:val="32"/>
        </w:rPr>
        <w:t>时，应当征求同级</w:t>
      </w:r>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sz w:val="32"/>
          <w:szCs w:val="32"/>
        </w:rPr>
        <w:t>的意见，</w:t>
      </w:r>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sz w:val="32"/>
          <w:szCs w:val="32"/>
        </w:rPr>
        <w:t>应当在三个工作日内予以反馈。</w:t>
      </w:r>
    </w:p>
    <w:p>
      <w:pPr>
        <w:pStyle w:val="Style14"/>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cs="Times New Roman"/>
        </w:rPr>
      </w:pPr>
      <w:r>
        <w:rPr>
          <w:rFonts w:ascii="Times New Roman" w:hAnsi="Times New Roman" w:cs="Times New Roman" w:eastAsia="仿宋_GB2312;仿宋"/>
          <w:sz w:val="32"/>
          <w:szCs w:val="32"/>
        </w:rPr>
        <w:t>建设单位应当按照批准的附属绿地设计方案进行建设。</w:t>
      </w:r>
      <w:r>
        <w:rPr>
          <w:rFonts w:ascii="Times New Roman" w:hAnsi="Times New Roman" w:cs="Times New Roman"/>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第十五条  </w:t>
      </w:r>
      <w:r>
        <w:rPr>
          <w:rFonts w:ascii="Times New Roman" w:hAnsi="Times New Roman" w:cs="Times New Roman" w:eastAsia="仿宋_GB2312;仿宋"/>
          <w:sz w:val="32"/>
          <w:szCs w:val="32"/>
        </w:rPr>
        <w:t>城市规划区范围内具备绿化条件已审批的建设用地，逾</w:t>
      </w:r>
      <w:r>
        <w:rPr>
          <w:rFonts w:ascii="Times New Roman" w:hAnsi="Times New Roman" w:cs="Times New Roman" w:eastAsia="仿宋_GB2312;仿宋"/>
          <w:b w:val="false"/>
          <w:bCs w:val="false"/>
          <w:sz w:val="32"/>
          <w:szCs w:val="32"/>
        </w:rPr>
        <w:t>期</w:t>
      </w:r>
      <w:r>
        <w:rPr>
          <w:rFonts w:ascii="Times New Roman" w:hAnsi="Times New Roman" w:cs="Times New Roman" w:eastAsia="仿宋_GB2312;仿宋"/>
          <w:b w:val="false"/>
          <w:bCs w:val="false"/>
          <w:color w:val="000000"/>
          <w:sz w:val="32"/>
          <w:szCs w:val="32"/>
        </w:rPr>
        <w:t>三个</w:t>
      </w:r>
      <w:r>
        <w:rPr>
          <w:rFonts w:ascii="Times New Roman" w:hAnsi="Times New Roman" w:cs="Times New Roman" w:eastAsia="仿宋_GB2312;仿宋"/>
          <w:b w:val="false"/>
          <w:bCs w:val="false"/>
          <w:sz w:val="32"/>
          <w:szCs w:val="32"/>
        </w:rPr>
        <w:t>月未开工建设的，土地使用权人或者建设单位应当在</w:t>
      </w:r>
      <w:r>
        <w:rPr>
          <w:rFonts w:ascii="Times New Roman" w:hAnsi="Times New Roman" w:cs="Times New Roman" w:eastAsia="仿宋_GB2312;仿宋"/>
          <w:b w:val="false"/>
          <w:bCs w:val="false"/>
          <w:color w:val="000000"/>
          <w:sz w:val="32"/>
          <w:szCs w:val="32"/>
        </w:rPr>
        <w:t>六个</w:t>
      </w:r>
      <w:r>
        <w:rPr>
          <w:rFonts w:ascii="Times New Roman" w:hAnsi="Times New Roman" w:cs="Times New Roman" w:eastAsia="仿宋_GB2312;仿宋"/>
          <w:b w:val="false"/>
          <w:bCs w:val="false"/>
          <w:sz w:val="32"/>
          <w:szCs w:val="32"/>
        </w:rPr>
        <w:t>月</w:t>
      </w:r>
      <w:r>
        <w:rPr>
          <w:rFonts w:ascii="Times New Roman" w:hAnsi="Times New Roman" w:cs="Times New Roman" w:eastAsia="仿宋_GB2312;仿宋"/>
          <w:sz w:val="32"/>
          <w:szCs w:val="32"/>
        </w:rPr>
        <w:t>内进行临时绿化，满足以植物覆盖裸露土地、防止扬尘的要求。</w:t>
      </w:r>
    </w:p>
    <w:p>
      <w:pPr>
        <w:pStyle w:val="2"/>
        <w:keepNext w:val="false"/>
        <w:keepLines w:val="false"/>
        <w:pageBreakBefore w:val="false"/>
        <w:widowControl w:val="false"/>
        <w:kinsoku w:val="true"/>
        <w:overflowPunct w:val="true"/>
        <w:autoSpaceDE w:val="true"/>
        <w:bidi w:val="0"/>
        <w:snapToGrid w:val="false"/>
        <w:spacing w:lineRule="exact" w:line="560"/>
        <w:ind w:startChars="0" w:start="0" w:endChars="0" w:end="0"/>
        <w:jc w:val="both"/>
        <w:textAlignment w:val="auto"/>
        <w:rPr>
          <w:rFonts w:ascii="Times New Roman" w:hAnsi="Times New Roman" w:eastAsia="仿宋_GB2312;仿宋" w:cs="Times New Roman"/>
          <w:b w:val="false"/>
          <w:bCs w:val="false"/>
          <w:sz w:val="32"/>
          <w:szCs w:val="32"/>
        </w:rPr>
      </w:pPr>
      <w:r>
        <w:rPr>
          <w:rFonts w:ascii="Times New Roman" w:hAnsi="Times New Roman" w:cs="Times New Roman" w:eastAsia="仿宋_GB2312;仿宋"/>
          <w:b w:val="false"/>
          <w:bCs w:val="false"/>
          <w:sz w:val="32"/>
          <w:szCs w:val="32"/>
        </w:rPr>
        <w:t>城市规划区范围内具备绿化条件尚未确定使用权人的建设用地，</w:t>
      </w:r>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b w:val="false"/>
          <w:bCs w:val="false"/>
          <w:sz w:val="32"/>
          <w:szCs w:val="32"/>
        </w:rPr>
        <w:t>可以确定相关绿化单位进行临时绿化。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第十六条  </w:t>
      </w:r>
      <w:r>
        <w:rPr>
          <w:rFonts w:ascii="Times New Roman" w:hAnsi="Times New Roman" w:cs="Times New Roman" w:eastAsia="仿宋_GB2312;仿宋"/>
          <w:sz w:val="32"/>
          <w:szCs w:val="32"/>
        </w:rPr>
        <w:t>城市绿化应当选用适宜本地生长条件的树木花草。以种植树木为主，做到乔、灌、花、草有机结合，乔灌木面积应当占绿地总面积的百分之七十以上。禁止种植未经检疫的树木花草，限制种植易产生飞絮的树木花草；已经种植的，应当逐步改良或者更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b w:val="false"/>
          <w:bCs w:val="false"/>
          <w:color w:val="000000"/>
          <w:sz w:val="32"/>
          <w:szCs w:val="32"/>
        </w:rPr>
        <w:t>市林业和草原主管部门应当加强树木花草的科学研究，会同市</w:t>
      </w:r>
      <w:r>
        <w:rPr>
          <w:rFonts w:ascii="Times New Roman" w:hAnsi="Times New Roman" w:cs="Times New Roman" w:eastAsia="仿宋_GB2312;仿宋"/>
          <w:b w:val="false"/>
          <w:bCs w:val="false"/>
          <w:color w:val="000000"/>
          <w:sz w:val="32"/>
          <w:szCs w:val="32"/>
          <w:shd w:fill="auto" w:val="clear"/>
        </w:rPr>
        <w:t>城市绿化</w:t>
      </w:r>
      <w:r>
        <w:rPr>
          <w:rFonts w:ascii="Times New Roman" w:hAnsi="Times New Roman" w:cs="Times New Roman" w:eastAsia="仿宋_GB2312;仿宋"/>
          <w:sz w:val="32"/>
          <w:szCs w:val="32"/>
        </w:rPr>
        <w:t>主管部门</w:t>
      </w:r>
      <w:r>
        <w:rPr>
          <w:rFonts w:ascii="Times New Roman" w:hAnsi="Times New Roman" w:cs="Times New Roman" w:eastAsia="仿宋_GB2312;仿宋"/>
          <w:color w:val="000000"/>
          <w:sz w:val="32"/>
          <w:szCs w:val="32"/>
        </w:rPr>
        <w:t>制定城市绿化植物名录，每五年向社会公布一次。</w:t>
      </w:r>
    </w:p>
    <w:p>
      <w:pPr>
        <w:pStyle w:val="2"/>
        <w:keepNext w:val="false"/>
        <w:keepLines w:val="false"/>
        <w:pageBreakBefore w:val="false"/>
        <w:widowControl w:val="false"/>
        <w:kinsoku w:val="true"/>
        <w:overflowPunct w:val="true"/>
        <w:autoSpaceDE w:val="true"/>
        <w:bidi w:val="0"/>
        <w:snapToGrid w:val="false"/>
        <w:spacing w:lineRule="exact" w:line="560"/>
        <w:ind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Heading1"/>
        <w:keepNext w:val="false"/>
        <w:keepLines w:val="false"/>
        <w:pageBreakBefore w:val="false"/>
        <w:widowControl w:val="false"/>
        <w:kinsoku w:val="true"/>
        <w:overflowPunct w:val="true"/>
        <w:autoSpaceDE w:val="true"/>
        <w:bidi w:val="0"/>
        <w:snapToGrid w:val="false"/>
        <w:spacing w:lineRule="exact" w:line="560"/>
        <w:ind w:hanging="0" w:start="0"/>
        <w:jc w:val="center"/>
        <w:textAlignment w:val="auto"/>
        <w:rPr>
          <w:rFonts w:ascii="Times New Roman" w:hAnsi="Times New Roman" w:cs="Times New Roman"/>
          <w:b w:val="false"/>
          <w:sz w:val="32"/>
          <w:szCs w:val="32"/>
        </w:rPr>
      </w:pPr>
      <w:r>
        <w:rPr>
          <w:rFonts w:ascii="Times New Roman" w:hAnsi="Times New Roman" w:cs="Times New Roman" w:eastAsia="黑体"/>
          <w:b w:val="false"/>
          <w:sz w:val="32"/>
          <w:szCs w:val="32"/>
        </w:rPr>
        <w:t>第三章 保护和管理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kern w:val="2"/>
          <w:sz w:val="32"/>
          <w:szCs w:val="32"/>
        </w:rPr>
      </w:pPr>
      <w:r>
        <w:rPr>
          <w:rFonts w:eastAsia="仿宋_GB2312;仿宋" w:cs="Times New Roman"/>
          <w:b w:val="false"/>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第十七条  </w:t>
      </w:r>
      <w:r>
        <w:rPr>
          <w:rFonts w:ascii="Times New Roman" w:hAnsi="Times New Roman" w:cs="Times New Roman" w:eastAsia="仿宋_GB2312;仿宋"/>
          <w:kern w:val="2"/>
          <w:sz w:val="32"/>
          <w:szCs w:val="32"/>
        </w:rPr>
        <w:t>城市绿地</w:t>
      </w:r>
      <w:r>
        <w:rPr>
          <w:rFonts w:ascii="Times New Roman" w:hAnsi="Times New Roman" w:cs="Times New Roman" w:eastAsia="仿宋_GB2312;仿宋"/>
          <w:b w:val="false"/>
          <w:bCs w:val="false"/>
          <w:kern w:val="2"/>
          <w:sz w:val="32"/>
          <w:szCs w:val="32"/>
        </w:rPr>
        <w:t>养护管理</w:t>
      </w:r>
      <w:r>
        <w:rPr>
          <w:rFonts w:ascii="Times New Roman" w:hAnsi="Times New Roman" w:cs="Times New Roman" w:eastAsia="仿宋_GB2312;仿宋"/>
          <w:kern w:val="2"/>
          <w:sz w:val="32"/>
          <w:szCs w:val="32"/>
        </w:rPr>
        <w:t>按照下列规定分工负责：</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bCs/>
          <w:sz w:val="32"/>
          <w:szCs w:val="32"/>
        </w:rPr>
      </w:pPr>
      <w:r>
        <w:rPr>
          <w:rFonts w:ascii="Times New Roman" w:hAnsi="Times New Roman" w:cs="Times New Roman" w:eastAsia="仿宋_GB2312;仿宋"/>
          <w:kern w:val="2"/>
          <w:sz w:val="32"/>
          <w:szCs w:val="32"/>
        </w:rPr>
        <w:t>（一）</w:t>
      </w:r>
      <w:bookmarkStart w:id="15" w:name="_Hlk110525523"/>
      <w:r>
        <w:rPr>
          <w:rFonts w:ascii="Times New Roman" w:hAnsi="Times New Roman" w:cs="Times New Roman" w:eastAsia="仿宋_GB2312;仿宋"/>
          <w:sz w:val="32"/>
          <w:szCs w:val="32"/>
        </w:rPr>
        <w:t>公园绿地、广场绿地、道路绿地、防护绿地</w:t>
      </w:r>
      <w:bookmarkEnd w:id="15"/>
      <w:r>
        <w:rPr>
          <w:rFonts w:ascii="Times New Roman" w:hAnsi="Times New Roman" w:cs="Times New Roman" w:eastAsia="仿宋_GB2312;仿宋"/>
          <w:sz w:val="32"/>
          <w:szCs w:val="32"/>
        </w:rPr>
        <w:t>等公共</w:t>
      </w:r>
      <w:bookmarkStart w:id="16" w:name="_Hlk110525423"/>
      <w:r>
        <w:rPr>
          <w:rFonts w:ascii="Times New Roman" w:hAnsi="Times New Roman" w:cs="Times New Roman" w:eastAsia="仿宋_GB2312;仿宋"/>
          <w:sz w:val="32"/>
          <w:szCs w:val="32"/>
        </w:rPr>
        <w:t>绿地</w:t>
      </w:r>
      <w:bookmarkEnd w:id="16"/>
      <w:r>
        <w:rPr>
          <w:rFonts w:ascii="Times New Roman" w:hAnsi="Times New Roman" w:cs="Times New Roman" w:eastAsia="仿宋_GB2312;仿宋"/>
          <w:sz w:val="32"/>
          <w:szCs w:val="32"/>
        </w:rPr>
        <w:t>，以及其他公用设施附属绿地，</w:t>
      </w:r>
      <w:r>
        <w:rPr>
          <w:rFonts w:ascii="Times New Roman" w:hAnsi="Times New Roman" w:cs="Times New Roman" w:eastAsia="仿宋_GB2312;仿宋"/>
          <w:b w:val="false"/>
          <w:bCs w:val="false"/>
          <w:sz w:val="32"/>
          <w:szCs w:val="32"/>
        </w:rPr>
        <w:t>由</w:t>
      </w:r>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sz w:val="32"/>
          <w:szCs w:val="32"/>
        </w:rPr>
        <w:t>负责；</w:t>
      </w:r>
      <w:r>
        <w:rPr>
          <w:rFonts w:ascii="Times New Roman" w:hAnsi="Times New Roman" w:cs="Times New Roman" w:eastAsia="仿宋_GB2312;仿宋"/>
          <w:kern w:val="2"/>
          <w:sz w:val="32"/>
          <w:szCs w:val="32"/>
        </w:rPr>
        <w:t>尚未移交的，由建设单位负责。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（二）驻市的石油、石化等央企，以及其他单位的附属绿地及其管界内的防护绿地、自建公园，由该央企和相关单位负责。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kern w:val="2"/>
          <w:sz w:val="32"/>
          <w:szCs w:val="32"/>
        </w:rPr>
      </w:pPr>
      <w:r>
        <w:rPr>
          <w:rFonts w:ascii="Times New Roman" w:hAnsi="Times New Roman" w:cs="Times New Roman" w:eastAsia="仿宋_GB2312;仿宋"/>
          <w:kern w:val="2"/>
          <w:sz w:val="32"/>
          <w:szCs w:val="32"/>
        </w:rPr>
        <w:t>（三）</w:t>
      </w:r>
      <w:r>
        <w:rPr>
          <w:rFonts w:ascii="Times New Roman" w:hAnsi="Times New Roman" w:cs="Times New Roman" w:eastAsia="仿宋_GB2312;仿宋"/>
          <w:b w:val="false"/>
          <w:bCs w:val="false"/>
          <w:kern w:val="2"/>
          <w:sz w:val="32"/>
          <w:szCs w:val="32"/>
        </w:rPr>
        <w:t>居住区公共绿地，由居住区物业管理单位或者街道办事处负责</w:t>
      </w:r>
      <w:bookmarkStart w:id="17" w:name="_Hlk110524988"/>
      <w:r>
        <w:rPr>
          <w:rFonts w:ascii="Times New Roman" w:hAnsi="Times New Roman" w:cs="Times New Roman" w:eastAsia="仿宋_GB2312;仿宋"/>
          <w:b w:val="false"/>
          <w:bCs w:val="false"/>
          <w:kern w:val="2"/>
          <w:sz w:val="32"/>
          <w:szCs w:val="32"/>
        </w:rPr>
        <w:t>。</w:t>
      </w:r>
    </w:p>
    <w:p>
      <w:pPr>
        <w:pStyle w:val="1"/>
        <w:keepNext w:val="false"/>
        <w:keepLines w:val="false"/>
        <w:pageBreakBefore w:val="false"/>
        <w:widowControl w:val="false"/>
        <w:kinsoku w:val="true"/>
        <w:overflowPunct w:val="true"/>
        <w:autoSpaceDE w:val="true"/>
        <w:bidi w:val="0"/>
        <w:snapToGrid w:val="false"/>
        <w:spacing w:lineRule="exact" w:line="560"/>
        <w:ind w:endChars="0" w:end="0"/>
        <w:jc w:val="both"/>
        <w:textAlignment w:val="auto"/>
        <w:rPr>
          <w:rFonts w:ascii="Times New Roman" w:hAnsi="Times New Roman" w:eastAsia="仿宋_GB2312;仿宋" w:cs="Times New Roman"/>
          <w:sz w:val="32"/>
          <w:szCs w:val="32"/>
        </w:rPr>
      </w:pPr>
      <w:bookmarkEnd w:id="17"/>
      <w:r>
        <w:rPr>
          <w:rFonts w:ascii="Times New Roman" w:hAnsi="Times New Roman" w:cs="Times New Roman" w:eastAsia="仿宋_GB2312;仿宋"/>
          <w:kern w:val="2"/>
          <w:sz w:val="32"/>
          <w:szCs w:val="32"/>
        </w:rPr>
        <w:t>（四）商业中心附属绿地，由业主单位</w:t>
      </w:r>
      <w:r>
        <w:rPr>
          <w:rFonts w:ascii="Times New Roman" w:hAnsi="Times New Roman" w:cs="Times New Roman" w:eastAsia="仿宋_GB2312;仿宋"/>
          <w:b w:val="false"/>
          <w:bCs w:val="false"/>
          <w:kern w:val="2"/>
          <w:sz w:val="32"/>
          <w:szCs w:val="32"/>
        </w:rPr>
        <w:t>或者其委托的物业管理单位</w:t>
      </w:r>
      <w:r>
        <w:rPr>
          <w:rFonts w:ascii="Times New Roman" w:hAnsi="Times New Roman" w:cs="Times New Roman" w:eastAsia="仿宋_GB2312;仿宋"/>
          <w:kern w:val="2"/>
          <w:sz w:val="32"/>
          <w:szCs w:val="32"/>
        </w:rPr>
        <w:t>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（五）铁路、公路、河道、水库等用地范围内的绿地，由有关主管部门负责</w:t>
      </w:r>
      <w:bookmarkStart w:id="18" w:name="_Hlk110526432"/>
      <w:r>
        <w:rPr>
          <w:rFonts w:ascii="Times New Roman" w:hAnsi="Times New Roman" w:cs="Times New Roman" w:eastAsia="仿宋_GB2312;仿宋"/>
          <w:kern w:val="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bookmarkEnd w:id="18"/>
      <w:r>
        <w:rPr>
          <w:rFonts w:ascii="Times New Roman" w:hAnsi="Times New Roman" w:cs="Times New Roman" w:eastAsia="仿宋_GB2312;仿宋"/>
          <w:kern w:val="2"/>
          <w:sz w:val="32"/>
          <w:szCs w:val="32"/>
        </w:rPr>
        <w:t>（六）其他绿地及养护管理责任不明的绿地，由绿地所在地的区</w:t>
      </w:r>
      <w:r>
        <w:rPr>
          <w:rFonts w:ascii="Times New Roman" w:hAnsi="Times New Roman" w:cs="Times New Roman" w:eastAsia="仿宋_GB2312;仿宋"/>
          <w:b w:val="false"/>
          <w:bCs w:val="false"/>
          <w:sz w:val="32"/>
          <w:szCs w:val="32"/>
        </w:rPr>
        <w:t>城市绿化</w:t>
      </w:r>
      <w:r>
        <w:rPr>
          <w:rFonts w:ascii="Times New Roman" w:hAnsi="Times New Roman" w:cs="Times New Roman" w:eastAsia="仿宋_GB2312;仿宋"/>
          <w:kern w:val="2"/>
          <w:sz w:val="32"/>
          <w:szCs w:val="32"/>
        </w:rPr>
        <w:t>主管部门确定的单位负责。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第十八条  </w:t>
      </w:r>
      <w:r>
        <w:rPr>
          <w:rFonts w:ascii="Times New Roman" w:hAnsi="Times New Roman" w:cs="Times New Roman" w:eastAsia="仿宋_GB2312;仿宋"/>
          <w:kern w:val="2"/>
          <w:sz w:val="32"/>
          <w:szCs w:val="32"/>
        </w:rPr>
        <w:t>市</w:t>
      </w:r>
      <w:r>
        <w:rPr>
          <w:rFonts w:ascii="Times New Roman" w:hAnsi="Times New Roman" w:cs="Times New Roman" w:eastAsia="仿宋_GB2312;仿宋"/>
          <w:b w:val="false"/>
          <w:bCs w:val="false"/>
          <w:color w:val="000000"/>
          <w:sz w:val="32"/>
          <w:szCs w:val="32"/>
          <w:shd w:fill="auto" w:val="clear"/>
        </w:rPr>
        <w:t>城市绿化主管部门</w:t>
      </w:r>
      <w:r>
        <w:rPr>
          <w:rFonts w:ascii="Times New Roman" w:hAnsi="Times New Roman" w:cs="Times New Roman" w:eastAsia="仿宋_GB2312;仿宋"/>
          <w:kern w:val="2"/>
          <w:sz w:val="32"/>
          <w:szCs w:val="32"/>
        </w:rPr>
        <w:t>应当根据国家和自治区的相关规定，制定本市城市绿地养护管理标准，加强技术指导，定期对养护管理情况进行检查。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Cs/>
          <w:color w:val="000000"/>
          <w:kern w:val="2"/>
          <w:sz w:val="32"/>
          <w:szCs w:val="32"/>
        </w:rPr>
      </w:pPr>
      <w:r>
        <w:rPr>
          <w:rFonts w:ascii="Times New Roman" w:hAnsi="Times New Roman" w:cs="Times New Roman" w:eastAsia="黑体"/>
          <w:kern w:val="2"/>
          <w:sz w:val="32"/>
          <w:szCs w:val="32"/>
        </w:rPr>
        <w:t xml:space="preserve">第十九条  </w:t>
      </w:r>
      <w:r>
        <w:rPr>
          <w:rFonts w:ascii="Times New Roman" w:hAnsi="Times New Roman" w:cs="Times New Roman" w:eastAsia="仿宋_GB2312;仿宋"/>
          <w:kern w:val="2"/>
          <w:sz w:val="32"/>
          <w:szCs w:val="32"/>
        </w:rPr>
        <w:t>绿地养护管理责任单位应当按照</w:t>
      </w:r>
      <w:bookmarkStart w:id="19" w:name="_Hlk110531133"/>
      <w:r>
        <w:rPr>
          <w:rFonts w:ascii="Times New Roman" w:hAnsi="Times New Roman" w:cs="Times New Roman" w:eastAsia="仿宋_GB2312;仿宋"/>
          <w:kern w:val="2"/>
          <w:sz w:val="32"/>
          <w:szCs w:val="32"/>
        </w:rPr>
        <w:t>城市绿地养护管理标准</w:t>
      </w:r>
      <w:bookmarkEnd w:id="19"/>
      <w:r>
        <w:rPr>
          <w:rFonts w:ascii="Times New Roman" w:hAnsi="Times New Roman" w:cs="Times New Roman" w:eastAsia="仿宋_GB2312;仿宋"/>
          <w:kern w:val="2"/>
          <w:sz w:val="32"/>
          <w:szCs w:val="32"/>
        </w:rPr>
        <w:t>进行养护，并履行下列职责：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（一）定期检查树木花草生长情况，及时修剪、补种或者更换受损死亡的树木花草；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（二）维护绿化灌溉系统和其他绿化设施；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kern w:val="2"/>
          <w:sz w:val="32"/>
          <w:szCs w:val="32"/>
        </w:rPr>
      </w:pPr>
      <w:r>
        <w:rPr>
          <w:rFonts w:ascii="Times New Roman" w:hAnsi="Times New Roman" w:cs="Times New Roman" w:eastAsia="仿宋_GB2312;仿宋"/>
          <w:kern w:val="2"/>
          <w:sz w:val="32"/>
          <w:szCs w:val="32"/>
        </w:rPr>
        <w:t>（三）对损坏绿化及其设施</w:t>
      </w:r>
      <w:r>
        <w:rPr>
          <w:rFonts w:ascii="Times New Roman" w:hAnsi="Times New Roman" w:cs="Times New Roman" w:eastAsia="仿宋_GB2312;仿宋"/>
          <w:b w:val="false"/>
          <w:bCs w:val="false"/>
          <w:kern w:val="2"/>
          <w:sz w:val="32"/>
          <w:szCs w:val="32"/>
        </w:rPr>
        <w:t>的行为及时劝阻并报告区城市绿化主管部门；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cs="Times New Roman"/>
          <w:sz w:val="32"/>
          <w:szCs w:val="32"/>
        </w:rPr>
      </w:pPr>
      <w:r>
        <w:rPr>
          <w:rFonts w:ascii="Times New Roman" w:hAnsi="Times New Roman" w:cs="Times New Roman" w:eastAsia="仿宋_GB2312;仿宋"/>
          <w:sz w:val="32"/>
          <w:szCs w:val="32"/>
        </w:rPr>
        <w:t>（四）做好</w:t>
      </w:r>
      <w:r>
        <w:rPr>
          <w:rFonts w:ascii="Times New Roman" w:hAnsi="Times New Roman" w:cs="Times New Roman" w:eastAsia="仿宋_GB2312;仿宋"/>
          <w:kern w:val="2"/>
          <w:sz w:val="32"/>
          <w:szCs w:val="32"/>
        </w:rPr>
        <w:t>检疫性病虫害或者其他病虫害</w:t>
      </w:r>
      <w:r>
        <w:rPr>
          <w:rFonts w:ascii="Times New Roman" w:hAnsi="Times New Roman" w:cs="Times New Roman" w:eastAsia="仿宋_GB2312;仿宋"/>
          <w:sz w:val="32"/>
          <w:szCs w:val="32"/>
        </w:rPr>
        <w:t>的预防与控制；</w:t>
      </w:r>
      <w:r>
        <w:rPr>
          <w:rFonts w:ascii="Times New Roman" w:hAnsi="Times New Roman"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（五）法律、法规规定的其他绿化职责。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bCs/>
          <w:kern w:val="2"/>
          <w:sz w:val="32"/>
          <w:szCs w:val="32"/>
        </w:rPr>
      </w:pPr>
      <w:r>
        <w:rPr>
          <w:rFonts w:ascii="Times New Roman" w:hAnsi="Times New Roman" w:cs="Times New Roman" w:eastAsia="仿宋_GB2312;仿宋"/>
          <w:kern w:val="2"/>
          <w:sz w:val="32"/>
          <w:szCs w:val="32"/>
        </w:rPr>
        <w:t>养护管理责任单位未按照绿化养护管理标准进行养护或者未履行养护职责，造成树木花草死亡的，应当补植。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第二十条  </w:t>
      </w:r>
      <w:r>
        <w:rPr>
          <w:rFonts w:ascii="Times New Roman" w:hAnsi="Times New Roman" w:cs="Times New Roman" w:eastAsia="仿宋_GB2312;仿宋"/>
          <w:kern w:val="2"/>
          <w:sz w:val="32"/>
          <w:szCs w:val="32"/>
        </w:rPr>
        <w:t>任何单位和个人不得擅自占用城市绿化用地。因建</w:t>
      </w:r>
      <w:r>
        <w:rPr>
          <w:rFonts w:ascii="Times New Roman" w:hAnsi="Times New Roman" w:cs="Times New Roman" w:eastAsia="仿宋_GB2312;仿宋"/>
          <w:b w:val="false"/>
          <w:bCs w:val="false"/>
          <w:kern w:val="2"/>
          <w:sz w:val="32"/>
          <w:szCs w:val="32"/>
        </w:rPr>
        <w:t>设或者其他特殊情况确</w:t>
      </w:r>
      <w:r>
        <w:rPr>
          <w:rFonts w:ascii="Times New Roman" w:hAnsi="Times New Roman" w:cs="Times New Roman" w:eastAsia="仿宋_GB2312;仿宋"/>
          <w:kern w:val="2"/>
          <w:sz w:val="32"/>
          <w:szCs w:val="32"/>
        </w:rPr>
        <w:t>需临时占用绿地的，应当依法办理有关手续。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绿地临时占用期满后，建设单位应当在一个月内恢复绿地；由于季节原因无法按期恢复的，可以延长至下一个绿化季节。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cs="Times New Roman"/>
        </w:rPr>
      </w:pPr>
      <w:r>
        <w:rPr>
          <w:rFonts w:ascii="Times New Roman" w:hAnsi="Times New Roman" w:cs="Times New Roman" w:eastAsia="仿宋_GB2312;仿宋"/>
          <w:kern w:val="2"/>
          <w:sz w:val="32"/>
          <w:szCs w:val="32"/>
        </w:rPr>
        <w:t>临时占用绿地不得超过一年。因特殊原因确需继续临时占用绿地的，应当在到期日前一个月内办理延长临时占用绿地的审批手续，延长时间不得超过一年。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第二十一条  </w:t>
      </w:r>
      <w:r>
        <w:rPr>
          <w:rFonts w:ascii="Times New Roman" w:hAnsi="Times New Roman" w:cs="Times New Roman" w:eastAsia="仿宋_GB2312;仿宋"/>
          <w:kern w:val="2"/>
          <w:sz w:val="32"/>
          <w:szCs w:val="32"/>
        </w:rPr>
        <w:t>市、区人民政府应当采取必要措施，保障城市绿化用水，建设绿化用水泵房和专用管线。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kern w:val="2"/>
          <w:sz w:val="32"/>
          <w:szCs w:val="32"/>
        </w:rPr>
      </w:pPr>
      <w:r>
        <w:rPr>
          <w:rFonts w:ascii="Times New Roman" w:hAnsi="Times New Roman" w:cs="Times New Roman" w:eastAsia="仿宋_GB2312;仿宋"/>
          <w:b w:val="false"/>
          <w:bCs w:val="false"/>
          <w:kern w:val="2"/>
          <w:sz w:val="32"/>
          <w:szCs w:val="32"/>
        </w:rPr>
        <w:t>积极推广海绵城市建设技术应用，发展节水型绿化，采用滴灌、微喷、渗灌等节水灌溉方式，加强对再生水和雨水的综合利用。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第二十二条  </w:t>
      </w:r>
      <w:r>
        <w:rPr>
          <w:rFonts w:ascii="Times New Roman" w:hAnsi="Times New Roman" w:cs="Times New Roman" w:eastAsia="仿宋_GB2312;仿宋"/>
          <w:kern w:val="2"/>
          <w:sz w:val="32"/>
          <w:szCs w:val="32"/>
        </w:rPr>
        <w:t>有下列情形之一确需移植树木的，应当经</w:t>
      </w:r>
      <w:r>
        <w:rPr>
          <w:rFonts w:ascii="Times New Roman" w:hAnsi="Times New Roman" w:cs="Times New Roman" w:eastAsia="仿宋_GB2312;仿宋"/>
          <w:b w:val="false"/>
          <w:bCs w:val="false"/>
          <w:kern w:val="2"/>
          <w:sz w:val="32"/>
          <w:szCs w:val="32"/>
        </w:rPr>
        <w:t>城市绿化主管部门</w:t>
      </w:r>
      <w:r>
        <w:rPr>
          <w:rFonts w:ascii="Times New Roman" w:hAnsi="Times New Roman" w:cs="Times New Roman" w:eastAsia="仿宋_GB2312;仿宋"/>
          <w:kern w:val="2"/>
          <w:sz w:val="32"/>
          <w:szCs w:val="32"/>
        </w:rPr>
        <w:t>批准；移植树木未成活的，应当</w:t>
      </w:r>
      <w:r>
        <w:rPr>
          <w:rFonts w:ascii="Times New Roman" w:hAnsi="Times New Roman" w:cs="Times New Roman" w:eastAsia="仿宋_GB2312;仿宋"/>
          <w:sz w:val="32"/>
          <w:szCs w:val="32"/>
        </w:rPr>
        <w:t>按照有关规定补植树木或者采取其他补救措施</w:t>
      </w:r>
      <w:r>
        <w:rPr>
          <w:rFonts w:ascii="Times New Roman" w:hAnsi="Times New Roman" w:cs="Times New Roman" w:eastAsia="仿宋_GB2312;仿宋"/>
          <w:kern w:val="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（一）城市建设需要；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（二）严重影响居民居住安全；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（三）影响人身财产安全、交通安全或者其他公共设施安全；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（四）法律、法规规定的其他情形。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kern w:val="2"/>
          <w:sz w:val="32"/>
          <w:szCs w:val="32"/>
        </w:rPr>
      </w:pPr>
      <w:r>
        <w:rPr>
          <w:rFonts w:ascii="Times New Roman" w:hAnsi="Times New Roman" w:cs="Times New Roman" w:eastAsia="黑体"/>
          <w:kern w:val="2"/>
          <w:sz w:val="32"/>
          <w:szCs w:val="32"/>
        </w:rPr>
        <w:t xml:space="preserve">第二十三条  </w:t>
      </w:r>
      <w:r>
        <w:rPr>
          <w:rFonts w:ascii="Times New Roman" w:hAnsi="Times New Roman" w:cs="Times New Roman" w:eastAsia="仿宋_GB2312;仿宋"/>
          <w:kern w:val="2"/>
          <w:sz w:val="32"/>
          <w:szCs w:val="32"/>
        </w:rPr>
        <w:t>有下列情形之一确需砍伐树木的，应当经</w:t>
      </w:r>
      <w:r>
        <w:rPr>
          <w:rFonts w:ascii="Times New Roman" w:hAnsi="Times New Roman" w:cs="Times New Roman" w:eastAsia="仿宋_GB2312;仿宋"/>
          <w:b w:val="false"/>
          <w:bCs w:val="false"/>
          <w:kern w:val="2"/>
          <w:sz w:val="32"/>
          <w:szCs w:val="32"/>
        </w:rPr>
        <w:t>城市绿化主管部门批准：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（一）城市建设需要；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（二）严重影响居民居住安全，且无移植价值；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（三）影响人身财产安全、交通安全或者其他公共设施安全，且无移植价值；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（四）发生</w:t>
      </w:r>
      <w:bookmarkStart w:id="20" w:name="_Hlk112951014"/>
      <w:r>
        <w:rPr>
          <w:rFonts w:ascii="Times New Roman" w:hAnsi="Times New Roman" w:cs="Times New Roman" w:eastAsia="仿宋_GB2312;仿宋"/>
          <w:kern w:val="2"/>
          <w:sz w:val="32"/>
          <w:szCs w:val="32"/>
        </w:rPr>
        <w:t>病虫害</w:t>
      </w:r>
      <w:bookmarkEnd w:id="20"/>
      <w:r>
        <w:rPr>
          <w:rFonts w:ascii="Times New Roman" w:hAnsi="Times New Roman" w:cs="Times New Roman" w:eastAsia="仿宋_GB2312;仿宋"/>
          <w:kern w:val="2"/>
          <w:sz w:val="32"/>
          <w:szCs w:val="32"/>
        </w:rPr>
        <w:t>，</w:t>
      </w:r>
      <w:r>
        <w:rPr>
          <w:rFonts w:ascii="Times New Roman" w:hAnsi="Times New Roman" w:cs="Times New Roman" w:eastAsia="仿宋_GB2312;仿宋"/>
          <w:sz w:val="31"/>
          <w:szCs w:val="31"/>
        </w:rPr>
        <w:t>确实无法挽救；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（五）树木已经死亡；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第二十四条  </w:t>
      </w:r>
      <w:r>
        <w:rPr>
          <w:rFonts w:ascii="Times New Roman" w:hAnsi="Times New Roman" w:cs="Times New Roman" w:eastAsia="仿宋_GB2312;仿宋"/>
          <w:kern w:val="2"/>
          <w:sz w:val="32"/>
          <w:szCs w:val="32"/>
        </w:rPr>
        <w:t>移植、砍伐树木不满十株的，由</w:t>
      </w:r>
      <w:r>
        <w:rPr>
          <w:rFonts w:ascii="Times New Roman" w:hAnsi="Times New Roman" w:cs="Times New Roman" w:eastAsia="仿宋_GB2312;仿宋"/>
          <w:b w:val="false"/>
          <w:bCs w:val="false"/>
          <w:kern w:val="2"/>
          <w:sz w:val="32"/>
          <w:szCs w:val="32"/>
        </w:rPr>
        <w:t>区城市绿化</w:t>
      </w:r>
      <w:r>
        <w:rPr>
          <w:rFonts w:ascii="Times New Roman" w:hAnsi="Times New Roman" w:cs="Times New Roman" w:eastAsia="仿宋_GB2312;仿宋"/>
          <w:kern w:val="2"/>
          <w:sz w:val="32"/>
          <w:szCs w:val="32"/>
        </w:rPr>
        <w:t>主管部门批准；十株及以上的，由市</w:t>
      </w:r>
      <w:r>
        <w:rPr>
          <w:rFonts w:ascii="Times New Roman" w:hAnsi="Times New Roman" w:cs="Times New Roman" w:eastAsia="仿宋_GB2312;仿宋"/>
          <w:b w:val="false"/>
          <w:bCs w:val="false"/>
          <w:kern w:val="2"/>
          <w:sz w:val="32"/>
          <w:szCs w:val="32"/>
        </w:rPr>
        <w:t>城市绿化</w:t>
      </w:r>
      <w:r>
        <w:rPr>
          <w:rFonts w:ascii="Times New Roman" w:hAnsi="Times New Roman" w:cs="Times New Roman" w:eastAsia="仿宋_GB2312;仿宋"/>
          <w:kern w:val="2"/>
          <w:sz w:val="32"/>
          <w:szCs w:val="32"/>
        </w:rPr>
        <w:t>主管部门批准。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pacing w:val="-3"/>
          <w:sz w:val="32"/>
          <w:szCs w:val="32"/>
        </w:rPr>
      </w:pPr>
      <w:r>
        <w:rPr>
          <w:rFonts w:ascii="Times New Roman" w:hAnsi="Times New Roman" w:cs="Times New Roman" w:eastAsia="仿宋_GB2312;仿宋"/>
          <w:kern w:val="2"/>
          <w:sz w:val="32"/>
          <w:szCs w:val="32"/>
        </w:rPr>
        <w:t>因抢险救灾和处理突发事故确需移植、砍伐树木的，有关单位可先行处置，及时报</w:t>
      </w:r>
      <w:r>
        <w:rPr>
          <w:rFonts w:ascii="Times New Roman" w:hAnsi="Times New Roman" w:cs="Times New Roman" w:eastAsia="仿宋_GB2312;仿宋"/>
          <w:b w:val="false"/>
          <w:bCs w:val="false"/>
          <w:kern w:val="2"/>
          <w:sz w:val="32"/>
          <w:szCs w:val="32"/>
        </w:rPr>
        <w:t>告城市绿化主管部门，并通知绿地养护管理单位。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color w:val="000000"/>
          <w:kern w:val="2"/>
          <w:sz w:val="32"/>
          <w:szCs w:val="32"/>
        </w:rPr>
      </w:pPr>
      <w:r>
        <w:rPr>
          <w:rFonts w:ascii="Times New Roman" w:hAnsi="Times New Roman" w:cs="Times New Roman" w:eastAsia="黑体"/>
          <w:kern w:val="2"/>
          <w:sz w:val="32"/>
          <w:szCs w:val="32"/>
        </w:rPr>
        <w:t xml:space="preserve">第二十五条  </w:t>
      </w:r>
      <w:r>
        <w:rPr>
          <w:rFonts w:ascii="Times New Roman" w:hAnsi="Times New Roman" w:cs="Times New Roman" w:eastAsia="仿宋_GB2312;仿宋"/>
          <w:kern w:val="2"/>
          <w:sz w:val="32"/>
          <w:szCs w:val="32"/>
        </w:rPr>
        <w:t>树木生长影响管线、交通等公共设施安全的，</w:t>
      </w:r>
      <w:r>
        <w:rPr>
          <w:rFonts w:ascii="Times New Roman" w:hAnsi="Times New Roman" w:cs="Times New Roman" w:eastAsia="仿宋_GB2312;仿宋"/>
          <w:kern w:val="2"/>
          <w:sz w:val="32"/>
          <w:szCs w:val="32"/>
          <w:shd w:fill="auto" w:val="clear"/>
        </w:rPr>
        <w:t>相关设施管理单位或者部门</w:t>
      </w:r>
      <w:bookmarkStart w:id="21" w:name="_Hlk113012804"/>
      <w:r>
        <w:rPr>
          <w:rFonts w:ascii="Times New Roman" w:hAnsi="Times New Roman" w:cs="Times New Roman" w:eastAsia="仿宋_GB2312;仿宋"/>
          <w:b w:val="false"/>
          <w:bCs w:val="false"/>
          <w:kern w:val="2"/>
          <w:sz w:val="32"/>
          <w:szCs w:val="32"/>
          <w:shd w:fill="auto" w:val="clear"/>
        </w:rPr>
        <w:t>应当</w:t>
      </w:r>
      <w:bookmarkEnd w:id="21"/>
      <w:r>
        <w:rPr>
          <w:rFonts w:ascii="Times New Roman" w:hAnsi="Times New Roman" w:cs="Times New Roman" w:eastAsia="仿宋_GB2312;仿宋"/>
          <w:b w:val="false"/>
          <w:bCs w:val="false"/>
          <w:kern w:val="2"/>
          <w:sz w:val="32"/>
          <w:szCs w:val="32"/>
        </w:rPr>
        <w:t>按照兼顾设施安全使用和树木正常生</w:t>
      </w:r>
      <w:r>
        <w:rPr>
          <w:rFonts w:ascii="Times New Roman" w:hAnsi="Times New Roman" w:cs="Times New Roman" w:eastAsia="仿宋_GB2312;仿宋"/>
          <w:kern w:val="2"/>
          <w:sz w:val="32"/>
          <w:szCs w:val="32"/>
        </w:rPr>
        <w:t>长的</w:t>
      </w:r>
      <w:r>
        <w:rPr>
          <w:rFonts w:ascii="Times New Roman" w:hAnsi="Times New Roman" w:cs="Times New Roman" w:eastAsia="仿宋_GB2312;仿宋"/>
          <w:b w:val="false"/>
          <w:bCs w:val="false"/>
          <w:color w:val="000000"/>
          <w:kern w:val="2"/>
          <w:sz w:val="32"/>
          <w:szCs w:val="32"/>
        </w:rPr>
        <w:t>原则组织修剪。</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b w:val="false"/>
          <w:bCs w:val="false"/>
          <w:color w:val="000000"/>
          <w:kern w:val="2"/>
          <w:sz w:val="32"/>
          <w:szCs w:val="32"/>
        </w:rPr>
      </w:pPr>
      <w:r>
        <w:rPr>
          <w:rFonts w:ascii="Times New Roman" w:hAnsi="Times New Roman" w:cs="Times New Roman" w:eastAsia="仿宋_GB2312;仿宋"/>
          <w:b w:val="false"/>
          <w:bCs w:val="false"/>
          <w:color w:val="000000"/>
          <w:kern w:val="2"/>
          <w:sz w:val="32"/>
          <w:szCs w:val="32"/>
        </w:rPr>
        <w:t xml:space="preserve">居住区公共绿地的树木生长影响居民采光、通风和居住安全，居民提出修剪请求的，养护管理责任单位应当按照有关规定及时组织修剪。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Style w:val="Strong"/>
          <w:rFonts w:ascii="Times New Roman" w:hAnsi="Times New Roman" w:cs="Times New Roman" w:eastAsia="黑体"/>
          <w:b w:val="false"/>
          <w:sz w:val="32"/>
          <w:szCs w:val="32"/>
        </w:rPr>
        <w:t xml:space="preserve">第二十六条  </w:t>
      </w:r>
      <w:r>
        <w:rPr>
          <w:rFonts w:ascii="Times New Roman" w:hAnsi="Times New Roman" w:cs="Times New Roman" w:eastAsia="仿宋_GB2312;仿宋"/>
          <w:kern w:val="2"/>
          <w:sz w:val="32"/>
          <w:szCs w:val="32"/>
        </w:rPr>
        <w:t>禁止下列损坏树木花草和绿化设施的行为：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（一）掐花、摘果、</w:t>
      </w:r>
      <w:r>
        <w:rPr>
          <w:rFonts w:ascii="Times New Roman" w:hAnsi="Times New Roman" w:cs="Times New Roman" w:eastAsia="仿宋_GB2312;仿宋"/>
          <w:sz w:val="32"/>
          <w:szCs w:val="32"/>
        </w:rPr>
        <w:t>攀折树枝</w:t>
      </w:r>
      <w:r>
        <w:rPr>
          <w:rFonts w:ascii="Times New Roman" w:hAnsi="Times New Roman" w:cs="Times New Roman" w:eastAsia="仿宋_GB2312;仿宋"/>
          <w:kern w:val="2"/>
          <w:sz w:val="32"/>
          <w:szCs w:val="32"/>
        </w:rPr>
        <w:t>、</w:t>
      </w:r>
      <w:r>
        <w:rPr>
          <w:rFonts w:ascii="Times New Roman" w:hAnsi="Times New Roman" w:cs="Times New Roman" w:eastAsia="仿宋_GB2312;仿宋"/>
          <w:sz w:val="32"/>
          <w:szCs w:val="32"/>
        </w:rPr>
        <w:t>剥刮树皮</w:t>
      </w:r>
      <w:r>
        <w:rPr>
          <w:rFonts w:ascii="Times New Roman" w:hAnsi="Times New Roman" w:cs="Times New Roman" w:eastAsia="仿宋_GB2312;仿宋"/>
          <w:kern w:val="2"/>
          <w:sz w:val="32"/>
          <w:szCs w:val="32"/>
        </w:rPr>
        <w:t>、刨挖树根、</w:t>
      </w:r>
      <w:r>
        <w:rPr>
          <w:rFonts w:ascii="Times New Roman" w:hAnsi="Times New Roman" w:cs="Times New Roman" w:eastAsia="仿宋_GB2312;仿宋"/>
          <w:sz w:val="32"/>
          <w:szCs w:val="32"/>
        </w:rPr>
        <w:t>损坏草坪</w:t>
      </w:r>
      <w:r>
        <w:rPr>
          <w:rFonts w:ascii="Times New Roman" w:hAnsi="Times New Roman" w:cs="Times New Roman" w:eastAsia="仿宋_GB2312;仿宋"/>
          <w:kern w:val="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bdr w:val="single" w:sz="4" w:space="0" w:color="000000"/>
          <w:shd w:fill="D9D9D9" w:val="clear"/>
        </w:rPr>
      </w:pPr>
      <w:r>
        <w:rPr>
          <w:rFonts w:ascii="Times New Roman" w:hAnsi="Times New Roman" w:cs="Times New Roman" w:eastAsia="仿宋_GB2312;仿宋"/>
          <w:kern w:val="2"/>
          <w:sz w:val="32"/>
          <w:szCs w:val="32"/>
        </w:rPr>
        <w:t>（二）在树木上刻字、打钉、搭棚、拴系牲畜、拉绳晒物、架设电线；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（三）在绿地内擅自摆摊设点、设置广告牌和标语牌；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 xml:space="preserve">（四）在绿地内挖沙取土、堆放物料、燃放烟花爆竹、焚烧物品；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（五）在绿地内</w:t>
      </w:r>
      <w:r>
        <w:rPr>
          <w:rFonts w:ascii="Times New Roman" w:hAnsi="Times New Roman" w:cs="Times New Roman" w:eastAsia="仿宋_GB2312;仿宋"/>
          <w:sz w:val="32"/>
          <w:szCs w:val="32"/>
        </w:rPr>
        <w:t>烧烤、</w:t>
      </w:r>
      <w:r>
        <w:rPr>
          <w:rFonts w:ascii="Times New Roman" w:hAnsi="Times New Roman" w:cs="Times New Roman" w:eastAsia="仿宋_GB2312;仿宋"/>
          <w:kern w:val="2"/>
          <w:sz w:val="32"/>
          <w:szCs w:val="32"/>
        </w:rPr>
        <w:t>放牧、养殖、开垦种植；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kern w:val="2"/>
          <w:sz w:val="32"/>
          <w:szCs w:val="32"/>
        </w:rPr>
        <w:t>（六）</w:t>
      </w:r>
      <w:r>
        <w:rPr>
          <w:rFonts w:ascii="Times New Roman" w:hAnsi="Times New Roman" w:cs="Times New Roman" w:eastAsia="仿宋_GB2312;仿宋"/>
          <w:sz w:val="32"/>
          <w:szCs w:val="32"/>
        </w:rPr>
        <w:t>在绿地内停放车辆、辗压绿地；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（七）在绿地内倾倒废弃物、有害物质；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（八）损毁绿化设施；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微软雅黑" w:cs="Times New Roman"/>
          <w:sz w:val="32"/>
          <w:szCs w:val="32"/>
        </w:rPr>
      </w:pPr>
      <w:r>
        <w:rPr>
          <w:rFonts w:ascii="Times New Roman" w:hAnsi="Times New Roman" w:cs="Times New Roman" w:eastAsia="仿宋_GB2312;仿宋"/>
          <w:kern w:val="2"/>
          <w:sz w:val="32"/>
          <w:szCs w:val="32"/>
        </w:rPr>
        <w:t>（九）其他损坏树木花草和绿化设施的行为。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第二十七条  </w:t>
      </w:r>
      <w:r>
        <w:rPr>
          <w:rFonts w:ascii="Times New Roman" w:hAnsi="Times New Roman" w:cs="Times New Roman" w:eastAsia="仿宋_GB2312;仿宋"/>
          <w:b w:val="false"/>
          <w:bCs w:val="false"/>
          <w:kern w:val="2"/>
          <w:sz w:val="32"/>
          <w:szCs w:val="32"/>
        </w:rPr>
        <w:t>区城市绿化</w:t>
      </w:r>
      <w:r>
        <w:rPr>
          <w:rFonts w:ascii="Times New Roman" w:hAnsi="Times New Roman" w:cs="Times New Roman" w:eastAsia="仿宋_GB2312;仿宋"/>
          <w:kern w:val="2"/>
          <w:sz w:val="32"/>
          <w:szCs w:val="32"/>
        </w:rPr>
        <w:t>主管部门应当加强对五十年以上树木后备资源或者具有历史价值、纪念意义树木的管理和保护，做好调查、登记、</w:t>
      </w:r>
      <w:r>
        <w:rPr>
          <w:rFonts w:ascii="Times New Roman" w:hAnsi="Times New Roman" w:cs="Times New Roman" w:eastAsia="仿宋_GB2312;仿宋"/>
          <w:b w:val="false"/>
          <w:bCs w:val="false"/>
          <w:kern w:val="2"/>
          <w:sz w:val="32"/>
          <w:szCs w:val="32"/>
        </w:rPr>
        <w:t>认定</w:t>
      </w:r>
      <w:r>
        <w:rPr>
          <w:rFonts w:ascii="Times New Roman" w:hAnsi="Times New Roman" w:cs="Times New Roman" w:eastAsia="仿宋_GB2312;仿宋"/>
          <w:kern w:val="2"/>
          <w:sz w:val="32"/>
          <w:szCs w:val="32"/>
        </w:rPr>
        <w:t>和建档工作，设立标志，落实</w:t>
      </w:r>
      <w:r>
        <w:rPr>
          <w:rFonts w:ascii="Times New Roman" w:hAnsi="Times New Roman" w:cs="Times New Roman" w:eastAsia="仿宋_GB2312;仿宋"/>
          <w:b w:val="false"/>
          <w:bCs w:val="false"/>
          <w:kern w:val="2"/>
          <w:sz w:val="32"/>
          <w:szCs w:val="32"/>
        </w:rPr>
        <w:t>养护管理</w:t>
      </w:r>
      <w:r>
        <w:rPr>
          <w:rFonts w:ascii="Times New Roman" w:hAnsi="Times New Roman" w:cs="Times New Roman" w:eastAsia="仿宋_GB2312;仿宋"/>
          <w:kern w:val="2"/>
          <w:sz w:val="32"/>
          <w:szCs w:val="32"/>
        </w:rPr>
        <w:t>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第二十八条  </w:t>
      </w:r>
      <w:r>
        <w:rPr>
          <w:rFonts w:ascii="Times New Roman" w:hAnsi="Times New Roman" w:cs="Times New Roman" w:eastAsia="仿宋_GB2312;仿宋"/>
          <w:b w:val="false"/>
          <w:bCs w:val="false"/>
          <w:kern w:val="2"/>
          <w:sz w:val="32"/>
          <w:szCs w:val="32"/>
        </w:rPr>
        <w:t>区城市绿化</w:t>
      </w:r>
      <w:r>
        <w:rPr>
          <w:rFonts w:ascii="Times New Roman" w:hAnsi="Times New Roman" w:cs="Times New Roman" w:eastAsia="仿宋_GB2312;仿宋"/>
          <w:kern w:val="2"/>
          <w:sz w:val="32"/>
          <w:szCs w:val="32"/>
        </w:rPr>
        <w:t>主管部门应当建立日常绿化巡查机制，及时</w:t>
      </w:r>
      <w:r>
        <w:rPr>
          <w:rFonts w:ascii="Times New Roman" w:hAnsi="Times New Roman" w:cs="Times New Roman" w:eastAsia="仿宋_GB2312;仿宋"/>
          <w:bCs/>
          <w:color w:val="000000"/>
          <w:kern w:val="2"/>
          <w:sz w:val="32"/>
          <w:szCs w:val="32"/>
        </w:rPr>
        <w:t>处置城市绿化违法行为，</w:t>
      </w:r>
      <w:r>
        <w:rPr>
          <w:rFonts w:ascii="Times New Roman" w:hAnsi="Times New Roman" w:cs="Times New Roman" w:eastAsia="仿宋_GB2312;仿宋"/>
          <w:kern w:val="2"/>
          <w:sz w:val="32"/>
          <w:szCs w:val="32"/>
        </w:rPr>
        <w:t>加强对各类绿化工程质量和施工安全监督。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sz w:val="32"/>
          <w:szCs w:val="32"/>
        </w:rPr>
        <w:t>任何单位和个人都应当爱护绿化成果和绿化设施，并有权对</w:t>
      </w:r>
      <w:r>
        <w:rPr>
          <w:rFonts w:ascii="Times New Roman" w:hAnsi="Times New Roman" w:cs="Times New Roman" w:eastAsia="仿宋_GB2312;仿宋"/>
          <w:b w:val="false"/>
          <w:bCs w:val="false"/>
          <w:sz w:val="32"/>
          <w:szCs w:val="32"/>
        </w:rPr>
        <w:t>损坏树木花草和绿化设施的</w:t>
      </w:r>
      <w:r>
        <w:rPr>
          <w:rFonts w:ascii="Times New Roman" w:hAnsi="Times New Roman" w:cs="Times New Roman" w:eastAsia="仿宋_GB2312;仿宋"/>
          <w:sz w:val="32"/>
          <w:szCs w:val="32"/>
        </w:rPr>
        <w:t>行为予以劝止、举报。</w:t>
      </w:r>
      <w:r>
        <w:rPr>
          <w:rFonts w:ascii="Times New Roman" w:hAnsi="Times New Roman" w:cs="Times New Roman" w:eastAsia="仿宋_GB2312;仿宋"/>
          <w:kern w:val="2"/>
          <w:sz w:val="32"/>
          <w:szCs w:val="32"/>
        </w:rPr>
        <w:t>区</w:t>
      </w:r>
      <w:r>
        <w:rPr>
          <w:rFonts w:ascii="Times New Roman" w:hAnsi="Times New Roman" w:cs="Times New Roman" w:eastAsia="仿宋_GB2312;仿宋"/>
          <w:b w:val="false"/>
          <w:bCs w:val="false"/>
          <w:kern w:val="2"/>
          <w:sz w:val="32"/>
          <w:szCs w:val="32"/>
        </w:rPr>
        <w:t>城市绿化主管部门应当畅通投诉举报渠道，向社会公布投诉举</w:t>
      </w:r>
      <w:r>
        <w:rPr>
          <w:rFonts w:ascii="Times New Roman" w:hAnsi="Times New Roman" w:cs="Times New Roman" w:eastAsia="仿宋_GB2312;仿宋"/>
          <w:kern w:val="2"/>
          <w:sz w:val="32"/>
          <w:szCs w:val="32"/>
        </w:rPr>
        <w:t>报方式，并将处理结果及时告知投诉举报人。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黑体" w:cs="Times New Roman"/>
          <w:kern w:val="2"/>
          <w:sz w:val="32"/>
          <w:szCs w:val="32"/>
        </w:rPr>
      </w:pPr>
      <w:r>
        <w:rPr>
          <w:rFonts w:eastAsia="黑体" w:cs="Times New Roman"/>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hanging="0" w:start="0"/>
        <w:jc w:val="center"/>
        <w:textAlignment w:val="auto"/>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第四章 法律责任</w:t>
      </w:r>
    </w:p>
    <w:p>
      <w:pPr>
        <w:pStyle w:val="2"/>
        <w:keepNext w:val="false"/>
        <w:keepLines w:val="false"/>
        <w:pageBreakBefore w:val="false"/>
        <w:widowControl w:val="false"/>
        <w:kinsoku w:val="true"/>
        <w:overflowPunct w:val="true"/>
        <w:autoSpaceDE w:val="true"/>
        <w:bidi w:val="0"/>
        <w:snapToGrid w:val="false"/>
        <w:spacing w:lineRule="exact" w:line="560"/>
        <w:ind w:startChars="0" w:start="0" w:endChars="0" w:end="0"/>
        <w:jc w:val="both"/>
        <w:textAlignment w:val="auto"/>
        <w:rPr>
          <w:rFonts w:ascii="Times New Roman" w:hAnsi="Times New Roman" w:eastAsia="黑体" w:cs="Times New Roman"/>
          <w:kern w:val="2"/>
          <w:sz w:val="32"/>
          <w:szCs w:val="32"/>
        </w:rPr>
      </w:pPr>
      <w:r>
        <w:rPr>
          <w:rFonts w:eastAsia="黑体" w:cs="Times New Roman"/>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pacing w:val="-3"/>
          <w:sz w:val="32"/>
          <w:szCs w:val="32"/>
        </w:rPr>
      </w:pPr>
      <w:r>
        <w:rPr>
          <w:rFonts w:ascii="Times New Roman" w:hAnsi="Times New Roman" w:cs="Times New Roman" w:eastAsia="黑体"/>
          <w:spacing w:val="-3"/>
          <w:sz w:val="32"/>
          <w:szCs w:val="32"/>
        </w:rPr>
        <w:t xml:space="preserve">第二十九条  </w:t>
      </w:r>
      <w:r>
        <w:rPr>
          <w:rFonts w:ascii="Times New Roman" w:hAnsi="Times New Roman" w:cs="Times New Roman" w:eastAsia="仿宋_GB2312;仿宋"/>
          <w:spacing w:val="-3"/>
          <w:sz w:val="32"/>
          <w:szCs w:val="32"/>
        </w:rPr>
        <w:t>违反本条例规定，有下列情形之一的，由</w:t>
      </w:r>
      <w:r>
        <w:rPr>
          <w:rFonts w:ascii="Times New Roman" w:hAnsi="Times New Roman" w:cs="Times New Roman" w:eastAsia="仿宋_GB2312;仿宋"/>
          <w:b w:val="false"/>
          <w:bCs w:val="false"/>
          <w:spacing w:val="-3"/>
          <w:sz w:val="32"/>
          <w:szCs w:val="32"/>
        </w:rPr>
        <w:t>区</w:t>
      </w:r>
      <w:r>
        <w:rPr>
          <w:rFonts w:ascii="Times New Roman" w:hAnsi="Times New Roman" w:cs="Times New Roman" w:eastAsia="仿宋_GB2312;仿宋"/>
          <w:b w:val="false"/>
          <w:bCs w:val="false"/>
          <w:kern w:val="2"/>
          <w:sz w:val="32"/>
          <w:szCs w:val="32"/>
        </w:rPr>
        <w:t>城市管理部门</w:t>
      </w:r>
      <w:r>
        <w:rPr>
          <w:rFonts w:ascii="Times New Roman" w:hAnsi="Times New Roman" w:cs="Times New Roman" w:eastAsia="仿宋_GB2312;仿宋"/>
          <w:b w:val="false"/>
          <w:bCs w:val="false"/>
          <w:sz w:val="32"/>
          <w:szCs w:val="32"/>
        </w:rPr>
        <w:t>予</w:t>
      </w:r>
      <w:r>
        <w:rPr>
          <w:rFonts w:ascii="Times New Roman" w:hAnsi="Times New Roman" w:cs="Times New Roman" w:eastAsia="仿宋_GB2312;仿宋"/>
          <w:spacing w:val="-3"/>
          <w:sz w:val="32"/>
          <w:szCs w:val="32"/>
        </w:rPr>
        <w:t>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pacing w:val="-3"/>
          <w:sz w:val="32"/>
          <w:szCs w:val="32"/>
        </w:rPr>
      </w:pPr>
      <w:r>
        <w:rPr>
          <w:rFonts w:ascii="Times New Roman" w:hAnsi="Times New Roman" w:cs="Times New Roman" w:eastAsia="仿宋_GB2312;仿宋"/>
          <w:spacing w:val="-3"/>
          <w:sz w:val="32"/>
          <w:szCs w:val="32"/>
        </w:rPr>
        <w:t>（一）未按照批准的</w:t>
      </w:r>
      <w:r>
        <w:rPr>
          <w:rFonts w:ascii="Times New Roman" w:hAnsi="Times New Roman" w:cs="Times New Roman" w:eastAsia="仿宋_GB2312;仿宋"/>
          <w:sz w:val="32"/>
          <w:szCs w:val="32"/>
        </w:rPr>
        <w:t>附属绿化工程设计方案</w:t>
      </w:r>
      <w:r>
        <w:rPr>
          <w:rFonts w:ascii="Times New Roman" w:hAnsi="Times New Roman" w:cs="Times New Roman" w:eastAsia="仿宋_GB2312;仿宋"/>
          <w:spacing w:val="-3"/>
          <w:sz w:val="32"/>
          <w:szCs w:val="32"/>
        </w:rPr>
        <w:t>进行建设的，责令停止施工、限期改正或者采取其他补救措施。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ascii="Times New Roman" w:hAnsi="Times New Roman" w:cs="Times New Roman" w:eastAsia="仿宋_GB2312;仿宋"/>
          <w:spacing w:val="-3"/>
          <w:sz w:val="32"/>
          <w:szCs w:val="32"/>
        </w:rPr>
        <w:t>（二）</w:t>
      </w:r>
      <w:r>
        <w:rPr>
          <w:rFonts w:ascii="Times New Roman" w:hAnsi="Times New Roman" w:cs="Times New Roman" w:eastAsia="仿宋_GB2312;仿宋"/>
          <w:kern w:val="2"/>
          <w:sz w:val="32"/>
          <w:szCs w:val="32"/>
        </w:rPr>
        <w:t>擅自占用城市绿化用地的，责令限期退还、恢复原状，对个人可以处五十元以上二百元以下罚款，对单位可以处二百元以上一千元以下罚款；</w:t>
      </w:r>
      <w:r>
        <w:rPr>
          <w:rFonts w:ascii="Times New Roman" w:hAnsi="Times New Roman" w:cs="Times New Roman" w:eastAsia="仿宋_GB2312;仿宋"/>
          <w:color w:val="000000"/>
          <w:kern w:val="2"/>
          <w:sz w:val="32"/>
          <w:szCs w:val="32"/>
        </w:rPr>
        <w:t>属于</w:t>
      </w:r>
      <w:r>
        <w:rPr>
          <w:rFonts w:ascii="Times New Roman" w:hAnsi="Times New Roman" w:cs="Times New Roman" w:eastAsia="仿宋_GB2312;仿宋"/>
          <w:kern w:val="2"/>
          <w:sz w:val="32"/>
          <w:szCs w:val="32"/>
        </w:rPr>
        <w:t>从事经营活动的，可以处违法所得三倍以下罚款，无违法所得</w:t>
      </w:r>
      <w:r>
        <w:rPr>
          <w:rFonts w:ascii="Times New Roman" w:hAnsi="Times New Roman" w:cs="Times New Roman" w:eastAsia="仿宋_GB2312;仿宋"/>
          <w:color w:val="000000"/>
          <w:sz w:val="32"/>
          <w:szCs w:val="32"/>
          <w:shd w:fill="FFFFFF" w:val="clear"/>
        </w:rPr>
        <w:t>或者违法所得不足一千元的，可以处一千元以上</w:t>
      </w:r>
      <w:r>
        <w:rPr>
          <w:rFonts w:ascii="Times New Roman" w:hAnsi="Times New Roman" w:cs="Times New Roman" w:eastAsia="仿宋_GB2312;仿宋"/>
          <w:kern w:val="2"/>
          <w:sz w:val="32"/>
          <w:szCs w:val="32"/>
        </w:rPr>
        <w:t>一万元以下罚款；造成损失的，依法承担赔偿责任。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cs="Times New Roman"/>
          <w:sz w:val="32"/>
          <w:szCs w:val="32"/>
          <w:bdr w:val="single" w:sz="4" w:space="0" w:color="000000"/>
          <w:shd w:fill="D9D9D9" w:val="clear"/>
        </w:rPr>
      </w:pPr>
      <w:r>
        <w:rPr>
          <w:rFonts w:ascii="Times New Roman" w:hAnsi="Times New Roman" w:cs="Times New Roman" w:eastAsia="仿宋_GB2312;仿宋"/>
          <w:spacing w:val="-3"/>
          <w:sz w:val="32"/>
          <w:szCs w:val="32"/>
        </w:rPr>
        <w:t>（三）</w:t>
      </w:r>
      <w:r>
        <w:rPr>
          <w:rFonts w:ascii="Times New Roman" w:hAnsi="Times New Roman" w:cs="Times New Roman" w:eastAsia="仿宋_GB2312;仿宋"/>
          <w:sz w:val="32"/>
          <w:szCs w:val="32"/>
        </w:rPr>
        <w:t>擅自移植、砍伐树木，责令停止违法行为，对个人可以处五十元以上二百元以下罚款，对单位可以处二百元以上一千元以下罚款；属于从事经营活动的，可以处违法所得三倍以下罚款，无违法所得的，可以处一千元以上一万元以下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pacing w:val="-3"/>
          <w:sz w:val="32"/>
          <w:szCs w:val="32"/>
        </w:rPr>
        <w:t xml:space="preserve">第三十条  </w:t>
      </w:r>
      <w:r>
        <w:rPr>
          <w:rFonts w:ascii="Times New Roman" w:hAnsi="Times New Roman" w:cs="Times New Roman" w:eastAsia="仿宋_GB2312;仿宋"/>
          <w:sz w:val="32"/>
          <w:szCs w:val="32"/>
        </w:rPr>
        <w:t>违反本条例第二十六条第一项至第八项规定的，由</w:t>
      </w:r>
      <w:r>
        <w:rPr>
          <w:rFonts w:ascii="Times New Roman" w:hAnsi="Times New Roman" w:cs="Times New Roman" w:eastAsia="仿宋_GB2312;仿宋"/>
          <w:b w:val="false"/>
          <w:bCs w:val="false"/>
          <w:spacing w:val="-3"/>
          <w:sz w:val="32"/>
          <w:szCs w:val="32"/>
        </w:rPr>
        <w:t>区城市管理部门</w:t>
      </w:r>
      <w:r>
        <w:rPr>
          <w:rFonts w:ascii="Times New Roman" w:hAnsi="Times New Roman" w:cs="Times New Roman" w:eastAsia="仿宋_GB2312;仿宋"/>
          <w:sz w:val="32"/>
          <w:szCs w:val="32"/>
        </w:rPr>
        <w:t>责令停止违法行为，对个人可以处五十元以上二百元以下罚款，对单位可以处二百元以上一千元以下罚款；属于从事经营活动的，可以处违法所得一倍以上三倍以下罚款，无违法所得的，可以处一千元以上一万元以下罚款；造成损失的，依法承担赔偿责任。</w:t>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第三十一条  </w:t>
      </w:r>
      <w:r>
        <w:rPr>
          <w:rFonts w:ascii="Times New Roman" w:hAnsi="Times New Roman" w:cs="Times New Roman" w:eastAsia="仿宋_GB2312;仿宋"/>
          <w:sz w:val="32"/>
          <w:szCs w:val="32"/>
        </w:rPr>
        <w:t>违反本条例规定，应当承担法律责任的其他行为，依照有关法律、法规执行。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900" w:startChars="0" w:start="0" w:endChars="0" w:end="0"/>
        <w:jc w:val="both"/>
        <w:textAlignment w:val="auto"/>
        <w:rPr>
          <w:rFonts w:ascii="Times New Roman" w:hAnsi="Times New Roman" w:eastAsia="黑体" w:cs="Times New Roman"/>
          <w:kern w:val="2"/>
          <w:sz w:val="32"/>
          <w:szCs w:val="32"/>
        </w:rPr>
      </w:pPr>
      <w:r>
        <w:rPr>
          <w:rFonts w:eastAsia="黑体" w:cs="Times New Roman"/>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kern w:val="2"/>
          <w:sz w:val="32"/>
          <w:szCs w:val="32"/>
        </w:rPr>
      </w:pPr>
      <w:r>
        <w:rPr>
          <w:rFonts w:eastAsia="仿宋_GB2312;仿宋" w:cs="Times New Roman"/>
          <w:kern w:val="2"/>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kern w:val="2"/>
          <w:sz w:val="32"/>
          <w:szCs w:val="32"/>
        </w:rPr>
        <w:t xml:space="preserve">第三十二条  </w:t>
      </w:r>
      <w:r>
        <w:rPr>
          <w:rFonts w:ascii="Times New Roman" w:hAnsi="Times New Roman" w:cs="Times New Roman" w:eastAsia="仿宋_GB2312;仿宋"/>
          <w:color w:val="000000"/>
          <w:sz w:val="32"/>
          <w:szCs w:val="32"/>
        </w:rPr>
        <w:t>本条例所称城市绿地包括公园绿地、防护绿地、广场绿地、附属绿地以及其他用于绿化的土地。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本条例所称的城市绿线，是指城市各类绿地范围的控制线。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黑体" w:cs="Times New Roman"/>
          <w:bCs/>
          <w:color w:val="000000"/>
          <w:sz w:val="32"/>
          <w:szCs w:val="32"/>
        </w:rPr>
      </w:pPr>
      <w:r>
        <w:rPr>
          <w:rFonts w:ascii="Times New Roman" w:hAnsi="Times New Roman" w:cs="Times New Roman" w:eastAsia="黑体"/>
          <w:kern w:val="2"/>
          <w:sz w:val="32"/>
          <w:szCs w:val="32"/>
        </w:rPr>
        <w:t xml:space="preserve">第三十三条  </w:t>
      </w:r>
      <w:r>
        <w:rPr>
          <w:rFonts w:ascii="Times New Roman" w:hAnsi="Times New Roman" w:cs="Times New Roman" w:eastAsia="仿宋_GB2312;仿宋"/>
          <w:kern w:val="2"/>
          <w:sz w:val="32"/>
          <w:szCs w:val="32"/>
          <w:lang w:val="zh-CN"/>
        </w:rPr>
        <w:t>本条例自</w:t>
      </w:r>
      <w:r>
        <w:rPr>
          <w:rFonts w:eastAsia="仿宋_GB2312;仿宋" w:cs="Times New Roman"/>
          <w:kern w:val="2"/>
          <w:sz w:val="32"/>
          <w:szCs w:val="32"/>
        </w:rPr>
        <w:t>2023</w:t>
      </w:r>
      <w:r>
        <w:rPr>
          <w:rFonts w:ascii="Times New Roman" w:hAnsi="Times New Roman" w:cs="Times New Roman" w:eastAsia="仿宋_GB2312;仿宋"/>
          <w:kern w:val="2"/>
          <w:sz w:val="32"/>
          <w:szCs w:val="32"/>
          <w:lang w:val="zh-CN"/>
        </w:rPr>
        <w:t>年</w:t>
      </w:r>
      <w:r>
        <w:rPr>
          <w:rFonts w:eastAsia="仿宋_GB2312;仿宋" w:cs="Times New Roman"/>
          <w:kern w:val="2"/>
          <w:sz w:val="32"/>
          <w:szCs w:val="32"/>
        </w:rPr>
        <w:t>6</w:t>
      </w:r>
      <w:r>
        <w:rPr>
          <w:rFonts w:ascii="Times New Roman" w:hAnsi="Times New Roman" w:cs="Times New Roman" w:eastAsia="仿宋_GB2312;仿宋"/>
          <w:kern w:val="2"/>
          <w:sz w:val="32"/>
          <w:szCs w:val="32"/>
          <w:lang w:val="zh-CN"/>
        </w:rPr>
        <w:t>月</w:t>
      </w:r>
      <w:r>
        <w:rPr>
          <w:rFonts w:eastAsia="仿宋_GB2312;仿宋" w:cs="Times New Roman"/>
          <w:kern w:val="2"/>
          <w:sz w:val="32"/>
          <w:szCs w:val="32"/>
        </w:rPr>
        <w:t>1</w:t>
      </w:r>
      <w:r>
        <w:rPr>
          <w:rFonts w:ascii="Times New Roman" w:hAnsi="Times New Roman" w:cs="Times New Roman" w:eastAsia="仿宋_GB2312;仿宋"/>
          <w:kern w:val="2"/>
          <w:sz w:val="32"/>
          <w:szCs w:val="32"/>
          <w:lang w:val="zh-CN"/>
        </w:rPr>
        <w:t>日起施行。</w:t>
      </w:r>
    </w:p>
    <w:p>
      <w:pPr>
        <w:pStyle w:val="Normal"/>
        <w:rPr>
          <w:rFonts w:ascii="Times New Roman" w:hAnsi="Times New Roman" w:eastAsia="黑体" w:cs="Times New Roman"/>
          <w:bCs/>
          <w:color w:val="000000"/>
          <w:sz w:val="32"/>
          <w:szCs w:val="32"/>
        </w:rPr>
      </w:pPr>
      <w:r>
        <w:rPr>
          <w:rFonts w:eastAsia="黑体" w:cs="Times New Roman"/>
          <w:bCs/>
          <w:color w:val="000000"/>
          <w:sz w:val="32"/>
          <w:szCs w:val="32"/>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ind w:firstLineChars="0" w:firstLine="0" w:startChars="0" w:start="0" w:endChars="0" w:end="0"/>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2"/>
        <w:rPr>
          <w:rFonts w:ascii="Times New Roman" w:hAnsi="Times New Roman" w:cs="Times New Roman"/>
          <w:color w:val="000000"/>
        </w:rPr>
      </w:pPr>
      <w:r>
        <w:rPr>
          <w:rFonts w:cs="Times New Roman"/>
          <w:color w:val="000000"/>
        </w:rPr>
      </w:r>
    </w:p>
    <w:p>
      <w:pPr>
        <w:pStyle w:val="Normal"/>
        <w:keepNext w:val="false"/>
        <w:keepLines w:val="false"/>
        <w:pageBreakBefore w:val="false"/>
        <w:widowControl w:val="false"/>
        <w:kinsoku w:val="true"/>
        <w:overflowPunct w:val="true"/>
        <w:autoSpaceDE w:val="true"/>
        <w:bidi w:val="0"/>
        <w:snapToGrid w:val="false"/>
        <w:spacing w:lineRule="exact" w:line="560"/>
        <w:jc w:val="both"/>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529590" cy="176530"/>
              <wp:effectExtent l="0" t="0" r="0" b="0"/>
              <wp:wrapNone/>
              <wp:docPr id="1" name="Frame1"/>
              <a:graphic xmlns:a="http://schemas.openxmlformats.org/drawingml/2006/main">
                <a:graphicData uri="http://schemas.microsoft.com/office/word/2010/wordprocessingShape">
                  <wps:wsp>
                    <wps:cNvSpPr txBox="1"/>
                    <wps:spPr>
                      <a:xfrm>
                        <a:off x="0" y="0"/>
                        <a:ext cx="529590" cy="176530"/>
                      </a:xfrm>
                      <a:prstGeom prst="rect"/>
                      <a:solidFill>
                        <a:srgbClr val="FFFFFF">
                          <a:alpha val="0"/>
                        </a:srgbClr>
                      </a:solidFill>
                    </wps:spPr>
                    <wps:txbx>
                      <w:txbxContent>
                        <w:p>
                          <w:pPr>
                            <w:pStyle w:val="Footer"/>
                            <w:rPr/>
                          </w:pPr>
                          <w:r>
                            <w:rPr>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11</w:t>
                          </w:r>
                          <w:r>
                            <w:rPr>
                              <w:sz w:val="24"/>
                              <w:szCs w:val="24"/>
                            </w:rPr>
                            <w:fldChar w:fldCharType="end"/>
                          </w:r>
                          <w:r>
                            <w:rPr>
                              <w:sz w:val="24"/>
                              <w:szCs w:val="24"/>
                            </w:rPr>
                            <w:t xml:space="preserve"> —</w:t>
                          </w:r>
                        </w:p>
                      </w:txbxContent>
                    </wps:txbx>
                    <wps:bodyPr anchor="t" lIns="635" tIns="635" rIns="635" bIns="635">
                      <a:spAutoFit/>
                    </wps:bodyPr>
                  </wps:wsp>
                </a:graphicData>
              </a:graphic>
            </wp:anchor>
          </w:drawing>
        </mc:Choice>
        <mc:Fallback>
          <w:pict>
            <v:rect fillcolor="#FFFFFF" style="position:absolute;rotation:-0;width:41.7pt;height:13.9pt;mso-wrap-distance-left:9.05pt;mso-wrap-distance-right:0pt;mso-wrap-distance-top:0pt;mso-wrap-distance-bottom:0pt;margin-top:0pt;mso-position-vertical-relative:text;margin-left:400.5pt;mso-position-horizontal:outside;mso-position-horizontal-relative:margin">
              <v:fill opacity="0f"/>
              <v:textbox inset="0.000694444444444445in,0.000694444444444445in,0.000694444444444445in,0.000694444444444445in">
                <w:txbxContent>
                  <w:p>
                    <w:pPr>
                      <w:pStyle w:val="Footer"/>
                      <w:rPr/>
                    </w:pPr>
                    <w:r>
                      <w:rPr>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11</w:t>
                    </w:r>
                    <w:r>
                      <w:rPr>
                        <w:sz w:val="24"/>
                        <w:szCs w:val="24"/>
                      </w:rPr>
                      <w:fldChar w:fldCharType="end"/>
                    </w:r>
                    <w:r>
                      <w:rPr>
                        <w:sz w:val="24"/>
                        <w:szCs w:val="24"/>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 w:name="DocumentID" w:val="{8CDF975F-4C9C-4726-AB60-48160F3E2A14}"/>
    <w:docVar w:name="DocumentName" w:val="《克拉玛依市城市绿化条例》备案材料无章"/>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b/>
      <w:kern w:val="2"/>
      <w:sz w:val="44"/>
      <w:szCs w:val="24"/>
    </w:rPr>
  </w:style>
  <w:style w:type="character" w:styleId="Style13">
    <w:name w:val="默认段落字体"/>
    <w:qFormat/>
    <w:rPr/>
  </w:style>
  <w:style w:type="character" w:styleId="Strong">
    <w:name w:val="Strong"/>
    <w:basedOn w:val="Style13"/>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4">
    <w:name w:val="批注文字"/>
    <w:basedOn w:val="Normal"/>
    <w:qFormat/>
    <w:pPr>
      <w:jc w:val="start"/>
    </w:pPr>
    <w:rPr>
      <w:rFonts w:ascii="Calibri" w:hAnsi="Calibri" w:eastAsia="宋体" w:cs="Times New Roman"/>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rPr>
      <w:sz w:val="24"/>
    </w:rPr>
  </w:style>
  <w:style w:type="paragraph" w:styleId="ListParagraph">
    <w:name w:val="List Paragraph"/>
    <w:basedOn w:val="Normal"/>
    <w:qFormat/>
    <w:pPr>
      <w:ind w:firstLineChars="200" w:startChars="0" w:start="0" w:endChars="0" w:end="0"/>
    </w:pPr>
    <w:rPr/>
  </w:style>
  <w:style w:type="paragraph" w:styleId="NoSpacing">
    <w:name w:val="No Spacing"/>
    <w:qFormat/>
    <w:pPr>
      <w:widowControl w:val="false"/>
      <w:bidi w:val="0"/>
      <w:jc w:val="both"/>
    </w:pPr>
    <w:rPr>
      <w:rFonts w:ascii="Calibri" w:hAnsi="Calibri" w:eastAsia="宋体" w:cs="Times New Roman"/>
      <w:color w:val="auto"/>
      <w:kern w:val="2"/>
      <w:sz w:val="21"/>
      <w:szCs w:val="22"/>
      <w:lang w:bidi="ar-SA" w:val="en-US" w:eastAsia="zh-CN"/>
    </w:rPr>
  </w:style>
  <w:style w:type="paragraph" w:styleId="NormalNewNewNewNewNewNewNewNew">
    <w:name w:val="Normal New New New New New New New New"/>
    <w:qFormat/>
    <w:pPr>
      <w:widowControl w:val="false"/>
      <w:bidi w:val="0"/>
      <w:jc w:val="both"/>
    </w:pPr>
    <w:rPr>
      <w:rFonts w:ascii="Calibri" w:hAnsi="Calibri" w:eastAsia="宋体" w:cs="Times New Roman" w:hint="eastAsia"/>
      <w:color w:val="auto"/>
      <w:kern w:val="2"/>
      <w:sz w:val="21"/>
      <w:szCs w:val="20"/>
      <w:lang w:bidi="ar-SA" w:val="en-US" w:eastAsia="zh-CN"/>
    </w:rPr>
  </w:style>
  <w:style w:type="paragraph" w:styleId="1">
    <w:name w:val="列出段落1"/>
    <w:basedOn w:val="NormalNewNewNewNewNewNewNewNew"/>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2021-08-28T10:28:00Z</dcterms:created>
  <dc:creator>zhaoxiaoping</dc:creator>
  <dc:description/>
  <dc:language>en-US</dc:language>
  <cp:lastModifiedBy>an。</cp:lastModifiedBy>
  <dcterms:modified xsi:type="dcterms:W3CDTF">2023-06-09T08:47:32Z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5F2E3481BE1E4A149BA17ABA7992375B</vt:lpwstr>
  </property>
  <property fmtid="{D5CDD505-2E9C-101B-9397-08002B2CF9AE}" pid="3" name="KSOProductBuildVer">
    <vt:lpwstr>2052-11.1.0.14309</vt:lpwstr>
  </property>
</Properties>
</file>