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eastAsia="宋体" w:cs="宋体" w:hint="eastAsia"/>
          <w:bCs/>
          <w:color w:val="333333"/>
          <w:kern w:val="2"/>
          <w:sz w:val="44"/>
          <w:szCs w:val="44"/>
        </w:rPr>
      </w:pPr>
      <w:r>
        <w:rPr>
          <w:rFonts w:ascii="宋体" w:hAnsi="宋体" w:cs="宋体" w:hint="eastAsia" w:eastAsia="宋体"/>
          <w:sz w:val="44"/>
          <w:szCs w:val="44"/>
        </w:rPr>
        <w:t>伊犁哈萨克自治州人民代表大会关于</w:t>
      </w:r>
      <w:r>
        <w:rPr>
          <w:rFonts w:ascii="宋体" w:hAnsi="宋体" w:cs="宋体" w:hint="eastAsia" w:eastAsia="宋体"/>
          <w:bCs/>
          <w:color w:val="333333"/>
          <w:kern w:val="2"/>
          <w:sz w:val="44"/>
          <w:szCs w:val="44"/>
        </w:rPr>
        <w:t>废止</w:t>
      </w:r>
    </w:p>
    <w:p>
      <w:pPr>
        <w:pStyle w:val="Normal"/>
        <w:keepNext w:val="false"/>
        <w:keepLines w:val="false"/>
        <w:pageBreakBefore w:val="false"/>
        <w:widowControl/>
        <w:kinsoku w:val="true"/>
        <w:overflowPunct w:val="true"/>
        <w:autoSpaceDE w:val="true"/>
        <w:bidi w:val="0"/>
        <w:snapToGrid w:val="false"/>
        <w:spacing w:lineRule="exact" w:line="560"/>
        <w:jc w:val="both"/>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《伊犁哈萨克自治州施行</w:t>
      </w:r>
      <w:r>
        <w:rPr>
          <w:rFonts w:ascii="汉仪平安行粗简;华文仿宋" w:hAnsi="汉仪平安行粗简;华文仿宋" w:cs="汉仪平安行粗简;华文仿宋" w:eastAsia="宋体"/>
          <w:sz w:val="44"/>
          <w:szCs w:val="44"/>
        </w:rPr>
        <w:t>〈</w:t>
      </w:r>
      <w:r>
        <w:rPr>
          <w:rFonts w:ascii="宋体" w:hAnsi="宋体" w:cs="宋体" w:hint="eastAsia" w:eastAsia="宋体"/>
          <w:b w:val="false"/>
          <w:bCs w:val="false"/>
          <w:sz w:val="44"/>
          <w:szCs w:val="44"/>
        </w:rPr>
        <w:t>中华人民共和国</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婚姻法</w:t>
      </w:r>
      <w:r>
        <w:rPr>
          <w:rFonts w:ascii="仿宋_GB2312;仿宋" w:hAnsi="仿宋_GB2312;仿宋" w:cs="仿宋_GB2312;仿宋" w:hint="eastAsia"/>
          <w:sz w:val="44"/>
          <w:szCs w:val="44"/>
        </w:rPr>
        <w:t>〉</w:t>
      </w:r>
      <w:r>
        <w:rPr>
          <w:rFonts w:ascii="宋体" w:hAnsi="宋体" w:cs="宋体" w:hint="eastAsia" w:eastAsia="宋体"/>
          <w:b w:val="false"/>
          <w:bCs w:val="false"/>
          <w:sz w:val="44"/>
          <w:szCs w:val="44"/>
        </w:rPr>
        <w:t>补充规定》《伊犁哈萨克自治州</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仿宋_GB2312;仿宋" w:hAnsi="仿宋_GB2312;仿宋" w:eastAsia="仿宋_GB2312;仿宋"/>
          <w:sz w:val="32"/>
          <w:szCs w:val="32"/>
        </w:rPr>
      </w:pPr>
      <w:r>
        <w:rPr>
          <w:rFonts w:ascii="宋体" w:hAnsi="宋体" w:cs="宋体" w:hint="eastAsia" w:eastAsia="宋体"/>
          <w:b w:val="false"/>
          <w:bCs w:val="false"/>
          <w:sz w:val="44"/>
          <w:szCs w:val="44"/>
        </w:rPr>
        <w:t>制定单行条例程序规定》</w:t>
      </w:r>
      <w:r>
        <w:rPr>
          <w:rFonts w:ascii="宋体" w:hAnsi="宋体" w:cs="宋体" w:hint="eastAsia" w:eastAsia="宋体"/>
          <w:bCs/>
          <w:color w:val="333333"/>
          <w:kern w:val="2"/>
          <w:sz w:val="44"/>
          <w:szCs w:val="44"/>
        </w:rPr>
        <w:t>的</w:t>
      </w:r>
      <w:r>
        <w:rPr>
          <w:rFonts w:ascii="宋体" w:hAnsi="宋体" w:cs="宋体" w:hint="eastAsia" w:eastAsia="宋体"/>
          <w:sz w:val="44"/>
          <w:szCs w:val="44"/>
        </w:rPr>
        <w:t>决定</w:t>
      </w:r>
    </w:p>
    <w:p>
      <w:pPr>
        <w:pStyle w:val="2"/>
        <w:keepNext w:val="false"/>
        <w:keepLines w:val="false"/>
        <w:pageBreakBefore w:val="false"/>
        <w:widowControl w:val="false"/>
        <w:tabs>
          <w:tab w:val="clear" w:pos="720"/>
          <w:tab w:val="left" w:pos="8190" w:leader="none"/>
        </w:tabs>
        <w:kinsoku w:val="true"/>
        <w:overflowPunct w:val="true"/>
        <w:autoSpaceDE w:val="true"/>
        <w:bidi w:val="0"/>
        <w:snapToGrid w:val="false"/>
        <w:spacing w:lineRule="exact" w:line="560"/>
        <w:ind w:firstLineChars="0" w:firstLine="0" w:startChars="200" w:endChars="200"/>
        <w:jc w:val="center"/>
        <w:textAlignment w:val="auto"/>
        <w:rPr>
          <w:rFonts w:ascii="楷体_GB2312;楷体" w:hAnsi="楷体_GB2312;楷体" w:eastAsia="楷体_GB2312;楷体" w:cs="楷体_GB2312;楷体" w:hint="eastAsia"/>
          <w:color w:val="000000"/>
          <w:w w:val="100"/>
          <w:sz w:val="32"/>
          <w:szCs w:val="32"/>
        </w:rPr>
      </w:pPr>
      <w:r>
        <w:rPr>
          <w:rFonts w:eastAsia="楷体_GB2312;楷体" w:cs="楷体_GB2312;楷体" w:hint="eastAsia" w:ascii="楷体_GB2312;楷体" w:hAnsi="楷体_GB2312;楷体"/>
          <w:color w:val="000000"/>
          <w:w w:val="100"/>
          <w:sz w:val="32"/>
          <w:szCs w:val="32"/>
        </w:rPr>
      </w:r>
    </w:p>
    <w:p>
      <w:pPr>
        <w:pStyle w:val="2"/>
        <w:keepNext w:val="false"/>
        <w:keepLines w:val="false"/>
        <w:pageBreakBefore w:val="false"/>
        <w:widowControl w:val="false"/>
        <w:tabs>
          <w:tab w:val="clear" w:pos="720"/>
          <w:tab w:val="left" w:pos="8190" w:leader="none"/>
        </w:tabs>
        <w:kinsoku w:val="true"/>
        <w:overflowPunct w:val="true"/>
        <w:autoSpaceDE w:val="true"/>
        <w:bidi w:val="0"/>
        <w:snapToGrid w:val="false"/>
        <w:spacing w:lineRule="exact" w:line="560"/>
        <w:ind w:firstLineChars="0" w:firstLine="0" w:startChars="200" w:endChars="200"/>
        <w:jc w:val="both"/>
        <w:textAlignment w:val="auto"/>
        <w:rPr>
          <w:rFonts w:ascii="楷体_GB2312;楷体" w:hAnsi="楷体_GB2312;楷体" w:eastAsia="楷体_GB2312;楷体" w:cs="楷体_GB2312;楷体" w:hint="eastAsia"/>
          <w:color w:val="000000"/>
          <w:w w:val="100"/>
          <w:sz w:val="32"/>
          <w:szCs w:val="32"/>
        </w:rPr>
      </w:pPr>
      <w:r>
        <w:rPr>
          <w:rFonts w:ascii="楷体_GB2312;楷体" w:hAnsi="楷体_GB2312;楷体" w:cs="楷体_GB2312;楷体" w:hint="eastAsia" w:eastAsia="楷体_GB2312;楷体"/>
          <w:color w:val="000000"/>
          <w:w w:val="100"/>
          <w:sz w:val="32"/>
          <w:szCs w:val="32"/>
        </w:rPr>
        <w:t>（</w:t>
      </w:r>
      <w:r>
        <w:rPr>
          <w:rFonts w:eastAsia="楷体_GB2312;楷体" w:cs="楷体_GB2312;楷体" w:hint="eastAsia" w:ascii="楷体_GB2312;楷体" w:hAnsi="楷体_GB2312;楷体"/>
          <w:color w:val="000000"/>
          <w:w w:val="100"/>
          <w:sz w:val="32"/>
          <w:szCs w:val="32"/>
        </w:rPr>
        <w:t>2022</w:t>
      </w:r>
      <w:r>
        <w:rPr>
          <w:rFonts w:ascii="楷体_GB2312;楷体" w:hAnsi="楷体_GB2312;楷体" w:cs="楷体_GB2312;楷体" w:hint="eastAsia" w:eastAsia="楷体_GB2312;楷体"/>
          <w:color w:val="000000"/>
          <w:w w:val="100"/>
          <w:sz w:val="32"/>
          <w:szCs w:val="32"/>
        </w:rPr>
        <w:t>年</w:t>
      </w:r>
      <w:r>
        <w:rPr>
          <w:rFonts w:eastAsia="楷体_GB2312;楷体" w:cs="楷体_GB2312;楷体" w:hint="eastAsia" w:ascii="楷体_GB2312;楷体" w:hAnsi="楷体_GB2312;楷体"/>
          <w:color w:val="000000"/>
          <w:w w:val="100"/>
          <w:sz w:val="32"/>
          <w:szCs w:val="32"/>
        </w:rPr>
        <w:t>2</w:t>
      </w:r>
      <w:r>
        <w:rPr>
          <w:rFonts w:ascii="楷体_GB2312;楷体" w:hAnsi="楷体_GB2312;楷体" w:cs="楷体_GB2312;楷体" w:hint="eastAsia" w:eastAsia="楷体_GB2312;楷体"/>
          <w:color w:val="000000"/>
          <w:w w:val="100"/>
          <w:sz w:val="32"/>
          <w:szCs w:val="32"/>
        </w:rPr>
        <w:t>月</w:t>
      </w:r>
      <w:r>
        <w:rPr>
          <w:rFonts w:eastAsia="楷体_GB2312;楷体" w:cs="楷体_GB2312;楷体" w:hint="eastAsia" w:ascii="楷体_GB2312;楷体" w:hAnsi="楷体_GB2312;楷体"/>
          <w:color w:val="000000"/>
          <w:w w:val="100"/>
          <w:sz w:val="32"/>
          <w:szCs w:val="32"/>
        </w:rPr>
        <w:t>14</w:t>
      </w:r>
      <w:r>
        <w:rPr>
          <w:rFonts w:ascii="楷体_GB2312;楷体" w:hAnsi="楷体_GB2312;楷体" w:cs="楷体_GB2312;楷体" w:hint="eastAsia" w:eastAsia="楷体_GB2312;楷体"/>
          <w:color w:val="000000"/>
          <w:w w:val="100"/>
          <w:sz w:val="32"/>
          <w:szCs w:val="32"/>
        </w:rPr>
        <w:t xml:space="preserve">日伊犁哈萨克自治州第十五届人民代表大会第一次会议通过 </w:t>
      </w:r>
      <w:r>
        <w:rPr>
          <w:rFonts w:eastAsia="楷体_GB2312;楷体" w:cs="楷体_GB2312;楷体" w:hint="eastAsia" w:ascii="楷体_GB2312;楷体" w:hAnsi="楷体_GB2312;楷体"/>
          <w:color w:val="000000"/>
          <w:w w:val="100"/>
          <w:sz w:val="32"/>
          <w:szCs w:val="32"/>
        </w:rPr>
        <w:t>2022</w:t>
      </w:r>
      <w:r>
        <w:rPr>
          <w:rFonts w:ascii="楷体_GB2312;楷体" w:hAnsi="楷体_GB2312;楷体" w:cs="楷体_GB2312;楷体" w:hint="eastAsia" w:eastAsia="楷体_GB2312;楷体"/>
          <w:color w:val="000000"/>
          <w:w w:val="100"/>
          <w:sz w:val="32"/>
          <w:szCs w:val="32"/>
        </w:rPr>
        <w:t>年</w:t>
      </w:r>
      <w:r>
        <w:rPr>
          <w:rFonts w:eastAsia="楷体_GB2312;楷体" w:cs="楷体_GB2312;楷体" w:hint="eastAsia" w:ascii="楷体_GB2312;楷体" w:hAnsi="楷体_GB2312;楷体"/>
          <w:color w:val="000000"/>
          <w:w w:val="100"/>
          <w:sz w:val="32"/>
          <w:szCs w:val="32"/>
        </w:rPr>
        <w:t>3</w:t>
      </w:r>
      <w:r>
        <w:rPr>
          <w:rFonts w:ascii="楷体_GB2312;楷体" w:hAnsi="楷体_GB2312;楷体" w:cs="楷体_GB2312;楷体" w:hint="eastAsia" w:eastAsia="楷体_GB2312;楷体"/>
          <w:color w:val="000000"/>
          <w:w w:val="100"/>
          <w:sz w:val="32"/>
          <w:szCs w:val="32"/>
        </w:rPr>
        <w:t>月</w:t>
      </w:r>
      <w:r>
        <w:rPr>
          <w:rFonts w:eastAsia="楷体_GB2312;楷体" w:cs="楷体_GB2312;楷体" w:hint="eastAsia" w:ascii="楷体_GB2312;楷体" w:hAnsi="楷体_GB2312;楷体"/>
          <w:color w:val="000000"/>
          <w:w w:val="100"/>
          <w:sz w:val="32"/>
          <w:szCs w:val="32"/>
        </w:rPr>
        <w:t>25</w:t>
      </w:r>
      <w:r>
        <w:rPr>
          <w:rFonts w:ascii="楷体_GB2312;楷体" w:hAnsi="楷体_GB2312;楷体" w:cs="楷体_GB2312;楷体" w:hint="eastAsia" w:eastAsia="楷体_GB2312;楷体"/>
          <w:color w:val="000000"/>
          <w:w w:val="100"/>
          <w:sz w:val="32"/>
          <w:szCs w:val="32"/>
        </w:rPr>
        <w:t>日新疆维吾尔自治区第十三届人民代表大会常务委员会第三十二次会议批准）</w:t>
      </w:r>
    </w:p>
    <w:p>
      <w:pPr>
        <w:pStyle w:val="2"/>
        <w:keepNext w:val="false"/>
        <w:keepLines w:val="false"/>
        <w:pageBreakBefore w:val="false"/>
        <w:widowControl w:val="false"/>
        <w:kinsoku w:val="true"/>
        <w:overflowPunct w:val="true"/>
        <w:autoSpaceDE w:val="true"/>
        <w:bidi w:val="0"/>
        <w:spacing w:lineRule="exact" w:line="560"/>
        <w:textAlignment w:val="auto"/>
        <w:rPr>
          <w:rFonts w:ascii="仿宋_GB2312;仿宋" w:hAnsi="仿宋_GB2312;仿宋" w:eastAsia="仿宋_GB2312;仿宋" w:cs="楷体_GB2312;楷体" w:hint="eastAsia"/>
          <w:color w:val="000000"/>
          <w:w w:val="100"/>
          <w:sz w:val="32"/>
          <w:szCs w:val="32"/>
        </w:rPr>
      </w:pPr>
      <w:r>
        <w:rPr>
          <w:rFonts w:eastAsia="仿宋_GB2312;仿宋" w:cs="楷体_GB2312;楷体" w:hint="eastAsia" w:ascii="仿宋_GB2312;仿宋" w:hAnsi="仿宋_GB2312;仿宋"/>
          <w:color w:val="000000"/>
          <w:w w:val="100"/>
          <w:sz w:val="32"/>
          <w:szCs w:val="32"/>
        </w:rPr>
      </w:r>
    </w:p>
    <w:p>
      <w:pPr>
        <w:pStyle w:val="2"/>
        <w:keepNext w:val="false"/>
        <w:keepLines w:val="false"/>
        <w:pageBreakBefore w:val="false"/>
        <w:widowControl w:val="false"/>
        <w:kinsoku w:val="true"/>
        <w:overflowPunct w:val="true"/>
        <w:autoSpaceDE w:val="true"/>
        <w:bidi w:val="0"/>
        <w:spacing w:lineRule="exact" w:line="56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伊犁哈萨克自治州第十五届人民代表大会第一次会议决定废止以下两部单行条例：</w:t>
      </w:r>
    </w:p>
    <w:p>
      <w:pPr>
        <w:pStyle w:val="2"/>
        <w:keepNext w:val="false"/>
        <w:keepLines w:val="false"/>
        <w:pageBreakBefore w:val="false"/>
        <w:widowControl w:val="false"/>
        <w:numPr>
          <w:ilvl w:val="0"/>
          <w:numId w:val="2"/>
        </w:numPr>
        <w:kinsoku w:val="true"/>
        <w:overflowPunct w:val="true"/>
        <w:autoSpaceDE w:val="true"/>
        <w:bidi w:val="0"/>
        <w:spacing w:lineRule="exact" w:line="56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b w:val="false"/>
          <w:bCs w:val="false"/>
          <w:sz w:val="32"/>
          <w:szCs w:val="32"/>
        </w:rPr>
        <w:t>《伊犁哈萨克自治州施行〈中华人民共和国婚姻法〉补充规定》</w:t>
      </w:r>
      <w:r>
        <w:rPr>
          <w:rFonts w:ascii="仿宋_GB2312;仿宋" w:hAnsi="仿宋_GB2312;仿宋" w:cs="仿宋_GB2312;仿宋" w:hint="eastAsia"/>
          <w:kern w:val="0"/>
          <w:sz w:val="32"/>
          <w:szCs w:val="32"/>
        </w:rPr>
        <w:t>（</w:t>
      </w:r>
      <w:r>
        <w:rPr>
          <w:rFonts w:eastAsia="仿宋_GB2312;仿宋" w:cs="仿宋_GB2312;仿宋" w:hint="eastAsia" w:ascii="仿宋_GB2312;仿宋" w:hAnsi="仿宋_GB2312;仿宋"/>
          <w:sz w:val="32"/>
          <w:szCs w:val="32"/>
        </w:rPr>
        <w:t>1987</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17</w:t>
      </w:r>
      <w:r>
        <w:rPr>
          <w:rFonts w:ascii="仿宋_GB2312;仿宋" w:hAnsi="仿宋_GB2312;仿宋" w:cs="仿宋_GB2312;仿宋" w:hint="eastAsia"/>
          <w:sz w:val="32"/>
          <w:szCs w:val="32"/>
        </w:rPr>
        <w:t>日伊犁哈萨克自治州第七届人民代表大会常务委员会第十三次会议通过</w:t>
      </w:r>
      <w:r>
        <w:rPr>
          <w:rFonts w:ascii="仿宋_GB2312;仿宋" w:hAnsi="仿宋_GB2312;仿宋" w:cs="仿宋_GB2312;仿宋"/>
          <w:sz w:val="32"/>
          <w:szCs w:val="32"/>
        </w:rPr>
        <w:t xml:space="preserve">  </w:t>
      </w:r>
      <w:r>
        <w:rPr>
          <w:rFonts w:eastAsia="仿宋_GB2312;仿宋" w:cs="仿宋_GB2312;仿宋" w:hint="eastAsia" w:ascii="仿宋_GB2312;仿宋" w:hAnsi="仿宋_GB2312;仿宋"/>
          <w:sz w:val="32"/>
          <w:szCs w:val="32"/>
        </w:rPr>
        <w:t>1987</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14</w:t>
      </w:r>
      <w:r>
        <w:rPr>
          <w:rFonts w:ascii="仿宋_GB2312;仿宋" w:hAnsi="仿宋_GB2312;仿宋" w:cs="仿宋_GB2312;仿宋" w:hint="eastAsia"/>
          <w:sz w:val="32"/>
          <w:szCs w:val="32"/>
        </w:rPr>
        <w:t>日新疆维吾尔自治区第六届人民代表大会常务委员会第二十五次会议批准</w:t>
      </w:r>
      <w:r>
        <w:rPr>
          <w:rFonts w:ascii="仿宋_GB2312;仿宋" w:hAnsi="仿宋_GB2312;仿宋" w:cs="仿宋_GB2312;仿宋"/>
          <w:sz w:val="32"/>
          <w:szCs w:val="32"/>
        </w:rPr>
        <w:t xml:space="preserve">  </w:t>
      </w:r>
      <w:r>
        <w:rPr>
          <w:rFonts w:eastAsia="仿宋_GB2312;仿宋" w:cs="仿宋_GB2312;仿宋" w:hint="eastAsia" w:ascii="仿宋_GB2312;仿宋" w:hAnsi="仿宋_GB2312;仿宋"/>
          <w:sz w:val="32"/>
          <w:szCs w:val="32"/>
        </w:rPr>
        <w:t>2005</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27</w:t>
      </w:r>
      <w:r>
        <w:rPr>
          <w:rFonts w:ascii="仿宋_GB2312;仿宋" w:hAnsi="仿宋_GB2312;仿宋" w:cs="仿宋_GB2312;仿宋" w:hint="eastAsia"/>
          <w:sz w:val="32"/>
          <w:szCs w:val="32"/>
        </w:rPr>
        <w:t>日伊犁哈萨克自治州第十一届人民代表大会第三次会议修订</w:t>
      </w:r>
      <w:r>
        <w:rPr>
          <w:rFonts w:ascii="仿宋_GB2312;仿宋" w:hAnsi="仿宋_GB2312;仿宋" w:cs="仿宋_GB2312;仿宋"/>
          <w:sz w:val="32"/>
          <w:szCs w:val="32"/>
        </w:rPr>
        <w:t xml:space="preserve">  </w:t>
      </w:r>
      <w:r>
        <w:rPr>
          <w:rFonts w:eastAsia="仿宋_GB2312;仿宋" w:cs="仿宋_GB2312;仿宋" w:hint="eastAsia" w:ascii="仿宋_GB2312;仿宋" w:hAnsi="仿宋_GB2312;仿宋"/>
          <w:sz w:val="32"/>
          <w:szCs w:val="32"/>
        </w:rPr>
        <w:t>2005</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sz w:val="32"/>
          <w:szCs w:val="32"/>
        </w:rPr>
        <w:t>日新疆维吾尔自治区第十届人民代表大会常务委员会第十八次会议批准</w:t>
      </w:r>
      <w:r>
        <w:rPr>
          <w:rFonts w:ascii="仿宋_GB2312;仿宋" w:hAnsi="仿宋_GB2312;仿宋" w:cs="仿宋_GB2312;仿宋" w:hint="eastAsia"/>
          <w:kern w:val="0"/>
          <w:sz w:val="32"/>
          <w:szCs w:val="32"/>
        </w:rPr>
        <w:t>）。</w:t>
      </w:r>
    </w:p>
    <w:p>
      <w:pPr>
        <w:pStyle w:val="2"/>
        <w:keepNext w:val="false"/>
        <w:keepLines w:val="false"/>
        <w:pageBreakBefore w:val="false"/>
        <w:widowControl w:val="false"/>
        <w:numPr>
          <w:ilvl w:val="0"/>
          <w:numId w:val="2"/>
        </w:numP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b w:val="false"/>
          <w:bCs w:val="false"/>
          <w:sz w:val="32"/>
          <w:szCs w:val="32"/>
        </w:rPr>
        <w:t>《伊犁哈萨克自治州制定单行条例程序规定》</w:t>
      </w:r>
      <w:r>
        <w:rPr>
          <w:rFonts w:ascii="仿宋_GB2312;仿宋" w:hAnsi="仿宋_GB2312;仿宋" w:cs="仿宋_GB2312;仿宋" w:hint="eastAsia"/>
          <w:kern w:val="0"/>
          <w:sz w:val="32"/>
          <w:szCs w:val="32"/>
        </w:rPr>
        <w:t>（</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sz w:val="32"/>
          <w:szCs w:val="32"/>
        </w:rPr>
        <w:t>日伊犁哈萨克自治州第十一届人民代表大会第二次会议通过</w:t>
      </w:r>
      <w:r>
        <w:rPr>
          <w:rFonts w:ascii="仿宋_GB2312;仿宋" w:hAnsi="仿宋_GB2312;仿宋" w:cs="仿宋_GB2312;仿宋"/>
          <w:sz w:val="32"/>
          <w:szCs w:val="32"/>
        </w:rPr>
        <w:t xml:space="preserve">  </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28</w:t>
      </w:r>
      <w:r>
        <w:rPr>
          <w:rFonts w:ascii="仿宋_GB2312;仿宋" w:hAnsi="仿宋_GB2312;仿宋" w:cs="仿宋_GB2312;仿宋" w:hint="eastAsia"/>
          <w:sz w:val="32"/>
          <w:szCs w:val="32"/>
        </w:rPr>
        <w:t>日新疆维吾尔自治区第十届人民代表大会常务委员会第九次会议批准</w:t>
      </w:r>
      <w:r>
        <w:rPr>
          <w:rFonts w:ascii="仿宋_GB2312;仿宋" w:hAnsi="仿宋_GB2312;仿宋" w:cs="仿宋_GB2312;仿宋" w:hint="eastAsia"/>
          <w:kern w:val="0"/>
          <w:sz w:val="32"/>
          <w:szCs w:val="32"/>
        </w:rPr>
        <w:t>）</w:t>
      </w:r>
      <w:r>
        <w:rPr>
          <w:rFonts w:ascii="仿宋_GB2312;仿宋" w:hAnsi="仿宋_GB2312;仿宋" w:cs="仿宋_GB2312;仿宋" w:hint="eastAsia"/>
          <w:b w:val="false"/>
          <w:bCs w:val="false"/>
          <w:sz w:val="32"/>
          <w:szCs w:val="32"/>
        </w:rPr>
        <w:t>。</w:t>
      </w:r>
    </w:p>
    <w:p>
      <w:pPr>
        <w:pStyle w:val="2"/>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hint="eastAsia"/>
        </w:rPr>
      </w:pPr>
      <w:r>
        <w:rPr>
          <w:rFonts w:ascii="仿宋_GB2312;仿宋" w:hAnsi="仿宋_GB2312;仿宋" w:cs="仿宋_GB2312;仿宋" w:hint="eastAsia"/>
          <w:kern w:val="0"/>
          <w:sz w:val="32"/>
          <w:szCs w:val="32"/>
        </w:rPr>
        <w:t>本决定自公布之日起施行</w:t>
      </w:r>
      <w:r>
        <w:rPr>
          <w:rFonts w:ascii="仿宋_GB2312;仿宋" w:hAnsi="仿宋_GB2312;仿宋" w:cs="仿宋_GB2312;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AndChars" w:linePitch="574"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_GB2312">
    <w:altName w:val="仿宋"/>
    <w:charset w:val="86"/>
    <w:family w:val="auto"/>
    <w:pitch w:val="default"/>
  </w:font>
  <w:font w:name="汉仪平安行粗简">
    <w:altName w:val="华文仿宋"/>
    <w:charset w:val="00" w:characterSet="windows-1252"/>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decimal"/>
      <w:lvlText w:val="%1."/>
      <w:lvlJc w:val="start"/>
      <w:pPr>
        <w:tabs>
          <w:tab w:val="num" w:pos="0"/>
        </w:tabs>
        <w:ind w:start="20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TML"/>
    <w:qFormat/>
    <w:pPr>
      <w:widowControl w:val="false"/>
      <w:bidi w:val="0"/>
      <w:jc w:val="both"/>
    </w:pPr>
    <w:rPr>
      <w:rFonts w:ascii="等线" w:hAnsi="等线" w:eastAsia="仿宋_GB2312;仿宋" w:cs="黑体"/>
      <w:color w:val="auto"/>
      <w:kern w:val="2"/>
      <w:sz w:val="32"/>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Style13">
    <w:name w:val="默认段落字体"/>
    <w:qFormat/>
    <w:rPr/>
  </w:style>
  <w:style w:type="character" w:styleId="Char">
    <w:name w:val="正文文本 Char"/>
    <w:basedOn w:val="Style13"/>
    <w:qFormat/>
    <w:rPr>
      <w:rFonts w:eastAsia="宋体"/>
      <w:kern w:val="2"/>
      <w:sz w:val="21"/>
      <w:szCs w:val="24"/>
      <w:lang w:bidi="ar-SA"/>
    </w:rPr>
  </w:style>
  <w:style w:type="character" w:styleId="3Char">
    <w:name w:val="标题 3 Char"/>
    <w:basedOn w:val="Style13"/>
    <w:qFormat/>
    <w:rPr>
      <w:rFonts w:ascii="等线" w:hAnsi="等线" w:eastAsia="等线" w:cs="黑体"/>
      <w:b/>
      <w:bCs/>
      <w:kern w:val="2"/>
      <w:sz w:val="32"/>
      <w:szCs w:val="32"/>
    </w:rPr>
  </w:style>
  <w:style w:type="character" w:styleId="Char1">
    <w:name w:val="日期 Char"/>
    <w:basedOn w:val="Style13"/>
    <w:qFormat/>
    <w:rPr>
      <w:rFonts w:ascii="等线" w:hAnsi="等线" w:eastAsia="等线" w:cs="黑体"/>
      <w:kern w:val="2"/>
      <w:sz w:val="21"/>
      <w:szCs w:val="22"/>
    </w:rPr>
  </w:style>
  <w:style w:type="character" w:styleId="Char2">
    <w:name w:val="页脚 Char"/>
    <w:basedOn w:val="Style13"/>
    <w:qFormat/>
    <w:rPr>
      <w:rFonts w:ascii="Tahoma" w:hAnsi="Tahoma" w:cs="Tahoma"/>
      <w:sz w:val="18"/>
      <w:szCs w:val="18"/>
    </w:rPr>
  </w:style>
  <w:style w:type="character" w:styleId="Char3">
    <w:name w:val="页眉 Char"/>
    <w:basedOn w:val="Style13"/>
    <w:qFormat/>
    <w:rPr>
      <w:rFonts w:ascii="Tahoma" w:hAnsi="Tahoma" w:cs="Tahoma"/>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宋体" w:hint="eastAsia"/>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地址"/>
    <w:basedOn w:val="Normal"/>
    <w:next w:val="BodyText"/>
    <w:qFormat/>
    <w:pPr/>
    <w:rPr>
      <w:rFonts w:hint="eastAsia"/>
      <w:i/>
    </w:rPr>
  </w:style>
  <w:style w:type="paragraph" w:styleId="BodyTextIndent">
    <w:name w:val="Body Text Indent"/>
    <w:basedOn w:val="Normal"/>
    <w:next w:val="2"/>
    <w:pPr>
      <w:spacing w:lineRule="exact" w:line="620"/>
      <w:ind w:firstLine="600" w:start="0" w:end="0"/>
    </w:pPr>
    <w:rPr/>
  </w:style>
  <w:style w:type="paragraph" w:styleId="2">
    <w:name w:val="正文首行缩进 2"/>
    <w:basedOn w:val="BodyTextIndent"/>
    <w:next w:val="Style14"/>
    <w:qFormat/>
    <w:pPr>
      <w:ind w:firstLineChars="200" w:startChars="0" w:start="0" w:endChars="0" w:end="0"/>
    </w:pPr>
    <w:rPr>
      <w:sz w:val="32"/>
    </w:rPr>
  </w:style>
  <w:style w:type="paragraph" w:styleId="Style14">
    <w:name w:val="纯文本"/>
    <w:basedOn w:val="Normal"/>
    <w:next w:val="5"/>
    <w:qFormat/>
    <w:pPr>
      <w:widowControl/>
      <w:spacing w:before="100" w:after="100"/>
      <w:jc w:val="start"/>
    </w:pPr>
    <w:rPr>
      <w:rFonts w:ascii="宋体" w:hAnsi="宋体" w:eastAsia="宋体" w:cs="宋体"/>
      <w:kern w:val="0"/>
      <w:sz w:val="24"/>
    </w:rPr>
  </w:style>
  <w:style w:type="paragraph" w:styleId="5">
    <w:name w:val="列表编号 5"/>
    <w:basedOn w:val="Normal"/>
    <w:qFormat/>
    <w:pPr>
      <w:numPr>
        <w:ilvl w:val="0"/>
        <w:numId w:val="3"/>
      </w:numPr>
      <w:tabs>
        <w:tab w:val="clear" w:pos="720"/>
        <w:tab w:val="left" w:pos="2040" w:leader="none"/>
      </w:tabs>
    </w:pPr>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Style16">
    <w:name w:val="普通(网站)"/>
    <w:basedOn w:val="Normal"/>
    <w:qFormat/>
    <w:pPr>
      <w:spacing w:before="100" w:after="100"/>
      <w:jc w:val="start"/>
    </w:pPr>
    <w:rPr>
      <w:rFonts w:ascii="Calibri" w:hAnsi="Calibri" w:eastAsia="宋体" w:cs="Times New Roma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2021-11-21T14:41:00Z</dcterms:created>
  <dc:creator>Administrator</dc:creator>
  <dc:description/>
  <dc:language>en-US</dc:language>
  <cp:lastModifiedBy>PC398</cp:lastModifiedBy>
  <cp:lastPrinted>2021-12-13T01:38:00Z</cp:lastPrinted>
  <dcterms:modified xsi:type="dcterms:W3CDTF">2022-05-13T17:08:03Z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4290F1016D514355954093BEAA5B8810</vt:lpwstr>
  </property>
  <property fmtid="{D5CDD505-2E9C-101B-9397-08002B2CF9AE}" pid="3" name="KSOProductBuildVer">
    <vt:lpwstr>2052-11.1.0.11636</vt:lpwstr>
  </property>
</Properties>
</file>