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70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新疆维吾尔自治区通信设施建设和保护条例</w:t>
      </w:r>
    </w:p>
    <w:p>
      <w:pPr>
        <w:pStyle w:val="Normal"/>
        <w:spacing w:lineRule="exact" w:line="560"/>
        <w:ind w:hangingChars="50" w:startChars="0" w:start="0" w:endChars="0" w:end="0"/>
        <w:jc w:val="center"/>
        <w:rPr>
          <w:rFonts w:ascii="楷体_GB2312" w:hAnsi="楷体_GB2312" w:eastAsia="楷体_GB2312" w:cs="楷体" w:hint="eastAsia"/>
          <w:sz w:val="32"/>
          <w:szCs w:val="32"/>
        </w:rPr>
      </w:pPr>
      <w:r>
        <w:rPr>
          <w:rFonts w:eastAsia="楷体_GB2312" w:cs="楷体" w:hint="eastAsia" w:ascii="楷体_GB2312" w:hAnsi="楷体_GB2312"/>
          <w:sz w:val="32"/>
          <w:szCs w:val="32"/>
        </w:rPr>
      </w:r>
    </w:p>
    <w:p>
      <w:pPr>
        <w:pStyle w:val="Normal"/>
        <w:spacing w:lineRule="exact" w:line="560"/>
        <w:ind w:hangingChars="50" w:startChars="0" w:start="0" w:endChars="0" w:end="0"/>
        <w:jc w:val="center"/>
        <w:rPr>
          <w:rFonts w:ascii="楷体_GB2312" w:hAnsi="楷体_GB2312" w:eastAsia="楷体_GB2312" w:cs="楷体" w:hint="eastAsia"/>
          <w:sz w:val="32"/>
          <w:szCs w:val="32"/>
        </w:rPr>
      </w:pPr>
      <w:r>
        <w:rPr>
          <w:rFonts w:ascii="楷体_GB2312" w:hAnsi="楷体_GB2312" w:cs="楷体" w:hint="eastAsia" w:eastAsia="楷体_GB2312"/>
          <w:sz w:val="32"/>
          <w:szCs w:val="32"/>
        </w:rPr>
        <w:t>（</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9</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27</w:t>
      </w:r>
      <w:r>
        <w:rPr>
          <w:rFonts w:ascii="楷体_GB2312" w:hAnsi="楷体_GB2312" w:cs="楷体" w:hint="eastAsia" w:eastAsia="楷体_GB2312"/>
          <w:sz w:val="32"/>
          <w:szCs w:val="32"/>
        </w:rPr>
        <w:t>日新疆维吾尔自治区第十二届人民代表大会</w:t>
      </w:r>
    </w:p>
    <w:p>
      <w:pPr>
        <w:pStyle w:val="Normal"/>
        <w:spacing w:lineRule="exact" w:line="520"/>
        <w:jc w:val="center"/>
        <w:rPr>
          <w:rFonts w:ascii="楷体" w:hAnsi="楷体" w:eastAsia="楷体" w:cs="楷体" w:hint="eastAsia"/>
          <w:sz w:val="32"/>
          <w:szCs w:val="32"/>
        </w:rPr>
      </w:pPr>
      <w:r>
        <w:rPr>
          <w:rFonts w:ascii="楷体_GB2312" w:hAnsi="楷体_GB2312" w:cs="楷体" w:hint="eastAsia" w:eastAsia="楷体_GB2312"/>
          <w:sz w:val="32"/>
          <w:szCs w:val="32"/>
        </w:rPr>
        <w:t>常务委员会第三十二次会议通过）</w:t>
      </w:r>
    </w:p>
    <w:p>
      <w:pPr>
        <w:pStyle w:val="Normal"/>
        <w:spacing w:lineRule="exact" w:line="52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2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spacing w:lineRule="exact" w:line="52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2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bCs/>
          <w:sz w:val="32"/>
          <w:szCs w:val="32"/>
        </w:rPr>
        <w:t xml:space="preserve">第一条 </w:t>
      </w:r>
      <w:r>
        <w:rPr>
          <w:rFonts w:ascii="仿宋_GB2312" w:hAnsi="仿宋_GB2312" w:cs="仿宋_GB2312" w:hint="eastAsia" w:eastAsia="仿宋_GB2312"/>
          <w:sz w:val="32"/>
          <w:szCs w:val="32"/>
        </w:rPr>
        <w:t>为了规范通信设施建设，加强通信设施保护，保障通信设施安全畅通，促进经济社会发展，根据《中华人民共和国电信条例》和有关法律、法规，结合自治区实际，制定本条例。</w:t>
      </w:r>
    </w:p>
    <w:p>
      <w:pPr>
        <w:pStyle w:val="Normal"/>
        <w:spacing w:lineRule="exact" w:line="52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bCs/>
          <w:sz w:val="32"/>
          <w:szCs w:val="32"/>
        </w:rPr>
        <w:t xml:space="preserve">第二条  </w:t>
      </w:r>
      <w:r>
        <w:rPr>
          <w:rFonts w:ascii="仿宋_GB2312" w:hAnsi="仿宋_GB2312" w:cs="仿宋_GB2312" w:hint="eastAsia" w:eastAsia="仿宋_GB2312"/>
          <w:sz w:val="32"/>
          <w:szCs w:val="32"/>
        </w:rPr>
        <w:t>自治区行政区域内通信设施建设和保护活动，适用本条例。</w:t>
      </w:r>
    </w:p>
    <w:p>
      <w:pPr>
        <w:pStyle w:val="Normal"/>
        <w:spacing w:lineRule="exact" w:line="520"/>
        <w:ind w:firstLineChars="200" w:startChars="0" w:start="0" w:endChars="0" w:end="0"/>
        <w:rPr>
          <w:rFonts w:ascii="仿宋_GB2312" w:hAnsi="仿宋_GB2312" w:eastAsia="仿宋_GB2312" w:cs="仿宋_GB2312" w:hint="eastAsia"/>
          <w:kern w:val="0"/>
          <w:sz w:val="32"/>
          <w:szCs w:val="32"/>
        </w:rPr>
      </w:pPr>
      <w:r>
        <w:rPr>
          <w:rFonts w:ascii="黑体;SimHei" w:hAnsi="黑体;SimHei" w:cs="黑体;SimHei" w:hint="eastAsia" w:eastAsia="黑体;SimHei"/>
          <w:bCs/>
          <w:sz w:val="32"/>
          <w:szCs w:val="32"/>
        </w:rPr>
        <w:t xml:space="preserve">第三条  </w:t>
      </w:r>
      <w:r>
        <w:rPr>
          <w:rFonts w:ascii="仿宋_GB2312" w:hAnsi="仿宋_GB2312" w:cs="仿宋_GB2312" w:hint="eastAsia" w:eastAsia="仿宋_GB2312"/>
          <w:sz w:val="32"/>
          <w:szCs w:val="32"/>
        </w:rPr>
        <w:t>本条例所称通信设施</w:t>
      </w:r>
      <w:r>
        <w:rPr>
          <w:rFonts w:ascii="仿宋_GB2312" w:hAnsi="仿宋_GB2312" w:cs="仿宋_GB2312" w:hint="eastAsia" w:eastAsia="仿宋_GB2312"/>
          <w:kern w:val="0"/>
          <w:sz w:val="32"/>
          <w:szCs w:val="32"/>
        </w:rPr>
        <w:t>，是指为社会公众提供通信服务，用于实现通信功能的交换、传输设备及其配套设施。主要包括：</w:t>
      </w:r>
    </w:p>
    <w:p>
      <w:pPr>
        <w:pStyle w:val="Normal"/>
        <w:spacing w:lineRule="exact" w:line="52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kern w:val="0"/>
          <w:sz w:val="32"/>
          <w:szCs w:val="32"/>
        </w:rPr>
        <w:t>（一）通信线路类：光缆、电缆，交接箱、分线盒，管道、槽道</w:t>
      </w:r>
      <w:r>
        <w:rPr>
          <w:rFonts w:ascii="仿宋_GB2312" w:hAnsi="仿宋_GB2312" w:cs="仿宋_GB2312" w:hint="eastAsia" w:eastAsia="仿宋_GB2312"/>
          <w:color w:val="000000"/>
          <w:kern w:val="0"/>
          <w:sz w:val="32"/>
          <w:szCs w:val="32"/>
        </w:rPr>
        <w:t>、人井（井盖），电杆、拉线、吊线，标石、标志等附属配套设施；</w:t>
      </w:r>
    </w:p>
    <w:p>
      <w:pPr>
        <w:pStyle w:val="Normal"/>
        <w:spacing w:lineRule="exact" w:line="52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xml:space="preserve">（二）通信设备类：基站、中继站、微波站、直放站、室内分布系统、无线局域网系统、有线接入装置、公用电话终端等； </w:t>
      </w:r>
    </w:p>
    <w:p>
      <w:pPr>
        <w:pStyle w:val="Normal"/>
        <w:spacing w:lineRule="exact" w:line="5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color w:val="000000"/>
          <w:kern w:val="0"/>
          <w:sz w:val="32"/>
          <w:szCs w:val="32"/>
        </w:rPr>
        <w:t>（三）其他配套设备类：通信机房，通信铁塔、收发天线，公用电话亭，空调、电源</w:t>
      </w:r>
      <w:r>
        <w:rPr>
          <w:rFonts w:ascii="仿宋_GB2312" w:hAnsi="仿宋_GB2312" w:cs="仿宋_GB2312" w:hint="eastAsia" w:eastAsia="仿宋_GB2312"/>
          <w:kern w:val="0"/>
          <w:sz w:val="32"/>
          <w:szCs w:val="32"/>
        </w:rPr>
        <w:t>、安全防护装置、动力环境监控装置等</w:t>
      </w:r>
      <w:r>
        <w:rPr>
          <w:rFonts w:ascii="仿宋_GB2312" w:hAnsi="仿宋_GB2312" w:cs="仿宋_GB2312" w:hint="eastAsia" w:eastAsia="仿宋_GB2312"/>
          <w:color w:val="000000"/>
          <w:kern w:val="0"/>
          <w:sz w:val="32"/>
          <w:szCs w:val="32"/>
        </w:rPr>
        <w:t>附属配套设施</w:t>
      </w:r>
      <w:r>
        <w:rPr>
          <w:rFonts w:ascii="仿宋_GB2312" w:hAnsi="仿宋_GB2312" w:cs="仿宋_GB2312" w:hint="eastAsia" w:eastAsia="仿宋_GB2312"/>
          <w:kern w:val="0"/>
          <w:sz w:val="32"/>
          <w:szCs w:val="32"/>
        </w:rPr>
        <w:t>。</w:t>
      </w:r>
    </w:p>
    <w:p>
      <w:pPr>
        <w:pStyle w:val="Normal"/>
        <w:spacing w:lineRule="exact" w:line="520"/>
        <w:ind w:firstLineChars="200" w:startChars="0" w:start="0" w:endChars="0" w:end="0"/>
        <w:rPr/>
      </w:pPr>
      <w:r>
        <w:rPr>
          <w:rFonts w:ascii="黑体;SimHei" w:hAnsi="黑体;SimHei" w:cs="黑体;SimHei" w:hint="eastAsia" w:eastAsia="黑体;SimHei"/>
          <w:bCs/>
          <w:sz w:val="32"/>
          <w:szCs w:val="32"/>
        </w:rPr>
        <w:t xml:space="preserve">第四条  </w:t>
      </w:r>
      <w:r>
        <w:rPr>
          <w:rFonts w:ascii="仿宋_GB2312" w:hAnsi="仿宋_GB2312" w:cs="仿宋_GB2312" w:hint="eastAsia" w:eastAsia="仿宋_GB2312"/>
          <w:sz w:val="32"/>
          <w:szCs w:val="32"/>
        </w:rPr>
        <w:t>县级以上人民政府应当加强对</w:t>
      </w:r>
      <w:r>
        <w:rPr>
          <w:rFonts w:ascii="仿宋_GB2312" w:hAnsi="仿宋_GB2312" w:cs="仿宋_GB2312" w:hint="eastAsia" w:eastAsia="仿宋_GB2312"/>
          <w:kern w:val="0"/>
          <w:sz w:val="32"/>
          <w:szCs w:val="32"/>
        </w:rPr>
        <w:t>通信设施建设和保护工作的组织领导，统筹协调解决通信设施建设、管理和保护工作中的重大问题，督促有关部门和单位依法履行通信设施保护职责，并将通信设施保护纳入社会治安综合治理考核体系。</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乡（镇）人民政府、街道办事处、村（居）民委员会，应当对通信设施建设和保护给予协助、配合。</w:t>
      </w:r>
    </w:p>
    <w:p>
      <w:pPr>
        <w:pStyle w:val="Normal"/>
        <w:spacing w:lineRule="exact" w:line="520"/>
        <w:ind w:firstLineChars="200" w:startChars="0" w:start="0" w:endChars="0" w:end="0"/>
        <w:rPr>
          <w:rFonts w:ascii="仿宋_GB2312" w:hAnsi="仿宋_GB2312" w:eastAsia="仿宋_GB2312" w:hint="eastAsia"/>
          <w:b/>
          <w:sz w:val="32"/>
          <w:szCs w:val="32"/>
        </w:rPr>
      </w:pPr>
      <w:r>
        <w:rPr>
          <w:rFonts w:ascii="黑体;SimHei" w:hAnsi="黑体;SimHei" w:cs="黑体;SimHei" w:hint="eastAsia" w:eastAsia="黑体;SimHei"/>
          <w:bCs/>
          <w:sz w:val="32"/>
          <w:szCs w:val="32"/>
        </w:rPr>
        <w:t>第五条</w:t>
      </w:r>
      <w:r>
        <w:rPr>
          <w:rFonts w:ascii="仿宋_GB2312" w:hAnsi="仿宋_GB2312" w:cs="黑体;SimHei" w:hint="eastAsia" w:eastAsia="仿宋_GB2312"/>
          <w:b/>
          <w:bCs/>
          <w:sz w:val="32"/>
          <w:szCs w:val="32"/>
        </w:rPr>
        <w:t xml:space="preserve">  </w:t>
      </w:r>
      <w:r>
        <w:rPr>
          <w:rFonts w:ascii="仿宋_GB2312" w:hAnsi="仿宋_GB2312" w:cs="仿宋_GB2312" w:hint="eastAsia" w:eastAsia="仿宋_GB2312"/>
          <w:sz w:val="32"/>
          <w:szCs w:val="32"/>
        </w:rPr>
        <w:t>自治区通信管理机构负责全区通信设施建设和保护的组织协调及监督管理工作。</w:t>
      </w:r>
    </w:p>
    <w:p>
      <w:pPr>
        <w:pStyle w:val="Normal"/>
        <w:spacing w:lineRule="exact" w:line="520"/>
        <w:ind w:firstLineChars="200" w:startChars="0" w:start="0" w:endChars="0" w:end="0"/>
        <w:rPr/>
      </w:pPr>
      <w:r>
        <w:rPr>
          <w:rFonts w:ascii="仿宋_GB2312" w:hAnsi="仿宋_GB2312" w:cs="仿宋_GB2312" w:hint="eastAsia" w:eastAsia="仿宋_GB2312"/>
          <w:kern w:val="0"/>
          <w:sz w:val="32"/>
          <w:szCs w:val="32"/>
        </w:rPr>
        <w:t>县级以上人民政府</w:t>
      </w:r>
      <w:r>
        <w:rPr>
          <w:rFonts w:ascii="仿宋_GB2312" w:hAnsi="仿宋_GB2312" w:cs="仿宋_GB2312" w:hint="eastAsia" w:eastAsia="仿宋_GB2312"/>
          <w:sz w:val="32"/>
          <w:szCs w:val="32"/>
        </w:rPr>
        <w:t>发展改革、经济和信息化、</w:t>
      </w:r>
      <w:r>
        <w:rPr>
          <w:rFonts w:ascii="仿宋_GB2312" w:hAnsi="仿宋_GB2312" w:cs="仿宋_GB2312" w:hint="eastAsia" w:eastAsia="仿宋_GB2312"/>
          <w:kern w:val="0"/>
          <w:sz w:val="32"/>
          <w:szCs w:val="32"/>
        </w:rPr>
        <w:t>公安、</w:t>
      </w:r>
      <w:r>
        <w:rPr>
          <w:rFonts w:ascii="仿宋_GB2312" w:hAnsi="仿宋_GB2312" w:cs="仿宋_GB2312" w:hint="eastAsia" w:eastAsia="仿宋_GB2312"/>
          <w:sz w:val="32"/>
          <w:szCs w:val="32"/>
        </w:rPr>
        <w:t>国土资源、住房城乡建设、环境保护、交通运输等主管部门按照各自职责，负责通信设施建设和保护的相关工作。</w:t>
      </w:r>
    </w:p>
    <w:p>
      <w:pPr>
        <w:pStyle w:val="Normal"/>
        <w:spacing w:lineRule="exact" w:line="520"/>
        <w:ind w:firstLineChars="200" w:startChars="0" w:start="0" w:endChars="0" w:end="0"/>
        <w:rPr/>
      </w:pPr>
      <w:r>
        <w:rPr>
          <w:rFonts w:ascii="黑体;SimHei" w:hAnsi="黑体;SimHei" w:cs="黑体;SimHei" w:hint="eastAsia" w:eastAsia="黑体;SimHei"/>
          <w:sz w:val="32"/>
          <w:szCs w:val="32"/>
        </w:rPr>
        <w:t>第六</w:t>
      </w:r>
      <w:r>
        <w:rPr>
          <w:rFonts w:ascii="黑体;SimHei" w:hAnsi="黑体;SimHei" w:cs="黑体;SimHei" w:hint="eastAsia" w:eastAsia="黑体;SimHei"/>
          <w:bCs/>
          <w:sz w:val="32"/>
          <w:szCs w:val="32"/>
        </w:rPr>
        <w:t>条</w:t>
      </w:r>
      <w:r>
        <w:rPr>
          <w:rFonts w:ascii="黑体;SimHei" w:hAnsi="黑体;SimHei" w:cs="黑体;SimHei" w:hint="eastAsia" w:eastAsia="黑体;SimHei"/>
          <w:bCs/>
          <w:sz w:val="32"/>
          <w:szCs w:val="32"/>
        </w:rPr>
        <w:t xml:space="preserve">  </w:t>
      </w:r>
      <w:r>
        <w:rPr>
          <w:rFonts w:ascii="仿宋_GB2312" w:hAnsi="仿宋_GB2312" w:cs="黑体;SimHei" w:hint="eastAsia" w:eastAsia="仿宋_GB2312"/>
          <w:bCs/>
          <w:sz w:val="32"/>
          <w:szCs w:val="32"/>
        </w:rPr>
        <w:t>通信业务经营者应当建立健全通信设施建设、保护和管理规章制度，保障通信设施建设工程质量和通信网络运行安全。</w:t>
      </w:r>
    </w:p>
    <w:p>
      <w:pPr>
        <w:pStyle w:val="Normal"/>
        <w:spacing w:lineRule="exact" w:line="520"/>
        <w:ind w:firstLineChars="200" w:startChars="0" w:start="0" w:endChars="0" w:end="0"/>
        <w:rPr/>
      </w:pPr>
      <w:r>
        <w:rPr>
          <w:rFonts w:ascii="黑体;SimHei" w:hAnsi="黑体;SimHei" w:cs="黑体;SimHei" w:hint="eastAsia" w:eastAsia="黑体;SimHei"/>
          <w:sz w:val="32"/>
          <w:szCs w:val="32"/>
        </w:rPr>
        <w:t>第七</w:t>
      </w:r>
      <w:r>
        <w:rPr>
          <w:rFonts w:ascii="黑体;SimHei" w:hAnsi="黑体;SimHei" w:cs="黑体;SimHei" w:hint="eastAsia" w:eastAsia="黑体;SimHei"/>
          <w:bCs/>
          <w:sz w:val="32"/>
          <w:szCs w:val="32"/>
        </w:rPr>
        <w:t>条</w:t>
      </w:r>
      <w:r>
        <w:rPr>
          <w:rFonts w:ascii="仿宋_GB2312" w:hAnsi="仿宋_GB2312" w:cs="黑体;SimHei" w:hint="eastAsia" w:eastAsia="仿宋_GB2312"/>
          <w:b/>
          <w:bCs/>
          <w:sz w:val="32"/>
          <w:szCs w:val="32"/>
        </w:rPr>
        <w:t xml:space="preserve"> </w:t>
      </w:r>
      <w:r>
        <w:rPr>
          <w:rFonts w:ascii="仿宋_GB2312" w:hAnsi="仿宋_GB2312" w:cs="黑体;SimHei" w:hint="eastAsia" w:eastAsia="仿宋_GB2312"/>
          <w:bCs/>
          <w:sz w:val="32"/>
          <w:szCs w:val="32"/>
        </w:rPr>
        <w:t xml:space="preserve"> 通信设施属于公共基础设施。</w:t>
      </w:r>
      <w:r>
        <w:rPr>
          <w:rFonts w:ascii="仿宋_GB2312" w:hAnsi="仿宋_GB2312" w:cs="仿宋_GB2312" w:hint="eastAsia" w:eastAsia="仿宋_GB2312"/>
          <w:sz w:val="32"/>
          <w:szCs w:val="32"/>
        </w:rPr>
        <w:t>任何单位和个人不得阻碍和破坏依法进行的通信设施建设和维护活动，不得危害通信设施安全。</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20"/>
        <w:jc w:val="center"/>
        <w:rPr/>
      </w:pPr>
      <w:r>
        <w:rPr>
          <w:rFonts w:ascii="黑体;SimHei" w:hAnsi="黑体;SimHei" w:cs="黑体;SimHei" w:hint="eastAsia" w:eastAsia="黑体;SimHei"/>
          <w:sz w:val="32"/>
          <w:szCs w:val="32"/>
        </w:rPr>
        <w:t>第二章</w:t>
      </w:r>
      <w:r>
        <w:rPr>
          <w:rFonts w:ascii="宋体;SimSun" w:hAnsi="宋体;SimSun" w:cs="宋体;SimSun" w:hint="eastAsia" w:eastAsia="黑体;SimHei"/>
          <w:sz w:val="32"/>
          <w:szCs w:val="32"/>
        </w:rPr>
        <w:t>  </w:t>
      </w:r>
      <w:r>
        <w:rPr>
          <w:rFonts w:ascii="黑体;SimHei" w:hAnsi="黑体;SimHei" w:cs="黑体;SimHei" w:hint="eastAsia" w:eastAsia="黑体;SimHei"/>
          <w:sz w:val="32"/>
          <w:szCs w:val="32"/>
        </w:rPr>
        <w:t xml:space="preserve"> 规划建设</w:t>
      </w:r>
    </w:p>
    <w:p>
      <w:pPr>
        <w:pStyle w:val="Normal"/>
        <w:spacing w:lineRule="exact" w:line="52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20"/>
        <w:ind w:firstLineChars="200" w:startChars="0" w:start="0" w:endChars="0" w:end="0"/>
        <w:rPr>
          <w:rFonts w:ascii="仿宋_GB2312" w:hAnsi="仿宋_GB2312" w:eastAsia="仿宋_GB2312" w:cs="仿宋_GB2312" w:hint="eastAsia"/>
          <w:kern w:val="0"/>
          <w:sz w:val="32"/>
          <w:szCs w:val="32"/>
        </w:rPr>
      </w:pPr>
      <w:r>
        <w:rPr>
          <w:rFonts w:ascii="黑体;SimHei" w:hAnsi="黑体;SimHei" w:cs="黑体;SimHei" w:hint="eastAsia" w:eastAsia="黑体;SimHei"/>
          <w:sz w:val="32"/>
          <w:szCs w:val="32"/>
        </w:rPr>
        <w:t>第八条</w:t>
      </w:r>
      <w:r>
        <w:rPr>
          <w:rFonts w:ascii="仿宋_GB2312" w:hAnsi="仿宋_GB2312" w:cs="黑体;SimHei" w:hint="eastAsia" w:eastAsia="仿宋_GB2312"/>
          <w:bCs/>
          <w:sz w:val="32"/>
          <w:szCs w:val="32"/>
        </w:rPr>
        <w:t xml:space="preserve"> </w:t>
      </w:r>
      <w:r>
        <w:rPr>
          <w:rFonts w:ascii="仿宋_GB2312" w:hAnsi="仿宋_GB2312" w:cs="黑体;SimHei" w:hint="eastAsia" w:eastAsia="仿宋_GB2312"/>
          <w:b/>
          <w:bCs/>
          <w:sz w:val="32"/>
          <w:szCs w:val="32"/>
        </w:rPr>
        <w:t xml:space="preserve"> </w:t>
      </w:r>
      <w:r>
        <w:rPr>
          <w:rFonts w:ascii="仿宋_GB2312" w:hAnsi="仿宋_GB2312" w:cs="黑体;SimHei" w:hint="eastAsia" w:eastAsia="仿宋_GB2312"/>
          <w:bCs/>
          <w:sz w:val="32"/>
          <w:szCs w:val="32"/>
        </w:rPr>
        <w:t>县级以上人民政府应当</w:t>
      </w:r>
      <w:r>
        <w:rPr>
          <w:rFonts w:ascii="仿宋_GB2312" w:hAnsi="仿宋_GB2312" w:cs="仿宋_GB2312" w:hint="eastAsia" w:eastAsia="仿宋_GB2312"/>
          <w:sz w:val="32"/>
          <w:szCs w:val="32"/>
        </w:rPr>
        <w:t>将</w:t>
      </w:r>
      <w:r>
        <w:rPr>
          <w:rFonts w:ascii="仿宋_GB2312" w:hAnsi="仿宋_GB2312" w:cs="仿宋_GB2312" w:hint="eastAsia" w:eastAsia="仿宋_GB2312"/>
          <w:kern w:val="0"/>
          <w:sz w:val="32"/>
          <w:szCs w:val="32"/>
        </w:rPr>
        <w:t>通信设施建设纳入国民经济和社会发展规划、城乡规划及土地利用总体规划。</w:t>
      </w:r>
    </w:p>
    <w:p>
      <w:pPr>
        <w:pStyle w:val="Normal"/>
        <w:spacing w:lineRule="exact" w:line="5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有关主管部门组织编制城乡规划，应当编写通信设施建设专章（节），按照统筹、集约、整合的原则，合理配置通信设施使用地下管廊（沟）、科学确定通信设施建设布局，并征求通信管理机构意见。</w:t>
      </w:r>
    </w:p>
    <w:p>
      <w:pPr>
        <w:pStyle w:val="Normal"/>
        <w:spacing w:lineRule="exact" w:line="520"/>
        <w:rPr/>
      </w:pPr>
      <w:r>
        <w:rPr>
          <w:rFonts w:eastAsia="仿宋_GB2312" w:cs="黑体;SimHei" w:hint="eastAsia" w:ascii="仿宋_GB2312" w:hAnsi="仿宋_GB2312"/>
          <w:b/>
          <w:bCs/>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第九条</w:t>
      </w:r>
      <w:r>
        <w:rPr>
          <w:rFonts w:ascii="黑体;SimHei" w:hAnsi="黑体;SimHei" w:cs="黑体;SimHei" w:hint="eastAsia" w:eastAsia="黑体;SimHei"/>
          <w:bCs/>
          <w:sz w:val="32"/>
          <w:szCs w:val="32"/>
        </w:rPr>
        <w:t xml:space="preserve"> </w:t>
      </w:r>
      <w:r>
        <w:rPr>
          <w:rFonts w:ascii="仿宋_GB2312" w:hAnsi="仿宋_GB2312" w:cs="黑体;SimHei" w:hint="eastAsia" w:eastAsia="仿宋_GB2312"/>
          <w:b/>
          <w:bCs/>
          <w:sz w:val="32"/>
          <w:szCs w:val="32"/>
        </w:rPr>
        <w:t xml:space="preserve"> </w:t>
      </w:r>
      <w:r>
        <w:rPr>
          <w:rFonts w:ascii="仿宋_GB2312" w:hAnsi="仿宋_GB2312" w:cs="仿宋_GB2312" w:hint="eastAsia" w:eastAsia="仿宋_GB2312"/>
          <w:sz w:val="32"/>
          <w:szCs w:val="32"/>
        </w:rPr>
        <w:t>自治区通信管理机构根据国家信息通信行业发展规划、自治区信息化发展规划，组织编制</w:t>
      </w:r>
      <w:r>
        <w:rPr>
          <w:rFonts w:ascii="仿宋_GB2312" w:hAnsi="仿宋_GB2312" w:cs="仿宋_GB2312" w:hint="eastAsia" w:eastAsia="仿宋_GB2312"/>
          <w:kern w:val="0"/>
          <w:sz w:val="32"/>
          <w:szCs w:val="32"/>
        </w:rPr>
        <w:t>自治区通信行业发展规划和</w:t>
      </w:r>
      <w:r>
        <w:rPr>
          <w:rFonts w:ascii="仿宋_GB2312" w:hAnsi="仿宋_GB2312" w:cs="仿宋_GB2312" w:hint="eastAsia" w:eastAsia="仿宋_GB2312"/>
          <w:sz w:val="32"/>
          <w:szCs w:val="32"/>
        </w:rPr>
        <w:t>通信设施建设专项规划，经征求有关部门意见后发布实施，并报自治区人民政府发展改革部门备案。</w:t>
      </w:r>
    </w:p>
    <w:p>
      <w:pPr>
        <w:pStyle w:val="Normal"/>
        <w:spacing w:lineRule="exact" w:line="52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第十条</w:t>
      </w:r>
      <w:r>
        <w:rPr>
          <w:rFonts w:ascii="仿宋_GB2312" w:hAnsi="仿宋_GB2312" w:cs="黑体;SimHei" w:hint="eastAsia" w:eastAsia="仿宋_GB2312"/>
          <w:b/>
          <w:bCs/>
          <w:sz w:val="32"/>
          <w:szCs w:val="32"/>
        </w:rPr>
        <w:t xml:space="preserve">  </w:t>
      </w:r>
      <w:r>
        <w:rPr>
          <w:rFonts w:ascii="仿宋_GB2312" w:hAnsi="仿宋_GB2312" w:cs="仿宋_GB2312" w:hint="eastAsia" w:eastAsia="仿宋_GB2312"/>
          <w:sz w:val="32"/>
          <w:szCs w:val="32"/>
        </w:rPr>
        <w:t>通信设施建设应当遵循统筹规划、优化配置、资源共享、破除垄断的原则，执行国家通信工程建设强制性标准，并符合安全生产、环境保护、节能减排等</w:t>
      </w:r>
      <w:r>
        <w:rPr>
          <w:rFonts w:ascii="仿宋_GB2312" w:hAnsi="仿宋_GB2312" w:cs="仿宋_GB2312" w:hint="eastAsia" w:eastAsia="仿宋_GB2312"/>
          <w:kern w:val="0"/>
          <w:sz w:val="32"/>
          <w:szCs w:val="32"/>
        </w:rPr>
        <w:t>要求</w:t>
      </w:r>
      <w:r>
        <w:rPr>
          <w:rFonts w:ascii="仿宋_GB2312" w:hAnsi="仿宋_GB2312" w:cs="仿宋_GB2312" w:hint="eastAsia" w:eastAsia="仿宋_GB2312"/>
          <w:sz w:val="32"/>
          <w:szCs w:val="32"/>
        </w:rPr>
        <w:t>。</w:t>
      </w:r>
    </w:p>
    <w:p>
      <w:pPr>
        <w:pStyle w:val="Normal"/>
        <w:spacing w:lineRule="exact" w:line="520"/>
        <w:ind w:firstLineChars="200" w:startChars="0" w:start="0" w:endChars="0" w:end="0"/>
        <w:rPr>
          <w:rFonts w:ascii="仿宋_GB2312" w:hAnsi="仿宋_GB2312" w:eastAsia="仿宋_GB2312" w:cs="仿宋_GB2312" w:hint="eastAsia"/>
          <w:kern w:val="0"/>
          <w:sz w:val="32"/>
          <w:szCs w:val="32"/>
          <w:shd w:fill="E5E5E5" w:val="clear"/>
        </w:rPr>
      </w:pPr>
      <w:r>
        <w:rPr>
          <w:rFonts w:ascii="黑体;SimHei" w:hAnsi="黑体;SimHei" w:cs="黑体;SimHei" w:hint="eastAsia" w:eastAsia="黑体;SimHei"/>
          <w:sz w:val="32"/>
          <w:szCs w:val="32"/>
        </w:rPr>
        <w:t>第十</w:t>
      </w:r>
      <w:r>
        <w:rPr>
          <w:rFonts w:ascii="黑体;SimHei" w:hAnsi="黑体;SimHei" w:cs="黑体;SimHei" w:hint="eastAsia" w:eastAsia="黑体;SimHei"/>
          <w:kern w:val="0"/>
          <w:sz w:val="32"/>
          <w:szCs w:val="32"/>
        </w:rPr>
        <w:t>一</w:t>
      </w:r>
      <w:r>
        <w:rPr>
          <w:rFonts w:ascii="黑体;SimHei" w:hAnsi="黑体;SimHei" w:cs="黑体;SimHei" w:hint="eastAsia" w:eastAsia="黑体;SimHei"/>
          <w:sz w:val="32"/>
          <w:szCs w:val="32"/>
        </w:rPr>
        <w:t>条</w:t>
      </w:r>
      <w:r>
        <w:rPr>
          <w:rFonts w:ascii="仿宋_GB2312" w:hAnsi="仿宋_GB2312" w:cs="黑体;SimHei" w:hint="eastAsia" w:eastAsia="仿宋_GB2312"/>
          <w:b/>
          <w:bCs/>
          <w:sz w:val="32"/>
          <w:szCs w:val="32"/>
        </w:rPr>
        <w:t xml:space="preserve"> </w:t>
      </w:r>
      <w:r>
        <w:rPr>
          <w:rFonts w:ascii="仿宋_GB2312" w:hAnsi="仿宋_GB2312" w:cs="仿宋_GB2312" w:hint="eastAsia" w:eastAsia="仿宋_GB2312"/>
          <w:sz w:val="32"/>
          <w:szCs w:val="32"/>
        </w:rPr>
        <w:t xml:space="preserve"> 自治区通信管理机构应当按照通信设施共建共享有关规定，组织协调通信设施建设单位开展通信设施共建共享工作</w:t>
      </w:r>
      <w:r>
        <w:rPr>
          <w:rFonts w:ascii="仿宋_GB2312" w:hAnsi="仿宋_GB2312" w:cs="仿宋_GB2312" w:hint="eastAsia" w:eastAsia="仿宋_GB2312"/>
          <w:kern w:val="0"/>
          <w:sz w:val="32"/>
          <w:szCs w:val="32"/>
        </w:rPr>
        <w:t>。</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新建、改建或者扩建通信管道、通信基站、杆路、铁塔等设施，应当按照国家规定实行统一建设或者联合建设，避免重复建设。</w:t>
      </w:r>
    </w:p>
    <w:p>
      <w:pPr>
        <w:pStyle w:val="Normal"/>
        <w:spacing w:lineRule="exact" w:line="520"/>
        <w:ind w:firstLineChars="200" w:startChars="0" w:start="0" w:endChars="0" w:end="0"/>
        <w:rPr>
          <w:rFonts w:ascii="黑体;SimHei" w:hAnsi="黑体;SimHei" w:eastAsia="黑体;SimHei" w:cs="黑体;SimHei" w:hint="eastAsia"/>
          <w:sz w:val="32"/>
          <w:szCs w:val="32"/>
        </w:rPr>
      </w:pPr>
      <w:r>
        <w:rPr>
          <w:rFonts w:ascii="仿宋_GB2312" w:hAnsi="仿宋_GB2312" w:cs="仿宋_GB2312" w:hint="eastAsia" w:eastAsia="仿宋_GB2312"/>
          <w:sz w:val="32"/>
          <w:szCs w:val="32"/>
        </w:rPr>
        <w:t>已有通信管道、通信基站、杆路、铁塔等通信设施，不具备共享条件的，应当采取技术改造、扩建等方式进行共享。</w:t>
      </w:r>
    </w:p>
    <w:p>
      <w:pPr>
        <w:pStyle w:val="Normal"/>
        <w:spacing w:lineRule="exact" w:line="520"/>
        <w:ind w:firstLineChars="200" w:startChars="0" w:start="0" w:endChars="0" w:end="0"/>
        <w:rPr/>
      </w:pPr>
      <w:r>
        <w:rPr>
          <w:rFonts w:ascii="黑体;SimHei" w:hAnsi="黑体;SimHei" w:cs="仿宋_GB2312" w:hint="eastAsia" w:eastAsia="黑体;SimHei"/>
          <w:kern w:val="0"/>
          <w:sz w:val="32"/>
          <w:szCs w:val="32"/>
        </w:rPr>
        <w:t xml:space="preserve">第十二条  </w:t>
      </w:r>
      <w:r>
        <w:rPr>
          <w:rFonts w:ascii="仿宋_GB2312" w:hAnsi="仿宋_GB2312" w:cs="仿宋_GB2312" w:hint="eastAsia" w:eastAsia="仿宋_GB2312"/>
          <w:kern w:val="0"/>
          <w:sz w:val="32"/>
          <w:szCs w:val="32"/>
        </w:rPr>
        <w:t>鼓励通信业务经营者和有关单位采取示范、实验、试点方式，推进通信设施与道路、桥梁、地下管廊（沟）、城市绿地等基础设施及其附属设施的共建共享，促进通信网、广播电视网、互联网业务融合。</w:t>
      </w:r>
    </w:p>
    <w:p>
      <w:pPr>
        <w:pStyle w:val="Normal"/>
        <w:spacing w:lineRule="exact" w:line="520"/>
        <w:ind w:firstLineChars="200" w:startChars="0" w:start="0" w:endChars="0" w:end="0"/>
        <w:rPr/>
      </w:pPr>
      <w:r>
        <w:rPr>
          <w:rFonts w:ascii="黑体;SimHei" w:hAnsi="黑体;SimHei" w:cs="仿宋_GB2312" w:hint="eastAsia" w:eastAsia="黑体;SimHei"/>
          <w:bCs/>
          <w:kern w:val="0"/>
          <w:sz w:val="32"/>
          <w:szCs w:val="32"/>
        </w:rPr>
        <w:t>第十三条</w:t>
      </w:r>
      <w:r>
        <w:rPr>
          <w:rFonts w:ascii="黑体;SimHei" w:hAnsi="黑体;SimHei" w:cs="黑体;SimHei" w:hint="eastAsia" w:eastAsia="黑体;SimHei"/>
          <w:bCs/>
          <w:sz w:val="32"/>
          <w:szCs w:val="32"/>
        </w:rPr>
        <w:t xml:space="preserve">  </w:t>
      </w:r>
      <w:r>
        <w:rPr>
          <w:rFonts w:ascii="仿宋_GB2312" w:hAnsi="仿宋_GB2312" w:cs="仿宋_GB2312" w:hint="eastAsia" w:eastAsia="仿宋_GB2312"/>
          <w:kern w:val="0"/>
          <w:sz w:val="32"/>
          <w:szCs w:val="32"/>
        </w:rPr>
        <w:t>新建、扩建民用建筑，建设单位应当将建筑物内的通信管线和配线设施以及建设项目用地范围内的通信管道纳入建设项目的设计文件，并随主体工程同步施工和验收。所需经费应当纳入建设项目概算。</w:t>
      </w:r>
    </w:p>
    <w:p>
      <w:pPr>
        <w:pStyle w:val="Normal"/>
        <w:spacing w:lineRule="exact" w:line="520"/>
        <w:ind w:firstLineChars="200" w:startChars="0" w:start="0" w:endChars="0" w:end="0"/>
        <w:rPr>
          <w:rFonts w:ascii="仿宋_GB2312" w:hAnsi="仿宋_GB2312" w:eastAsia="仿宋_GB2312" w:cs="仿宋_GB2312" w:hint="eastAsia"/>
          <w:kern w:val="0"/>
          <w:sz w:val="32"/>
          <w:szCs w:val="32"/>
          <w:shd w:fill="E5E5E5" w:val="clear"/>
        </w:rPr>
      </w:pPr>
      <w:r>
        <w:rPr>
          <w:rFonts w:ascii="黑体;SimHei" w:hAnsi="黑体;SimHei" w:cs="黑体;SimHei" w:hint="eastAsia" w:eastAsia="黑体;SimHei"/>
          <w:bCs/>
          <w:sz w:val="32"/>
          <w:szCs w:val="32"/>
        </w:rPr>
        <w:t>第十四条</w:t>
      </w:r>
      <w:r>
        <w:rPr>
          <w:rFonts w:ascii="黑体;SimHei" w:hAnsi="黑体;SimHei" w:cs="仿宋_GB2312" w:hint="eastAsia" w:eastAsia="黑体;SimHei"/>
          <w:bCs/>
          <w:kern w:val="0"/>
          <w:sz w:val="32"/>
          <w:szCs w:val="32"/>
        </w:rPr>
        <w:t xml:space="preserve">  </w:t>
      </w:r>
      <w:r>
        <w:rPr>
          <w:rFonts w:ascii="仿宋_GB2312" w:hAnsi="仿宋_GB2312" w:cs="仿宋_GB2312" w:hint="eastAsia" w:eastAsia="仿宋_GB2312"/>
          <w:kern w:val="0"/>
          <w:sz w:val="32"/>
          <w:szCs w:val="32"/>
        </w:rPr>
        <w:t>规划、设计和建设车站、机场、公路、铁路、城市道路、桥梁、城市轨道等建设项目，建设单位应当统筹通信设施的建设需求，事先通知通信管理机构以及相关通信业务经营者，并根据城乡规划、通信设施建设专项规划，同步设计并预留通信管线及配套设施建设空间。</w:t>
      </w:r>
    </w:p>
    <w:p>
      <w:pPr>
        <w:pStyle w:val="Normal"/>
        <w:spacing w:lineRule="exact" w:line="520"/>
        <w:ind w:firstLineChars="196" w:startChars="0" w:start="0" w:endChars="0" w:end="0"/>
        <w:rPr>
          <w:rFonts w:ascii="仿宋_GB2312" w:hAnsi="仿宋_GB2312" w:eastAsia="仿宋_GB2312" w:cs="仿宋_GB2312" w:hint="eastAsia"/>
          <w:kern w:val="0"/>
          <w:sz w:val="32"/>
          <w:szCs w:val="32"/>
          <w:shd w:fill="E5E5E5" w:val="clear"/>
        </w:rPr>
      </w:pPr>
      <w:r>
        <w:rPr>
          <w:rFonts w:ascii="黑体;SimHei" w:hAnsi="黑体;SimHei" w:cs="黑体;SimHei" w:hint="eastAsia" w:eastAsia="黑体;SimHei"/>
          <w:bCs/>
          <w:sz w:val="32"/>
          <w:szCs w:val="32"/>
        </w:rPr>
        <w:t xml:space="preserve">第十五条  </w:t>
      </w:r>
      <w:r>
        <w:rPr>
          <w:rFonts w:ascii="仿宋_GB2312" w:hAnsi="仿宋_GB2312" w:cs="黑体;SimHei" w:hint="eastAsia" w:eastAsia="仿宋_GB2312"/>
          <w:bCs/>
          <w:sz w:val="32"/>
          <w:szCs w:val="32"/>
        </w:rPr>
        <w:t>在公共机构办公场所、政府投资建设项目的公共区域，其产权人或者管理人应当无偿提供通信设施建设必要的场地和接入的便利条件。</w:t>
      </w:r>
    </w:p>
    <w:p>
      <w:pPr>
        <w:pStyle w:val="Normal"/>
        <w:spacing w:lineRule="exact" w:line="520"/>
        <w:ind w:firstLineChars="200" w:startChars="0" w:start="0" w:endChars="0" w:end="0"/>
        <w:rPr>
          <w:rFonts w:ascii="仿宋_GB2312" w:hAnsi="仿宋_GB2312" w:eastAsia="仿宋_GB2312" w:cs="仿宋_GB2312" w:hint="eastAsia"/>
          <w:kern w:val="0"/>
          <w:sz w:val="32"/>
          <w:szCs w:val="32"/>
          <w:bdr w:val="single" w:sz="4" w:space="0" w:color="000000"/>
        </w:rPr>
      </w:pPr>
      <w:r>
        <w:rPr>
          <w:rFonts w:ascii="黑体;SimHei" w:hAnsi="黑体;SimHei" w:cs="黑体;SimHei" w:hint="eastAsia" w:eastAsia="黑体;SimHei"/>
          <w:bCs/>
          <w:sz w:val="32"/>
          <w:szCs w:val="32"/>
        </w:rPr>
        <w:t>第十六条</w:t>
      </w:r>
      <w:r>
        <w:rPr>
          <w:rFonts w:ascii="仿宋_GB2312" w:hAnsi="仿宋_GB2312" w:cs="黑体;SimHei" w:hint="eastAsia" w:eastAsia="仿宋_GB2312"/>
          <w:b/>
          <w:bCs/>
          <w:sz w:val="32"/>
          <w:szCs w:val="32"/>
        </w:rPr>
        <w:t xml:space="preserve">  </w:t>
      </w:r>
      <w:r>
        <w:rPr>
          <w:rFonts w:ascii="仿宋_GB2312" w:hAnsi="仿宋_GB2312" w:cs="仿宋" w:hint="eastAsia" w:eastAsia="仿宋_GB2312"/>
          <w:bCs/>
          <w:sz w:val="32"/>
          <w:szCs w:val="32"/>
        </w:rPr>
        <w:t>在民用建筑物附挂通信线路或者设置小型天线、移动通信基站等通信设施的，</w:t>
      </w:r>
      <w:r>
        <w:rPr>
          <w:rFonts w:ascii="仿宋_GB2312" w:hAnsi="仿宋_GB2312" w:cs="仿宋_GB2312" w:hint="eastAsia" w:eastAsia="仿宋_GB2312"/>
          <w:kern w:val="0"/>
          <w:sz w:val="32"/>
          <w:szCs w:val="32"/>
        </w:rPr>
        <w:t>应当事先与建筑物所有权人或者使用人进行协商解决，按照协商支付使用费</w:t>
      </w:r>
      <w:r>
        <w:rPr>
          <w:rFonts w:ascii="黑体;SimHei" w:hAnsi="黑体;SimHei" w:cs="黑体;SimHei" w:hint="eastAsia" w:eastAsia="黑体;SimHei"/>
          <w:color w:val="000000"/>
          <w:sz w:val="32"/>
          <w:szCs w:val="32"/>
        </w:rPr>
        <w:t>。</w:t>
      </w:r>
      <w:r>
        <w:rPr>
          <w:rFonts w:ascii="仿宋_GB2312" w:hAnsi="仿宋_GB2312" w:cs="黑体;SimHei" w:hint="eastAsia" w:eastAsia="仿宋_GB2312"/>
          <w:bCs/>
          <w:sz w:val="32"/>
          <w:szCs w:val="32"/>
        </w:rPr>
        <w:t xml:space="preserve">  </w:t>
      </w:r>
    </w:p>
    <w:p>
      <w:pPr>
        <w:pStyle w:val="Normal"/>
        <w:spacing w:lineRule="exact" w:line="520"/>
        <w:ind w:firstLineChars="200" w:startChars="0" w:start="0" w:endChars="0" w:end="0"/>
        <w:rPr/>
      </w:pPr>
      <w:r>
        <w:rPr>
          <w:rFonts w:ascii="黑体;SimHei" w:hAnsi="黑体;SimHei" w:cs="仿宋_GB2312" w:hint="eastAsia" w:eastAsia="黑体;SimHei"/>
          <w:kern w:val="0"/>
          <w:sz w:val="32"/>
          <w:szCs w:val="32"/>
        </w:rPr>
        <w:t>第十七条</w:t>
      </w:r>
      <w:r>
        <w:rPr>
          <w:rFonts w:ascii="仿宋_GB2312" w:hAnsi="仿宋_GB2312" w:cs="黑体;SimHei" w:hint="eastAsia" w:eastAsia="仿宋_GB2312"/>
          <w:b/>
          <w:bCs/>
          <w:sz w:val="32"/>
          <w:szCs w:val="32"/>
        </w:rPr>
        <w:t xml:space="preserve">  </w:t>
      </w:r>
      <w:r>
        <w:rPr>
          <w:rFonts w:ascii="仿宋_GB2312" w:hAnsi="仿宋_GB2312" w:cs="仿宋_GB2312" w:hint="eastAsia" w:eastAsia="仿宋_GB2312"/>
          <w:color w:val="000000"/>
          <w:sz w:val="32"/>
          <w:szCs w:val="32"/>
        </w:rPr>
        <w:t>在民用</w:t>
      </w:r>
      <w:r>
        <w:rPr>
          <w:rFonts w:ascii="仿宋_GB2312" w:hAnsi="仿宋_GB2312" w:cs="仿宋" w:hint="eastAsia" w:eastAsia="仿宋_GB2312"/>
          <w:bCs/>
          <w:sz w:val="32"/>
          <w:szCs w:val="32"/>
        </w:rPr>
        <w:t>建筑物、公共区域</w:t>
      </w:r>
      <w:r>
        <w:rPr>
          <w:rFonts w:ascii="仿宋_GB2312" w:hAnsi="仿宋_GB2312" w:cs="仿宋_GB2312" w:hint="eastAsia" w:eastAsia="仿宋_GB2312"/>
          <w:color w:val="000000"/>
          <w:sz w:val="32"/>
          <w:szCs w:val="32"/>
        </w:rPr>
        <w:t>敷设、附挂</w:t>
      </w:r>
      <w:r>
        <w:rPr>
          <w:rFonts w:ascii="仿宋_GB2312" w:hAnsi="仿宋_GB2312" w:cs="仿宋" w:hint="eastAsia" w:eastAsia="仿宋_GB2312"/>
          <w:bCs/>
          <w:sz w:val="32"/>
          <w:szCs w:val="32"/>
        </w:rPr>
        <w:t>通信线路、设置小型天线、移动通信基站等通信设施的</w:t>
      </w:r>
      <w:r>
        <w:rPr>
          <w:rFonts w:eastAsia="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应当符合建筑物荷载要求，保证建筑物、公共设施安全及正常使用。</w:t>
      </w:r>
    </w:p>
    <w:p>
      <w:pPr>
        <w:pStyle w:val="Normal"/>
        <w:spacing w:lineRule="exact" w:line="520"/>
        <w:ind w:firstLineChars="200" w:startChars="0" w:start="0" w:endChars="0" w:end="0"/>
        <w:rPr/>
      </w:pPr>
      <w:r>
        <w:rPr>
          <w:rFonts w:ascii="黑体;SimHei" w:hAnsi="黑体;SimHei" w:cs="黑体;SimHei" w:hint="eastAsia" w:eastAsia="黑体;SimHei"/>
          <w:bCs/>
          <w:sz w:val="32"/>
          <w:szCs w:val="32"/>
        </w:rPr>
        <w:t>第</w:t>
      </w:r>
      <w:r>
        <w:rPr>
          <w:rFonts w:ascii="黑体;SimHei" w:hAnsi="黑体;SimHei" w:cs="仿宋_GB2312" w:hint="eastAsia" w:eastAsia="黑体;SimHei"/>
          <w:bCs/>
          <w:kern w:val="0"/>
          <w:sz w:val="32"/>
          <w:szCs w:val="32"/>
        </w:rPr>
        <w:t>十八</w:t>
      </w:r>
      <w:r>
        <w:rPr>
          <w:rFonts w:ascii="黑体;SimHei" w:hAnsi="黑体;SimHei" w:cs="黑体;SimHei" w:hint="eastAsia" w:eastAsia="黑体;SimHei"/>
          <w:bCs/>
          <w:sz w:val="32"/>
          <w:szCs w:val="32"/>
        </w:rPr>
        <w:t xml:space="preserve">条 </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 xml:space="preserve">用户有权自主选择通信业务经营者提供的服务。 </w:t>
      </w:r>
      <w:r>
        <w:rPr>
          <w:rFonts w:ascii="黑体;SimHei" w:hAnsi="黑体;SimHei" w:cs="黑体;SimHei" w:hint="eastAsia" w:eastAsia="黑体;SimHei"/>
          <w:sz w:val="32"/>
          <w:szCs w:val="32"/>
        </w:rPr>
        <w:t xml:space="preserve">                                                                                                                                                                                                                                                                                                                                                                                                                                                                                                                                                                                                                                                                                                                                                                                                                                                                                                                                                                                                                                                                                                                                                                                                                                                                                                                                                                                                                                                                                                                                                                                                                                                                                                                                                                                                                                                                                                                                                                                                                                                                                                                                                                                                                                                                                                                                                                                                                                                                                                                                                                                                                                                                                                                                                                                                                                                                                                                                                                                                                                                                                                                                                                                                                                                                                                                                                                                                                                                                                                                                                                                                                                                                                                                                             </w:t>
      </w:r>
    </w:p>
    <w:p>
      <w:pPr>
        <w:pStyle w:val="Normal"/>
        <w:spacing w:lineRule="exact" w:line="5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sz w:val="32"/>
          <w:szCs w:val="32"/>
        </w:rPr>
        <w:t>建设单位、物业所有人或者使用人、管理人应当为通信业务经营者建设通信设施提供平等</w:t>
      </w:r>
      <w:r>
        <w:rPr>
          <w:rFonts w:ascii="仿宋_GB2312" w:hAnsi="仿宋_GB2312" w:cs="仿宋_GB2312" w:hint="eastAsia" w:eastAsia="仿宋_GB2312"/>
          <w:kern w:val="0"/>
          <w:sz w:val="32"/>
          <w:szCs w:val="32"/>
        </w:rPr>
        <w:t>接入和使用</w:t>
      </w:r>
      <w:r>
        <w:rPr>
          <w:rFonts w:ascii="仿宋_GB2312" w:hAnsi="仿宋_GB2312" w:cs="仿宋_GB2312" w:hint="eastAsia" w:eastAsia="仿宋_GB2312"/>
          <w:sz w:val="32"/>
          <w:szCs w:val="32"/>
        </w:rPr>
        <w:t>条件</w:t>
      </w:r>
      <w:r>
        <w:rPr>
          <w:rFonts w:ascii="仿宋_GB2312" w:hAnsi="仿宋_GB2312" w:cs="仿宋_GB2312" w:hint="eastAsia" w:eastAsia="仿宋_GB2312"/>
          <w:kern w:val="0"/>
          <w:sz w:val="32"/>
          <w:szCs w:val="32"/>
        </w:rPr>
        <w:t>，不得向通信业务经营者收取进场费</w:t>
      </w:r>
      <w:r>
        <w:rPr>
          <w:rFonts w:ascii="仿宋_GB2312" w:hAnsi="仿宋_GB2312" w:cs="仿宋_GB2312" w:hint="eastAsia" w:eastAsia="仿宋_GB2312"/>
          <w:sz w:val="32"/>
          <w:szCs w:val="32"/>
        </w:rPr>
        <w:t>等费</w:t>
      </w:r>
      <w:r>
        <w:rPr>
          <w:rFonts w:ascii="仿宋_GB2312" w:hAnsi="仿宋_GB2312" w:cs="仿宋_GB2312" w:hint="eastAsia" w:eastAsia="仿宋_GB2312"/>
          <w:kern w:val="0"/>
          <w:sz w:val="32"/>
          <w:szCs w:val="32"/>
        </w:rPr>
        <w:t>用。</w:t>
      </w:r>
    </w:p>
    <w:p>
      <w:pPr>
        <w:pStyle w:val="Normal"/>
        <w:spacing w:lineRule="exact" w:line="5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sz w:val="32"/>
          <w:szCs w:val="32"/>
        </w:rPr>
        <w:t>通信业务经营者不得采取与他人签订排他性协议等方式，阻碍其他通信业务经营者依法开展通信服务活动，或者限制用户选择其他通信业务经营者提供通信服务</w:t>
      </w:r>
      <w:r>
        <w:rPr>
          <w:rFonts w:ascii="仿宋_GB2312" w:hAnsi="仿宋_GB2312" w:cs="仿宋_GB2312" w:hint="eastAsia" w:eastAsia="仿宋_GB2312"/>
          <w:kern w:val="0"/>
          <w:sz w:val="32"/>
          <w:szCs w:val="32"/>
        </w:rPr>
        <w:t>。</w:t>
      </w:r>
    </w:p>
    <w:p>
      <w:pPr>
        <w:pStyle w:val="Normal"/>
        <w:spacing w:lineRule="exact" w:line="52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bCs/>
          <w:sz w:val="32"/>
          <w:szCs w:val="32"/>
        </w:rPr>
        <w:t>第十九条</w:t>
      </w:r>
      <w:r>
        <w:rPr>
          <w:rFonts w:ascii="黑体;SimHei" w:hAnsi="黑体;SimHei" w:cs="黑体;SimHei" w:hint="eastAsia" w:eastAsia="黑体;SimHei"/>
          <w:b/>
          <w:kern w:val="0"/>
          <w:sz w:val="32"/>
          <w:szCs w:val="32"/>
        </w:rPr>
        <w:t xml:space="preserve"> </w:t>
      </w:r>
      <w:r>
        <w:rPr>
          <w:rFonts w:ascii="仿宋_GB2312" w:hAnsi="仿宋_GB2312" w:cs="仿宋_GB2312" w:hint="eastAsia" w:eastAsia="仿宋_GB2312"/>
          <w:sz w:val="32"/>
          <w:szCs w:val="32"/>
        </w:rPr>
        <w:t xml:space="preserve"> 在历史文化区、自然保护区、风景名胜区等区域建设通信设施，应当依法保护历史文物和自然资源，使用造型美化的设施产品，或者采取隐蔽安装技术措施。</w:t>
      </w:r>
    </w:p>
    <w:p>
      <w:pPr>
        <w:pStyle w:val="Normal"/>
        <w:spacing w:lineRule="exact" w:line="520"/>
        <w:ind w:firstLineChars="200" w:startChars="0" w:start="0" w:endChars="0" w:end="0"/>
        <w:rPr>
          <w:rFonts w:ascii="黑体;SimHei" w:hAnsi="黑体;SimHei" w:eastAsia="黑体;SimHei" w:cs="仿宋_GB2312" w:hint="eastAsia"/>
          <w:kern w:val="0"/>
          <w:sz w:val="32"/>
          <w:szCs w:val="32"/>
        </w:rPr>
      </w:pPr>
      <w:r>
        <w:rPr>
          <w:rFonts w:ascii="黑体;SimHei" w:hAnsi="黑体;SimHei" w:cs="黑体;SimHei" w:hint="eastAsia" w:eastAsia="黑体;SimHei"/>
          <w:bCs/>
          <w:sz w:val="32"/>
          <w:szCs w:val="32"/>
        </w:rPr>
        <w:t xml:space="preserve">第二十条  </w:t>
      </w:r>
      <w:r>
        <w:rPr>
          <w:rFonts w:ascii="仿宋_GB2312" w:hAnsi="仿宋_GB2312" w:cs="仿宋_GB2312" w:hint="eastAsia" w:eastAsia="仿宋_GB2312"/>
          <w:kern w:val="0"/>
          <w:sz w:val="32"/>
          <w:szCs w:val="32"/>
        </w:rPr>
        <w:t>通信基站的建设和运行应当符合国家电磁辐射</w:t>
      </w:r>
      <w:r>
        <w:rPr>
          <w:rFonts w:ascii="仿宋_GB2312" w:hAnsi="仿宋_GB2312" w:cs="仿宋_GB2312" w:hint="eastAsia" w:eastAsia="仿宋_GB2312"/>
          <w:sz w:val="32"/>
          <w:szCs w:val="32"/>
        </w:rPr>
        <w:t>防护</w:t>
      </w:r>
      <w:r>
        <w:rPr>
          <w:rFonts w:ascii="仿宋_GB2312" w:hAnsi="仿宋_GB2312" w:cs="仿宋_GB2312" w:hint="eastAsia" w:eastAsia="仿宋_GB2312"/>
          <w:kern w:val="0"/>
          <w:sz w:val="32"/>
          <w:szCs w:val="32"/>
        </w:rPr>
        <w:t>标准。通信设施建设单位或者通信业务经营者应当在通信基站设置标志，公布电磁辐射强度等信息。</w:t>
      </w:r>
    </w:p>
    <w:p>
      <w:pPr>
        <w:pStyle w:val="Normal"/>
        <w:spacing w:lineRule="exact" w:line="520"/>
        <w:ind w:firstLineChars="200" w:startChars="0" w:start="0" w:endChars="0" w:end="0"/>
        <w:rPr/>
      </w:pPr>
      <w:r>
        <w:rPr>
          <w:rFonts w:ascii="仿宋_GB2312" w:hAnsi="仿宋_GB2312" w:cs="仿宋_GB2312" w:hint="eastAsia" w:eastAsia="仿宋_GB2312"/>
          <w:kern w:val="0"/>
          <w:sz w:val="32"/>
          <w:szCs w:val="32"/>
        </w:rPr>
        <w:t>通信设施建设单位或者通信业务经营者应当委托具备资质的第三方机构对电磁辐射有争议的通信基站进行检测，并向社会公布检测结果</w:t>
      </w:r>
      <w:r>
        <w:rPr>
          <w:rFonts w:ascii="黑体;SimHei" w:hAnsi="黑体;SimHei" w:cs="仿宋_GB2312" w:hint="eastAsia" w:eastAsia="黑体;SimHei"/>
          <w:kern w:val="0"/>
          <w:sz w:val="32"/>
          <w:szCs w:val="32"/>
        </w:rPr>
        <w:t>。</w:t>
      </w:r>
      <w:r>
        <w:rPr>
          <w:rFonts w:ascii="仿宋_GB2312" w:hAnsi="仿宋_GB2312" w:cs="仿宋_GB2312" w:hint="eastAsia" w:eastAsia="仿宋_GB2312"/>
          <w:kern w:val="0"/>
          <w:sz w:val="32"/>
          <w:szCs w:val="32"/>
        </w:rPr>
        <w:t>公民、法人和其他组织对检测结果仍有异议的，可以向环境保护行政主管部门投诉。</w:t>
      </w:r>
    </w:p>
    <w:p>
      <w:pPr>
        <w:pStyle w:val="Normal"/>
        <w:spacing w:lineRule="exact" w:line="520"/>
        <w:ind w:firstLineChars="200" w:startChars="0" w:start="0" w:endChars="0" w:end="0"/>
        <w:rPr>
          <w:rFonts w:ascii="仿宋_GB2312" w:hAnsi="仿宋_GB2312" w:eastAsia="仿宋_GB2312" w:cs="仿宋_GB2312" w:hint="eastAsia"/>
          <w:kern w:val="0"/>
          <w:sz w:val="32"/>
          <w:szCs w:val="32"/>
          <w:shd w:fill="E5E5E5" w:val="clear"/>
        </w:rPr>
      </w:pPr>
      <w:r>
        <w:rPr>
          <w:rFonts w:ascii="仿宋_GB2312" w:hAnsi="仿宋_GB2312" w:cs="仿宋_GB2312" w:hint="eastAsia" w:eastAsia="仿宋_GB2312"/>
          <w:kern w:val="0"/>
          <w:sz w:val="32"/>
          <w:szCs w:val="32"/>
        </w:rPr>
        <w:t>环境保护行政主管部门应当加强对通信设施电磁辐射环境保护的监督管理，并督促通信设施建设单位和通信业务经营者组织开展通信设施运行电磁辐射安全知识的宣传教育，提高公民对电磁辐射的科学认识。</w:t>
      </w:r>
    </w:p>
    <w:p>
      <w:pPr>
        <w:pStyle w:val="Normal"/>
        <w:spacing w:lineRule="exact" w:line="520"/>
        <w:ind w:firstLineChars="200" w:startChars="0" w:start="0" w:endChars="0" w:end="0"/>
        <w:rPr>
          <w:rFonts w:ascii="仿宋_GB2312" w:hAnsi="仿宋_GB2312" w:eastAsia="仿宋_GB2312" w:cs="仿宋_GB2312" w:hint="eastAsia"/>
          <w:kern w:val="0"/>
          <w:sz w:val="32"/>
          <w:szCs w:val="32"/>
        </w:rPr>
      </w:pPr>
      <w:r>
        <w:rPr>
          <w:rFonts w:ascii="黑体;SimHei" w:hAnsi="黑体;SimHei" w:cs="黑体;SimHei" w:hint="eastAsia" w:eastAsia="黑体;SimHei"/>
          <w:bCs/>
          <w:sz w:val="32"/>
          <w:szCs w:val="32"/>
        </w:rPr>
        <w:t>第二十</w:t>
      </w:r>
      <w:r>
        <w:rPr>
          <w:rFonts w:ascii="黑体;SimHei" w:hAnsi="黑体;SimHei" w:cs="仿宋_GB2312" w:hint="eastAsia" w:eastAsia="黑体;SimHei"/>
          <w:bCs/>
          <w:kern w:val="0"/>
          <w:sz w:val="32"/>
          <w:szCs w:val="32"/>
        </w:rPr>
        <w:t>一</w:t>
      </w:r>
      <w:r>
        <w:rPr>
          <w:rFonts w:ascii="黑体;SimHei" w:hAnsi="黑体;SimHei" w:cs="黑体;SimHei" w:hint="eastAsia" w:eastAsia="黑体;SimHei"/>
          <w:bCs/>
          <w:sz w:val="32"/>
          <w:szCs w:val="32"/>
        </w:rPr>
        <w:t xml:space="preserve">条 </w:t>
      </w:r>
      <w:r>
        <w:rPr>
          <w:rFonts w:ascii="仿宋_GB2312" w:hAnsi="仿宋_GB2312" w:cs="黑体;SimHei" w:hint="eastAsia" w:eastAsia="仿宋_GB2312"/>
          <w:b/>
          <w:bCs/>
          <w:sz w:val="32"/>
          <w:szCs w:val="32"/>
        </w:rPr>
        <w:t xml:space="preserve">  </w:t>
      </w:r>
      <w:r>
        <w:rPr>
          <w:rFonts w:ascii="仿宋_GB2312" w:hAnsi="仿宋_GB2312" w:cs="仿宋_GB2312" w:hint="eastAsia" w:eastAsia="仿宋_GB2312"/>
          <w:sz w:val="32"/>
          <w:szCs w:val="32"/>
        </w:rPr>
        <w:t>供电企业应当对通信设施在用电报装、线路架设、电力抢修等方面给予优先保障</w:t>
      </w:r>
      <w:r>
        <w:rPr>
          <w:rFonts w:ascii="仿宋_GB2312" w:hAnsi="仿宋_GB2312" w:cs="仿宋_GB2312" w:hint="eastAsia" w:eastAsia="仿宋_GB2312"/>
          <w:kern w:val="0"/>
          <w:sz w:val="32"/>
          <w:szCs w:val="32"/>
        </w:rPr>
        <w:t>并提供</w:t>
      </w:r>
      <w:r>
        <w:rPr>
          <w:rFonts w:ascii="仿宋_GB2312" w:hAnsi="仿宋_GB2312" w:cs="仿宋_GB2312" w:hint="eastAsia" w:eastAsia="仿宋_GB2312"/>
          <w:sz w:val="32"/>
          <w:szCs w:val="32"/>
        </w:rPr>
        <w:t>便利。</w:t>
      </w:r>
    </w:p>
    <w:p>
      <w:pPr>
        <w:pStyle w:val="Normal"/>
        <w:spacing w:lineRule="exact" w:line="520"/>
        <w:ind w:firstLineChars="105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exact" w:line="520"/>
        <w:jc w:val="center"/>
        <w:rPr/>
      </w:pPr>
      <w:r>
        <w:rPr>
          <w:rFonts w:ascii="黑体;SimHei" w:hAnsi="黑体;SimHei" w:cs="仿宋_GB2312" w:hint="eastAsia" w:eastAsia="黑体;SimHei"/>
          <w:sz w:val="32"/>
          <w:szCs w:val="32"/>
        </w:rPr>
        <w:t xml:space="preserve">第三章  </w:t>
      </w:r>
      <w:r>
        <w:rPr>
          <w:rFonts w:ascii="黑体;SimHei" w:hAnsi="黑体;SimHei" w:cs="黑体;SimHei" w:hint="eastAsia" w:eastAsia="黑体;SimHei"/>
          <w:sz w:val="32"/>
          <w:szCs w:val="32"/>
        </w:rPr>
        <w:t>设施保护</w:t>
      </w:r>
    </w:p>
    <w:p>
      <w:pPr>
        <w:pStyle w:val="Normal"/>
        <w:spacing w:lineRule="exact" w:line="520"/>
        <w:jc w:val="center"/>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520"/>
        <w:ind w:firstLineChars="196" w:startChars="0" w:start="0" w:endChars="0" w:end="0"/>
        <w:rPr>
          <w:rFonts w:ascii="仿宋_GB2312" w:hAnsi="仿宋_GB2312" w:eastAsia="仿宋_GB2312" w:hint="eastAsia"/>
          <w:bCs/>
          <w:sz w:val="32"/>
          <w:szCs w:val="32"/>
        </w:rPr>
      </w:pPr>
      <w:r>
        <w:rPr>
          <w:rFonts w:ascii="黑体;SimHei" w:hAnsi="黑体;SimHei" w:cs="黑体;SimHei" w:hint="eastAsia" w:eastAsia="黑体;SimHei"/>
          <w:bCs/>
          <w:sz w:val="32"/>
          <w:szCs w:val="32"/>
        </w:rPr>
        <w:t>第二十</w:t>
      </w:r>
      <w:r>
        <w:rPr>
          <w:rFonts w:ascii="黑体;SimHei" w:hAnsi="黑体;SimHei" w:cs="仿宋_GB2312" w:hint="eastAsia" w:eastAsia="黑体;SimHei"/>
          <w:bCs/>
          <w:kern w:val="0"/>
          <w:sz w:val="32"/>
          <w:szCs w:val="32"/>
        </w:rPr>
        <w:t>二</w:t>
      </w:r>
      <w:r>
        <w:rPr>
          <w:rFonts w:ascii="黑体;SimHei" w:hAnsi="黑体;SimHei" w:cs="黑体;SimHei" w:hint="eastAsia" w:eastAsia="黑体;SimHei"/>
          <w:bCs/>
          <w:sz w:val="32"/>
          <w:szCs w:val="32"/>
        </w:rPr>
        <w:t>条</w:t>
      </w:r>
      <w:r>
        <w:rPr>
          <w:rFonts w:ascii="仿宋_GB2312" w:hAnsi="仿宋_GB2312" w:cs="黑体;SimHei" w:hint="eastAsia" w:eastAsia="仿宋_GB2312"/>
          <w:b/>
          <w:bCs/>
          <w:sz w:val="32"/>
          <w:szCs w:val="32"/>
        </w:rPr>
        <w:t xml:space="preserve"> </w:t>
      </w:r>
      <w:r>
        <w:rPr>
          <w:rFonts w:ascii="仿宋_GB2312" w:hAnsi="仿宋_GB2312" w:cs="仿宋_GB2312" w:hint="eastAsia" w:eastAsia="仿宋_GB2312"/>
          <w:color w:val="000000"/>
          <w:kern w:val="0"/>
          <w:sz w:val="32"/>
          <w:szCs w:val="32"/>
        </w:rPr>
        <w:t xml:space="preserve"> </w:t>
      </w:r>
      <w:r>
        <w:rPr>
          <w:rFonts w:ascii="仿宋_GB2312" w:hAnsi="仿宋_GB2312" w:cs="仿宋_GB2312" w:hint="eastAsia" w:eastAsia="仿宋_GB2312"/>
          <w:bCs/>
          <w:sz w:val="32"/>
          <w:szCs w:val="32"/>
        </w:rPr>
        <w:t>通信设施保护工作实行各级人民政府主导、通信管理机构监督、政府有关部门协同、通信业务经营者承担、社会普遍参与的机制。</w:t>
      </w:r>
    </w:p>
    <w:p>
      <w:pPr>
        <w:pStyle w:val="Normal"/>
        <w:spacing w:lineRule="exact" w:line="520"/>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bCs/>
          <w:sz w:val="32"/>
          <w:szCs w:val="32"/>
        </w:rPr>
        <w:t>第二十</w:t>
      </w:r>
      <w:r>
        <w:rPr>
          <w:rFonts w:ascii="黑体;SimHei" w:hAnsi="黑体;SimHei" w:cs="仿宋_GB2312" w:hint="eastAsia" w:eastAsia="黑体;SimHei"/>
          <w:bCs/>
          <w:kern w:val="0"/>
          <w:sz w:val="32"/>
          <w:szCs w:val="32"/>
        </w:rPr>
        <w:t>三</w:t>
      </w:r>
      <w:r>
        <w:rPr>
          <w:rFonts w:ascii="黑体;SimHei" w:hAnsi="黑体;SimHei" w:cs="黑体;SimHei" w:hint="eastAsia" w:eastAsia="黑体;SimHei"/>
          <w:bCs/>
          <w:sz w:val="32"/>
          <w:szCs w:val="32"/>
        </w:rPr>
        <w:t>条</w:t>
      </w:r>
      <w:r>
        <w:rPr>
          <w:rFonts w:ascii="黑体;SimHei" w:hAnsi="黑体;SimHei" w:cs="黑体;SimHei" w:hint="eastAsia" w:eastAsia="黑体;SimHei"/>
          <w:b/>
          <w:bCs/>
          <w:sz w:val="32"/>
          <w:szCs w:val="32"/>
        </w:rPr>
        <w:t xml:space="preserve"> </w:t>
      </w:r>
      <w:r>
        <w:rPr>
          <w:rFonts w:ascii="仿宋_GB2312" w:hAnsi="仿宋_GB2312" w:cs="黑体;SimHei" w:hint="eastAsia" w:eastAsia="仿宋_GB2312"/>
          <w:b/>
          <w:bCs/>
          <w:sz w:val="32"/>
          <w:szCs w:val="32"/>
        </w:rPr>
        <w:t xml:space="preserve"> </w:t>
      </w:r>
      <w:r>
        <w:rPr>
          <w:rFonts w:ascii="仿宋_GB2312" w:hAnsi="仿宋_GB2312" w:cs="仿宋_GB2312" w:hint="eastAsia" w:eastAsia="仿宋_GB2312"/>
          <w:bCs/>
          <w:sz w:val="32"/>
          <w:szCs w:val="32"/>
        </w:rPr>
        <w:t>通信业</w:t>
      </w:r>
      <w:r>
        <w:rPr>
          <w:rFonts w:ascii="仿宋_GB2312" w:hAnsi="仿宋_GB2312" w:cs="仿宋_GB2312" w:hint="eastAsia" w:eastAsia="仿宋_GB2312"/>
          <w:sz w:val="32"/>
          <w:szCs w:val="32"/>
        </w:rPr>
        <w:t>务经营者应当采取下列措施保护通信设施：</w:t>
      </w:r>
    </w:p>
    <w:p>
      <w:pPr>
        <w:pStyle w:val="Normal"/>
        <w:spacing w:lineRule="exact" w:line="520"/>
        <w:ind w:firstLineChars="196"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（一）在通信设施周围</w:t>
      </w:r>
      <w:r>
        <w:rPr>
          <w:rFonts w:ascii="仿宋_GB2312" w:hAnsi="仿宋_GB2312" w:cs="仿宋_GB2312" w:hint="eastAsia" w:eastAsia="仿宋_GB2312"/>
          <w:kern w:val="0"/>
          <w:sz w:val="32"/>
          <w:szCs w:val="32"/>
        </w:rPr>
        <w:t>设置</w:t>
      </w:r>
      <w:r>
        <w:rPr>
          <w:rFonts w:ascii="仿宋_GB2312" w:hAnsi="仿宋_GB2312" w:cs="仿宋_GB2312" w:hint="eastAsia" w:eastAsia="仿宋_GB2312"/>
          <w:sz w:val="32"/>
          <w:szCs w:val="32"/>
        </w:rPr>
        <w:t>围墙、栅栏等安全保护设施，并设立明显警示标志；</w:t>
      </w:r>
    </w:p>
    <w:p>
      <w:pPr>
        <w:pStyle w:val="Normal"/>
        <w:spacing w:lineRule="exact" w:line="520"/>
        <w:ind w:firstLineChars="196"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（二）建立通信设施保护和管理制度，落实安全保护措施，实行常态化巡查、维护和管理；</w:t>
      </w:r>
    </w:p>
    <w:p>
      <w:pPr>
        <w:pStyle w:val="Normal"/>
        <w:spacing w:lineRule="exact" w:line="520"/>
        <w:ind w:firstLineChars="196"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（三）制定应对突发事件的通信保障应急预案，建立通信应急队伍，保障应急设备、物资储备，组织通信应急演练；</w:t>
      </w:r>
    </w:p>
    <w:p>
      <w:pPr>
        <w:pStyle w:val="Normal"/>
        <w:spacing w:lineRule="exact" w:line="520"/>
        <w:ind w:firstLineChars="196"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（四）对共建共享的通信设施实行集中管理、统一维护，并与有关单位建立通信设施保护联防机制。</w:t>
      </w:r>
    </w:p>
    <w:p>
      <w:pPr>
        <w:pStyle w:val="Normal"/>
        <w:spacing w:lineRule="exact" w:line="520"/>
        <w:ind w:firstLineChars="200" w:startChars="0" w:start="0" w:endChars="0" w:end="0"/>
        <w:rPr>
          <w:rFonts w:ascii="仿宋_GB2312" w:hAnsi="仿宋_GB2312" w:eastAsia="仿宋_GB2312" w:cs="黑体;SimHei" w:hint="eastAsia"/>
          <w:b/>
          <w:bCs/>
          <w:sz w:val="32"/>
          <w:szCs w:val="32"/>
        </w:rPr>
      </w:pPr>
      <w:r>
        <w:rPr>
          <w:rFonts w:ascii="黑体;SimHei" w:hAnsi="黑体;SimHei" w:cs="黑体;SimHei" w:hint="eastAsia" w:eastAsia="黑体;SimHei"/>
          <w:bCs/>
          <w:sz w:val="32"/>
          <w:szCs w:val="32"/>
        </w:rPr>
        <w:t>第二十</w:t>
      </w:r>
      <w:r>
        <w:rPr>
          <w:rFonts w:ascii="黑体;SimHei" w:hAnsi="黑体;SimHei" w:cs="仿宋_GB2312" w:hint="eastAsia" w:eastAsia="黑体;SimHei"/>
          <w:bCs/>
          <w:kern w:val="0"/>
          <w:sz w:val="32"/>
          <w:szCs w:val="32"/>
        </w:rPr>
        <w:t>四</w:t>
      </w:r>
      <w:r>
        <w:rPr>
          <w:rFonts w:ascii="黑体;SimHei" w:hAnsi="黑体;SimHei" w:cs="黑体;SimHei" w:hint="eastAsia" w:eastAsia="黑体;SimHei"/>
          <w:bCs/>
          <w:sz w:val="32"/>
          <w:szCs w:val="32"/>
        </w:rPr>
        <w:t>条</w:t>
      </w:r>
      <w:r>
        <w:rPr>
          <w:rFonts w:ascii="仿宋_GB2312" w:hAnsi="仿宋_GB2312" w:cs="黑体;SimHei" w:hint="eastAsia" w:eastAsia="仿宋_GB2312"/>
          <w:b/>
          <w:bCs/>
          <w:sz w:val="32"/>
          <w:szCs w:val="32"/>
        </w:rPr>
        <w:t xml:space="preserve">  </w:t>
      </w:r>
      <w:r>
        <w:rPr>
          <w:rFonts w:ascii="仿宋_GB2312" w:hAnsi="仿宋_GB2312" w:cs="黑体;SimHei" w:hint="eastAsia" w:eastAsia="仿宋_GB2312"/>
          <w:bCs/>
          <w:sz w:val="32"/>
          <w:szCs w:val="32"/>
        </w:rPr>
        <w:t>因</w:t>
      </w:r>
      <w:r>
        <w:rPr>
          <w:rFonts w:ascii="仿宋_GB2312" w:hAnsi="仿宋_GB2312" w:cs="仿宋_GB2312" w:hint="eastAsia" w:eastAsia="仿宋_GB2312"/>
          <w:sz w:val="32"/>
          <w:szCs w:val="32"/>
        </w:rPr>
        <w:t>公路、铁路、城区改造、城乡</w:t>
      </w:r>
      <w:r>
        <w:rPr>
          <w:rFonts w:ascii="仿宋_GB2312" w:hAnsi="仿宋_GB2312" w:cs="仿宋_GB2312" w:hint="eastAsia" w:eastAsia="仿宋_GB2312"/>
          <w:kern w:val="0"/>
          <w:sz w:val="32"/>
          <w:szCs w:val="32"/>
        </w:rPr>
        <w:t>道路、城</w:t>
      </w:r>
      <w:r>
        <w:rPr>
          <w:rFonts w:ascii="仿宋_GB2312" w:hAnsi="仿宋_GB2312" w:cs="仿宋_GB2312" w:hint="eastAsia" w:eastAsia="仿宋_GB2312"/>
          <w:sz w:val="32"/>
          <w:szCs w:val="32"/>
        </w:rPr>
        <w:t>市轨道、桥梁、隧道、水利工程等建设，确需改动或者迁移通信设施的，</w:t>
      </w:r>
      <w:r>
        <w:rPr>
          <w:rFonts w:ascii="仿宋_GB2312" w:hAnsi="仿宋_GB2312" w:cs="仿宋_GB2312" w:hint="eastAsia" w:eastAsia="仿宋_GB2312"/>
          <w:kern w:val="0"/>
          <w:sz w:val="32"/>
          <w:szCs w:val="32"/>
        </w:rPr>
        <w:t>建设单位应当</w:t>
      </w:r>
      <w:r>
        <w:rPr>
          <w:rFonts w:ascii="仿宋_GB2312" w:hAnsi="仿宋_GB2312" w:cs="仿宋_GB2312" w:hint="eastAsia" w:eastAsia="仿宋_GB2312"/>
          <w:sz w:val="32"/>
          <w:szCs w:val="32"/>
        </w:rPr>
        <w:t>与通信业务经营者协商</w:t>
      </w:r>
      <w:r>
        <w:rPr>
          <w:rFonts w:ascii="仿宋_GB2312" w:hAnsi="仿宋_GB2312" w:cs="仿宋_GB2312" w:hint="eastAsia" w:eastAsia="仿宋_GB2312"/>
          <w:kern w:val="0"/>
          <w:sz w:val="32"/>
          <w:szCs w:val="32"/>
        </w:rPr>
        <w:t>，签订搬迁补偿协议，并承担迁移所需费用</w:t>
      </w:r>
      <w:r>
        <w:rPr>
          <w:rFonts w:ascii="仿宋_GB2312" w:hAnsi="仿宋_GB2312" w:cs="仿宋_GB2312" w:hint="eastAsia" w:eastAsia="仿宋_GB2312"/>
          <w:sz w:val="32"/>
          <w:szCs w:val="32"/>
        </w:rPr>
        <w:t>。</w:t>
      </w:r>
    </w:p>
    <w:p>
      <w:pPr>
        <w:pStyle w:val="Normal"/>
        <w:spacing w:lineRule="exact" w:line="520"/>
        <w:ind w:firstLineChars="200" w:startChars="0" w:start="0" w:endChars="0" w:end="0"/>
        <w:rPr>
          <w:rFonts w:ascii="仿宋_GB2312" w:hAnsi="仿宋_GB2312" w:eastAsia="仿宋_GB2312" w:cs="仿宋_GB2312" w:hint="eastAsia"/>
          <w:kern w:val="0"/>
          <w:sz w:val="32"/>
          <w:szCs w:val="32"/>
          <w:bdr w:val="single" w:sz="4" w:space="0" w:color="000000"/>
        </w:rPr>
      </w:pPr>
      <w:r>
        <w:rPr>
          <w:rFonts w:ascii="仿宋_GB2312" w:hAnsi="仿宋_GB2312" w:cs="仿宋_GB2312" w:hint="eastAsia" w:eastAsia="仿宋_GB2312"/>
          <w:kern w:val="0"/>
          <w:sz w:val="32"/>
          <w:szCs w:val="32"/>
        </w:rPr>
        <w:t>迁移通信设施应当遵循先建设后拆除的原则，保障通信畅通。</w:t>
      </w:r>
    </w:p>
    <w:p>
      <w:pPr>
        <w:pStyle w:val="Normal"/>
        <w:spacing w:lineRule="exact" w:line="520"/>
        <w:ind w:firstLineChars="200" w:startChars="0" w:start="0" w:endChars="0" w:end="0"/>
        <w:rPr>
          <w:rFonts w:ascii="仿宋_GB2312" w:hAnsi="仿宋_GB2312" w:eastAsia="仿宋_GB2312" w:hint="eastAsia"/>
          <w:sz w:val="32"/>
          <w:szCs w:val="32"/>
          <w:shd w:fill="E5E5E5" w:val="clear"/>
        </w:rPr>
      </w:pPr>
      <w:r>
        <w:rPr>
          <w:rFonts w:ascii="仿宋_GB2312" w:hAnsi="仿宋_GB2312" w:cs="仿宋_GB2312" w:hint="eastAsia" w:eastAsia="仿宋_GB2312"/>
          <w:sz w:val="32"/>
          <w:szCs w:val="32"/>
        </w:rPr>
        <w:t>因建设项目施工损毁通信设施的，建设单位应当按照国家规定的定损和赔偿标准执行。</w:t>
      </w:r>
    </w:p>
    <w:p>
      <w:pPr>
        <w:pStyle w:val="Normal"/>
        <w:spacing w:lineRule="exact" w:line="52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bCs/>
          <w:sz w:val="32"/>
          <w:szCs w:val="32"/>
        </w:rPr>
        <w:t>第二十</w:t>
      </w:r>
      <w:r>
        <w:rPr>
          <w:rFonts w:ascii="黑体;SimHei" w:hAnsi="黑体;SimHei" w:cs="仿宋_GB2312" w:hint="eastAsia" w:eastAsia="黑体;SimHei"/>
          <w:bCs/>
          <w:kern w:val="0"/>
          <w:sz w:val="32"/>
          <w:szCs w:val="32"/>
        </w:rPr>
        <w:t>五</w:t>
      </w:r>
      <w:r>
        <w:rPr>
          <w:rFonts w:ascii="黑体;SimHei" w:hAnsi="黑体;SimHei" w:cs="黑体;SimHei" w:hint="eastAsia" w:eastAsia="黑体;SimHei"/>
          <w:bCs/>
          <w:sz w:val="32"/>
          <w:szCs w:val="32"/>
        </w:rPr>
        <w:t>条</w:t>
      </w:r>
      <w:r>
        <w:rPr>
          <w:rFonts w:ascii="仿宋_GB2312" w:hAnsi="仿宋_GB2312" w:cs="仿宋_GB2312" w:hint="eastAsia" w:eastAsia="仿宋_GB2312"/>
          <w:b/>
          <w:kern w:val="0"/>
          <w:sz w:val="32"/>
          <w:szCs w:val="32"/>
        </w:rPr>
        <w:t xml:space="preserve">  </w:t>
      </w:r>
      <w:r>
        <w:rPr>
          <w:rFonts w:ascii="仿宋_GB2312" w:hAnsi="仿宋_GB2312" w:cs="仿宋_GB2312" w:hint="eastAsia" w:eastAsia="仿宋_GB2312"/>
          <w:kern w:val="0"/>
          <w:sz w:val="32"/>
          <w:szCs w:val="32"/>
        </w:rPr>
        <w:t>架空或者地下</w:t>
      </w:r>
      <w:r>
        <w:rPr>
          <w:rFonts w:ascii="仿宋_GB2312" w:hAnsi="仿宋_GB2312" w:cs="仿宋_GB2312" w:hint="eastAsia" w:eastAsia="仿宋_GB2312"/>
          <w:sz w:val="32"/>
          <w:szCs w:val="32"/>
        </w:rPr>
        <w:t>油、气、水、电、暖等管线需要与通信管线交叉穿越、平行建设的，应当符合国家规定的间隔距离；</w:t>
      </w:r>
      <w:r>
        <w:rPr>
          <w:rFonts w:ascii="仿宋_GB2312" w:hAnsi="仿宋_GB2312" w:cs="仿宋_GB2312" w:hint="eastAsia" w:eastAsia="仿宋_GB2312"/>
          <w:color w:val="000000"/>
          <w:sz w:val="32"/>
          <w:szCs w:val="32"/>
        </w:rPr>
        <w:t>不符合的，新建单位应当与既建单位协商，由新建单位采取措施保障既建设施安全，并</w:t>
      </w:r>
      <w:r>
        <w:rPr>
          <w:rFonts w:ascii="仿宋_GB2312" w:hAnsi="仿宋_GB2312" w:cs="仿宋_GB2312" w:hint="eastAsia" w:eastAsia="仿宋_GB2312"/>
          <w:sz w:val="32"/>
          <w:szCs w:val="32"/>
        </w:rPr>
        <w:t>承担相关费用。</w:t>
      </w:r>
    </w:p>
    <w:p>
      <w:pPr>
        <w:pStyle w:val="Normal"/>
        <w:spacing w:lineRule="exact" w:line="520"/>
        <w:ind w:firstLine="645" w:end="0"/>
        <w:rPr>
          <w:rFonts w:ascii="仿宋_GB2312" w:hAnsi="仿宋_GB2312" w:eastAsia="仿宋_GB2312" w:hint="eastAsia"/>
          <w:sz w:val="32"/>
          <w:szCs w:val="32"/>
        </w:rPr>
      </w:pPr>
      <w:r>
        <w:rPr>
          <w:rFonts w:ascii="黑体;SimHei" w:hAnsi="黑体;SimHei" w:cs="黑体;SimHei" w:hint="eastAsia" w:eastAsia="黑体;SimHei"/>
          <w:bCs/>
          <w:sz w:val="32"/>
          <w:szCs w:val="32"/>
        </w:rPr>
        <w:t>第二十</w:t>
      </w:r>
      <w:r>
        <w:rPr>
          <w:rFonts w:ascii="黑体;SimHei" w:hAnsi="黑体;SimHei" w:cs="仿宋_GB2312" w:hint="eastAsia" w:eastAsia="黑体;SimHei"/>
          <w:bCs/>
          <w:kern w:val="0"/>
          <w:sz w:val="32"/>
          <w:szCs w:val="32"/>
        </w:rPr>
        <w:t>六</w:t>
      </w:r>
      <w:r>
        <w:rPr>
          <w:rFonts w:ascii="黑体;SimHei" w:hAnsi="黑体;SimHei" w:cs="黑体;SimHei" w:hint="eastAsia" w:eastAsia="黑体;SimHei"/>
          <w:bCs/>
          <w:sz w:val="32"/>
          <w:szCs w:val="32"/>
        </w:rPr>
        <w:t>条</w:t>
      </w:r>
      <w:r>
        <w:rPr>
          <w:rFonts w:ascii="仿宋_GB2312" w:hAnsi="仿宋_GB2312" w:cs="黑体;SimHei" w:hint="eastAsia" w:eastAsia="仿宋_GB2312"/>
          <w:bCs/>
          <w:sz w:val="32"/>
          <w:szCs w:val="32"/>
        </w:rPr>
        <w:t xml:space="preserve">  禁止</w:t>
      </w:r>
      <w:r>
        <w:rPr>
          <w:rFonts w:ascii="仿宋_GB2312" w:hAnsi="仿宋_GB2312" w:cs="仿宋_GB2312" w:hint="eastAsia" w:eastAsia="仿宋_GB2312"/>
          <w:sz w:val="32"/>
          <w:szCs w:val="32"/>
        </w:rPr>
        <w:t>实施下列危害通信设施安全的行为：</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（一）在通信设施安全保护范围内采砂、采石、取土、修筑沟渠、凿井、钻探或者修建粪池、牲畜圈、沼气池等；</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（二）在通信设施安全保护范围内放置易燃易爆物品，倾倒、排放具有腐蚀性、侵蚀性的物质或者爆破、烧荒、燃放烟花爆竹、焚烧物品等；</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（三）侵占、哄抢、破坏或者盗窃通信设施；</w:t>
      </w:r>
    </w:p>
    <w:p>
      <w:pPr>
        <w:pStyle w:val="Normal"/>
        <w:spacing w:lineRule="exact" w:line="52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w:t>
      </w:r>
      <w:r>
        <w:rPr>
          <w:rFonts w:ascii="仿宋_GB2312" w:hAnsi="仿宋_GB2312" w:cs="仿宋_GB2312" w:hint="eastAsia" w:eastAsia="仿宋_GB2312"/>
          <w:kern w:val="0"/>
          <w:sz w:val="32"/>
          <w:szCs w:val="32"/>
        </w:rPr>
        <w:t>四</w:t>
      </w:r>
      <w:r>
        <w:rPr>
          <w:rFonts w:ascii="仿宋_GB2312" w:hAnsi="仿宋_GB2312" w:cs="仿宋_GB2312" w:hint="eastAsia" w:eastAsia="仿宋_GB2312"/>
          <w:sz w:val="32"/>
          <w:szCs w:val="32"/>
        </w:rPr>
        <w:t>）截断、</w:t>
      </w:r>
      <w:r>
        <w:rPr>
          <w:rFonts w:ascii="仿宋_GB2312" w:hAnsi="仿宋_GB2312" w:cs="仿宋_GB2312" w:hint="eastAsia" w:eastAsia="仿宋_GB2312"/>
          <w:kern w:val="0"/>
          <w:sz w:val="32"/>
          <w:szCs w:val="32"/>
        </w:rPr>
        <w:t>擅自</w:t>
      </w:r>
      <w:r>
        <w:rPr>
          <w:rFonts w:ascii="仿宋_GB2312" w:hAnsi="仿宋_GB2312" w:cs="仿宋_GB2312" w:hint="eastAsia" w:eastAsia="仿宋_GB2312"/>
          <w:sz w:val="32"/>
          <w:szCs w:val="32"/>
        </w:rPr>
        <w:t>改动通信线路或者擅自拆除通信设施；</w:t>
      </w:r>
    </w:p>
    <w:p>
      <w:pPr>
        <w:pStyle w:val="Normal"/>
        <w:spacing w:lineRule="exact" w:line="5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（五）阻挠、妨碍通信设施施工、巡检或者维护；</w:t>
      </w:r>
    </w:p>
    <w:p>
      <w:pPr>
        <w:pStyle w:val="Normal"/>
        <w:spacing w:lineRule="exact" w:line="520"/>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w:t>
      </w:r>
      <w:r>
        <w:rPr>
          <w:rFonts w:ascii="仿宋_GB2312" w:hAnsi="仿宋_GB2312" w:cs="仿宋_GB2312" w:hint="eastAsia" w:eastAsia="仿宋_GB2312"/>
          <w:kern w:val="0"/>
          <w:sz w:val="32"/>
          <w:szCs w:val="32"/>
        </w:rPr>
        <w:t>六</w:t>
      </w:r>
      <w:r>
        <w:rPr>
          <w:rFonts w:ascii="仿宋_GB2312" w:hAnsi="仿宋_GB2312" w:cs="仿宋_GB2312" w:hint="eastAsia" w:eastAsia="仿宋_GB2312"/>
          <w:sz w:val="32"/>
          <w:szCs w:val="32"/>
        </w:rPr>
        <w:t>）涂改、移动、拆除或者损毁通信设施警示标志、保护设施等；</w:t>
      </w:r>
    </w:p>
    <w:p>
      <w:pPr>
        <w:pStyle w:val="Normal"/>
        <w:spacing w:lineRule="exact" w:line="520"/>
        <w:ind w:firstLineChars="200" w:startChars="0" w:start="0" w:endChars="0" w:end="0"/>
        <w:rPr/>
      </w:pPr>
      <w:r>
        <w:rPr>
          <w:rFonts w:ascii="仿宋_GB2312" w:hAnsi="仿宋_GB2312" w:cs="仿宋_GB2312" w:hint="eastAsia" w:eastAsia="仿宋_GB2312"/>
          <w:kern w:val="0"/>
          <w:sz w:val="32"/>
          <w:szCs w:val="32"/>
        </w:rPr>
        <w:t>（七）</w:t>
      </w:r>
      <w:r>
        <w:rPr>
          <w:rFonts w:ascii="仿宋_GB2312" w:hAnsi="仿宋_GB2312" w:cs="仿宋_GB2312" w:hint="eastAsia" w:eastAsia="仿宋_GB2312"/>
          <w:sz w:val="32"/>
          <w:szCs w:val="32"/>
        </w:rPr>
        <w:t>攀爬通信设施，或者在通信设施上附挂物体、拴系牲畜；</w:t>
      </w:r>
    </w:p>
    <w:p>
      <w:pPr>
        <w:pStyle w:val="Normal"/>
        <w:spacing w:lineRule="exact" w:line="5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（八）其他危及通信设施安全的行为。</w:t>
      </w:r>
    </w:p>
    <w:p>
      <w:pPr>
        <w:pStyle w:val="Normal"/>
        <w:spacing w:lineRule="exact" w:line="52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bCs/>
          <w:sz w:val="32"/>
          <w:szCs w:val="32"/>
        </w:rPr>
        <w:t>第二十</w:t>
      </w:r>
      <w:r>
        <w:rPr>
          <w:rFonts w:ascii="黑体;SimHei" w:hAnsi="黑体;SimHei" w:cs="仿宋_GB2312" w:hint="eastAsia" w:eastAsia="黑体;SimHei"/>
          <w:bCs/>
          <w:kern w:val="0"/>
          <w:sz w:val="32"/>
          <w:szCs w:val="32"/>
        </w:rPr>
        <w:t>七</w:t>
      </w:r>
      <w:r>
        <w:rPr>
          <w:rFonts w:ascii="黑体;SimHei" w:hAnsi="黑体;SimHei" w:cs="黑体;SimHei" w:hint="eastAsia" w:eastAsia="黑体;SimHei"/>
          <w:bCs/>
          <w:sz w:val="32"/>
          <w:szCs w:val="32"/>
        </w:rPr>
        <w:t>条</w:t>
      </w:r>
      <w:r>
        <w:rPr>
          <w:rFonts w:ascii="黑体;SimHei" w:hAnsi="黑体;SimHei" w:cs="黑体;SimHei" w:hint="eastAsia" w:eastAsia="黑体;SimHei"/>
          <w:b/>
          <w:bCs/>
          <w:sz w:val="32"/>
          <w:szCs w:val="32"/>
        </w:rPr>
        <w:t xml:space="preserve"> </w:t>
      </w:r>
      <w:r>
        <w:rPr>
          <w:rFonts w:ascii="仿宋_GB2312" w:hAnsi="仿宋_GB2312" w:cs="黑体;SimHei" w:hint="eastAsia" w:eastAsia="仿宋_GB2312"/>
          <w:b/>
          <w:bCs/>
          <w:sz w:val="32"/>
          <w:szCs w:val="32"/>
        </w:rPr>
        <w:t xml:space="preserve"> </w:t>
      </w:r>
      <w:r>
        <w:rPr>
          <w:rFonts w:ascii="仿宋_GB2312" w:hAnsi="仿宋_GB2312" w:cs="仿宋_GB2312" w:hint="eastAsia" w:eastAsia="仿宋_GB2312"/>
          <w:sz w:val="32"/>
          <w:szCs w:val="32"/>
        </w:rPr>
        <w:t>实施应急通信保障、通信设施抢修的工程救险车辆，</w:t>
      </w:r>
      <w:r>
        <w:rPr>
          <w:rFonts w:ascii="仿宋_GB2312" w:hAnsi="仿宋_GB2312" w:cs="仿宋_GB2312" w:hint="eastAsia" w:eastAsia="仿宋_GB2312"/>
          <w:kern w:val="0"/>
          <w:sz w:val="32"/>
          <w:szCs w:val="32"/>
        </w:rPr>
        <w:t>经公安交通管理机关批准，</w:t>
      </w:r>
      <w:r>
        <w:rPr>
          <w:rFonts w:ascii="仿宋_GB2312" w:hAnsi="仿宋_GB2312" w:cs="仿宋_GB2312" w:hint="eastAsia" w:eastAsia="仿宋_GB2312"/>
          <w:sz w:val="32"/>
          <w:szCs w:val="32"/>
        </w:rPr>
        <w:t>按规定喷涂车体颜色、安装警报器和警示灯，在公路、城市道路优先通行。</w:t>
      </w:r>
    </w:p>
    <w:p>
      <w:pPr>
        <w:pStyle w:val="Normal"/>
        <w:spacing w:lineRule="exact" w:line="52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bCs/>
          <w:sz w:val="32"/>
          <w:szCs w:val="32"/>
        </w:rPr>
        <w:t>第二十八条</w:t>
      </w:r>
      <w:r>
        <w:rPr>
          <w:rFonts w:ascii="仿宋_GB2312" w:hAnsi="仿宋_GB2312" w:cs="黑体;SimHei" w:hint="eastAsia" w:eastAsia="仿宋_GB2312"/>
          <w:b/>
          <w:bCs/>
          <w:sz w:val="32"/>
          <w:szCs w:val="32"/>
        </w:rPr>
        <w:t xml:space="preserve">  </w:t>
      </w:r>
      <w:r>
        <w:rPr>
          <w:rFonts w:ascii="仿宋_GB2312" w:hAnsi="仿宋_GB2312" w:cs="仿宋_GB2312" w:hint="eastAsia" w:eastAsia="仿宋_GB2312"/>
          <w:sz w:val="32"/>
          <w:szCs w:val="32"/>
        </w:rPr>
        <w:t>从事收购、运输废旧通信设备及其附属设施业务的经营者，应当遵守国家有关废旧金属收购、再生资源回收的规定，查验并留存出售单位、交运单位开具的出售、交运证明，如实登记经办人、出售人的身份</w:t>
      </w:r>
      <w:r>
        <w:rPr>
          <w:rFonts w:ascii="仿宋_GB2312" w:hAnsi="仿宋_GB2312" w:cs="仿宋_GB2312" w:hint="eastAsia" w:eastAsia="仿宋_GB2312"/>
          <w:kern w:val="0"/>
          <w:sz w:val="32"/>
          <w:szCs w:val="32"/>
        </w:rPr>
        <w:t>、</w:t>
      </w:r>
      <w:r>
        <w:rPr>
          <w:rFonts w:ascii="仿宋_GB2312" w:hAnsi="仿宋_GB2312" w:cs="仿宋_GB2312" w:hint="eastAsia" w:eastAsia="仿宋_GB2312"/>
          <w:sz w:val="32"/>
          <w:szCs w:val="32"/>
        </w:rPr>
        <w:t>物品名称、数量、规格等信息。证明和登记资料保存期限不得少于两年。</w:t>
      </w:r>
    </w:p>
    <w:p>
      <w:pPr>
        <w:pStyle w:val="Normal"/>
        <w:spacing w:lineRule="exact" w:line="520"/>
        <w:ind w:firstLineChars="200" w:startChars="0" w:start="0" w:endChars="0" w:end="0"/>
        <w:rPr>
          <w:rFonts w:ascii="仿宋_GB2312" w:hAnsi="仿宋_GB2312" w:eastAsia="仿宋_GB2312" w:hint="eastAsia"/>
          <w:b/>
          <w:sz w:val="32"/>
          <w:szCs w:val="32"/>
        </w:rPr>
      </w:pPr>
      <w:r>
        <w:rPr>
          <w:rFonts w:ascii="仿宋_GB2312" w:hAnsi="仿宋_GB2312" w:cs="仿宋_GB2312" w:hint="eastAsia" w:eastAsia="仿宋_GB2312"/>
          <w:sz w:val="32"/>
          <w:szCs w:val="32"/>
        </w:rPr>
        <w:t>禁止出售、运输、收购无合法来源证明的废旧通信设施。</w:t>
      </w:r>
    </w:p>
    <w:p>
      <w:pPr>
        <w:pStyle w:val="Normal"/>
        <w:spacing w:lineRule="exact" w:line="520"/>
        <w:jc w:val="center"/>
        <w:rPr>
          <w:rFonts w:ascii="黑体;SimHei" w:hAnsi="黑体;SimHei" w:eastAsia="黑体;SimHei" w:cs="黑体;SimHei" w:hint="eastAsia"/>
          <w:b/>
          <w:sz w:val="32"/>
          <w:szCs w:val="32"/>
        </w:rPr>
      </w:pPr>
      <w:r>
        <w:rPr>
          <w:rFonts w:eastAsia="黑体;SimHei" w:cs="黑体;SimHei" w:hint="eastAsia" w:ascii="黑体;SimHei" w:hAnsi="黑体;SimHei"/>
          <w:b/>
          <w:sz w:val="32"/>
          <w:szCs w:val="32"/>
        </w:rPr>
      </w:r>
    </w:p>
    <w:p>
      <w:pPr>
        <w:pStyle w:val="Normal"/>
        <w:spacing w:lineRule="exact" w:line="520"/>
        <w:jc w:val="center"/>
        <w:rPr/>
      </w:pPr>
      <w:r>
        <w:rPr>
          <w:rFonts w:ascii="黑体;SimHei" w:hAnsi="黑体;SimHei" w:cs="黑体;SimHei" w:hint="eastAsia" w:eastAsia="黑体;SimHei"/>
          <w:sz w:val="32"/>
          <w:szCs w:val="32"/>
        </w:rPr>
        <w:t>第四章</w:t>
      </w:r>
      <w:r>
        <w:rPr>
          <w:rFonts w:ascii="宋体;SimSun" w:hAnsi="宋体;SimSun" w:cs="宋体;SimSun" w:hint="eastAsia" w:eastAsia="黑体;SimHei"/>
          <w:sz w:val="32"/>
          <w:szCs w:val="32"/>
        </w:rPr>
        <w:t> </w:t>
      </w:r>
      <w:r>
        <w:rPr>
          <w:rFonts w:ascii="黑体;SimHei" w:hAnsi="黑体;SimHei" w:cs="黑体;SimHei" w:hint="eastAsia" w:eastAsia="黑体;SimHei"/>
          <w:sz w:val="32"/>
          <w:szCs w:val="32"/>
        </w:rPr>
        <w:t>法律责任</w:t>
      </w:r>
    </w:p>
    <w:p>
      <w:pPr>
        <w:pStyle w:val="Normal"/>
        <w:spacing w:lineRule="exact" w:line="52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bCs/>
          <w:sz w:val="32"/>
          <w:szCs w:val="32"/>
        </w:rPr>
        <w:t xml:space="preserve">第二十九条  </w:t>
      </w:r>
      <w:r>
        <w:rPr>
          <w:rFonts w:ascii="仿宋_GB2312" w:hAnsi="仿宋_GB2312" w:cs="仿宋_GB2312" w:hint="eastAsia" w:eastAsia="仿宋_GB2312"/>
          <w:sz w:val="32"/>
          <w:szCs w:val="32"/>
        </w:rPr>
        <w:t>通信管理机构和其他有关主管部门的工作人员违反本条例规定，玩忽职守、滥用职权、徇私舞弊的，由其主管部门或者行政监察机关依法给予处分；构成犯罪的，依法追究刑事责任。</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bCs/>
          <w:sz w:val="32"/>
          <w:szCs w:val="32"/>
        </w:rPr>
        <w:t>第三十条</w:t>
      </w:r>
      <w:r>
        <w:rPr>
          <w:rFonts w:ascii="仿宋_GB2312" w:hAnsi="仿宋_GB2312" w:cs="黑体;SimHei" w:hint="eastAsia" w:eastAsia="仿宋_GB2312"/>
          <w:bCs/>
          <w:sz w:val="32"/>
          <w:szCs w:val="32"/>
        </w:rPr>
        <w:t xml:space="preserve"> </w:t>
      </w:r>
      <w:r>
        <w:rPr>
          <w:rFonts w:ascii="仿宋_GB2312" w:hAnsi="仿宋_GB2312" w:cs="黑体;SimHei" w:hint="eastAsia" w:eastAsia="仿宋_GB2312"/>
          <w:b/>
          <w:bCs/>
          <w:sz w:val="32"/>
          <w:szCs w:val="32"/>
        </w:rPr>
        <w:t xml:space="preserve"> </w:t>
      </w:r>
      <w:r>
        <w:rPr>
          <w:rFonts w:ascii="仿宋_GB2312" w:hAnsi="仿宋_GB2312" w:cs="黑体;SimHei" w:hint="eastAsia" w:eastAsia="仿宋_GB2312"/>
          <w:bCs/>
          <w:sz w:val="32"/>
          <w:szCs w:val="32"/>
        </w:rPr>
        <w:t>违反本条例</w:t>
      </w:r>
      <w:r>
        <w:rPr>
          <w:rFonts w:ascii="仿宋_GB2312" w:hAnsi="仿宋_GB2312" w:cs="仿宋_GB2312" w:hint="eastAsia" w:eastAsia="仿宋_GB2312"/>
          <w:bCs/>
          <w:sz w:val="32"/>
          <w:szCs w:val="32"/>
        </w:rPr>
        <w:t>第十</w:t>
      </w:r>
      <w:r>
        <w:rPr>
          <w:rFonts w:ascii="仿宋_GB2312" w:hAnsi="仿宋_GB2312" w:cs="仿宋_GB2312" w:hint="eastAsia" w:eastAsia="仿宋_GB2312"/>
          <w:kern w:val="0"/>
          <w:sz w:val="32"/>
          <w:szCs w:val="32"/>
        </w:rPr>
        <w:t>一</w:t>
      </w:r>
      <w:r>
        <w:rPr>
          <w:rFonts w:ascii="仿宋_GB2312" w:hAnsi="仿宋_GB2312" w:cs="仿宋_GB2312" w:hint="eastAsia" w:eastAsia="仿宋_GB2312"/>
          <w:bCs/>
          <w:sz w:val="32"/>
          <w:szCs w:val="32"/>
        </w:rPr>
        <w:t>条</w:t>
      </w:r>
      <w:r>
        <w:rPr>
          <w:rFonts w:ascii="仿宋_GB2312" w:hAnsi="仿宋_GB2312" w:cs="仿宋_GB2312" w:hint="eastAsia" w:eastAsia="仿宋_GB2312"/>
          <w:bCs/>
          <w:color w:val="000000"/>
          <w:sz w:val="32"/>
          <w:szCs w:val="32"/>
        </w:rPr>
        <w:t>第</w:t>
      </w:r>
      <w:r>
        <w:rPr>
          <w:rFonts w:ascii="仿宋_GB2312" w:hAnsi="仿宋_GB2312" w:cs="仿宋_GB2312" w:hint="eastAsia" w:eastAsia="仿宋_GB2312"/>
          <w:color w:val="000000"/>
          <w:kern w:val="0"/>
          <w:sz w:val="32"/>
          <w:szCs w:val="32"/>
        </w:rPr>
        <w:t>二、三</w:t>
      </w:r>
      <w:r>
        <w:rPr>
          <w:rFonts w:ascii="仿宋_GB2312" w:hAnsi="仿宋_GB2312" w:cs="仿宋_GB2312" w:hint="eastAsia" w:eastAsia="仿宋_GB2312"/>
          <w:bCs/>
          <w:color w:val="000000"/>
          <w:sz w:val="32"/>
          <w:szCs w:val="32"/>
        </w:rPr>
        <w:t>款、</w:t>
      </w:r>
      <w:r>
        <w:rPr>
          <w:rFonts w:ascii="仿宋_GB2312" w:hAnsi="仿宋_GB2312" w:cs="仿宋_GB2312" w:hint="eastAsia" w:eastAsia="仿宋_GB2312"/>
          <w:color w:val="000000"/>
          <w:kern w:val="0"/>
          <w:sz w:val="32"/>
          <w:szCs w:val="32"/>
        </w:rPr>
        <w:t>第十七</w:t>
      </w:r>
      <w:r>
        <w:rPr>
          <w:rFonts w:ascii="仿宋_GB2312" w:hAnsi="仿宋_GB2312" w:cs="仿宋_GB2312" w:hint="eastAsia" w:eastAsia="仿宋_GB2312"/>
          <w:color w:val="000000"/>
          <w:sz w:val="32"/>
          <w:szCs w:val="32"/>
        </w:rPr>
        <w:t>条、</w:t>
      </w:r>
      <w:r>
        <w:rPr>
          <w:rFonts w:ascii="仿宋_GB2312" w:hAnsi="仿宋_GB2312" w:cs="仿宋_GB2312" w:hint="eastAsia" w:eastAsia="仿宋_GB2312"/>
          <w:bCs/>
          <w:color w:val="000000"/>
          <w:sz w:val="32"/>
          <w:szCs w:val="32"/>
        </w:rPr>
        <w:t>第</w:t>
      </w:r>
      <w:r>
        <w:rPr>
          <w:rFonts w:ascii="仿宋_GB2312" w:hAnsi="仿宋_GB2312" w:cs="仿宋_GB2312" w:hint="eastAsia" w:eastAsia="仿宋_GB2312"/>
          <w:color w:val="000000"/>
          <w:kern w:val="0"/>
          <w:sz w:val="32"/>
          <w:szCs w:val="32"/>
        </w:rPr>
        <w:t>十八</w:t>
      </w:r>
      <w:r>
        <w:rPr>
          <w:rFonts w:ascii="仿宋_GB2312" w:hAnsi="仿宋_GB2312" w:cs="仿宋_GB2312" w:hint="eastAsia" w:eastAsia="仿宋_GB2312"/>
          <w:bCs/>
          <w:color w:val="000000"/>
          <w:sz w:val="32"/>
          <w:szCs w:val="32"/>
        </w:rPr>
        <w:t>条第二、三款</w:t>
      </w:r>
      <w:r>
        <w:rPr>
          <w:rFonts w:ascii="仿宋_GB2312" w:hAnsi="仿宋_GB2312" w:cs="仿宋_GB2312" w:hint="eastAsia" w:eastAsia="仿宋_GB2312"/>
          <w:bCs/>
          <w:sz w:val="32"/>
          <w:szCs w:val="32"/>
        </w:rPr>
        <w:t>、第二十三条第一项规定的，</w:t>
      </w:r>
      <w:r>
        <w:rPr>
          <w:rFonts w:ascii="仿宋_GB2312" w:hAnsi="仿宋_GB2312" w:cs="仿宋_GB2312" w:hint="eastAsia" w:eastAsia="仿宋_GB2312"/>
          <w:color w:val="000000"/>
          <w:sz w:val="32"/>
          <w:szCs w:val="32"/>
        </w:rPr>
        <w:t>由自治区通信管理机构</w:t>
      </w:r>
      <w:r>
        <w:rPr>
          <w:rFonts w:ascii="仿宋_GB2312" w:hAnsi="仿宋_GB2312" w:cs="仿宋_GB2312" w:hint="eastAsia" w:eastAsia="仿宋_GB2312"/>
          <w:sz w:val="32"/>
          <w:szCs w:val="32"/>
        </w:rPr>
        <w:t>责令限期改正</w:t>
      </w:r>
      <w:r>
        <w:rPr>
          <w:rFonts w:ascii="仿宋_GB2312" w:hAnsi="仿宋_GB2312" w:cs="仿宋_GB2312" w:hint="eastAsia" w:eastAsia="仿宋_GB2312"/>
          <w:kern w:val="0"/>
          <w:sz w:val="32"/>
          <w:szCs w:val="32"/>
        </w:rPr>
        <w:t>；逾期不改的</w:t>
      </w:r>
      <w:r>
        <w:rPr>
          <w:rFonts w:ascii="仿宋_GB2312" w:hAnsi="仿宋_GB2312" w:cs="仿宋_GB2312" w:hint="eastAsia" w:eastAsia="仿宋_GB2312"/>
          <w:sz w:val="32"/>
          <w:szCs w:val="32"/>
        </w:rPr>
        <w:t>，处二万元以</w:t>
      </w:r>
      <w:r>
        <w:rPr>
          <w:rFonts w:ascii="仿宋_GB2312" w:hAnsi="仿宋_GB2312" w:cs="仿宋_GB2312" w:hint="eastAsia" w:eastAsia="仿宋_GB2312"/>
          <w:kern w:val="0"/>
          <w:sz w:val="32"/>
          <w:szCs w:val="32"/>
        </w:rPr>
        <w:t>上</w:t>
      </w:r>
      <w:r>
        <w:rPr>
          <w:rFonts w:ascii="仿宋_GB2312" w:hAnsi="仿宋_GB2312" w:cs="仿宋_GB2312" w:hint="eastAsia" w:eastAsia="仿宋_GB2312"/>
          <w:sz w:val="32"/>
          <w:szCs w:val="32"/>
        </w:rPr>
        <w:t>十万元以</w:t>
      </w:r>
      <w:r>
        <w:rPr>
          <w:rFonts w:ascii="仿宋_GB2312" w:hAnsi="仿宋_GB2312" w:cs="仿宋_GB2312" w:hint="eastAsia" w:eastAsia="仿宋_GB2312"/>
          <w:kern w:val="0"/>
          <w:sz w:val="32"/>
          <w:szCs w:val="32"/>
        </w:rPr>
        <w:t>下</w:t>
      </w:r>
      <w:r>
        <w:rPr>
          <w:rFonts w:ascii="仿宋_GB2312" w:hAnsi="仿宋_GB2312" w:cs="仿宋_GB2312" w:hint="eastAsia" w:eastAsia="仿宋_GB2312"/>
          <w:sz w:val="32"/>
          <w:szCs w:val="32"/>
        </w:rPr>
        <w:t>罚款。</w:t>
      </w:r>
    </w:p>
    <w:p>
      <w:pPr>
        <w:pStyle w:val="Normal"/>
        <w:spacing w:lineRule="exact" w:line="520"/>
        <w:ind w:firstLineChars="200" w:startChars="0" w:start="0" w:endChars="0" w:end="0"/>
        <w:rPr/>
      </w:pPr>
      <w:r>
        <w:rPr>
          <w:rFonts w:ascii="黑体;SimHei" w:hAnsi="黑体;SimHei" w:cs="黑体;SimHei" w:hint="eastAsia" w:eastAsia="黑体;SimHei"/>
          <w:bCs/>
          <w:sz w:val="32"/>
          <w:szCs w:val="32"/>
        </w:rPr>
        <w:t>第三十</w:t>
      </w:r>
      <w:r>
        <w:rPr>
          <w:rFonts w:ascii="黑体;SimHei" w:hAnsi="黑体;SimHei" w:cs="仿宋_GB2312" w:hint="eastAsia" w:eastAsia="黑体;SimHei"/>
          <w:bCs/>
          <w:kern w:val="0"/>
          <w:sz w:val="32"/>
          <w:szCs w:val="32"/>
        </w:rPr>
        <w:t>一</w:t>
      </w:r>
      <w:r>
        <w:rPr>
          <w:rFonts w:ascii="黑体;SimHei" w:hAnsi="黑体;SimHei" w:cs="黑体;SimHei" w:hint="eastAsia" w:eastAsia="黑体;SimHei"/>
          <w:bCs/>
          <w:sz w:val="32"/>
          <w:szCs w:val="32"/>
        </w:rPr>
        <w:t xml:space="preserve">条  </w:t>
      </w:r>
      <w:r>
        <w:rPr>
          <w:rFonts w:ascii="仿宋_GB2312" w:hAnsi="仿宋_GB2312" w:cs="仿宋_GB2312" w:hint="eastAsia" w:eastAsia="仿宋_GB2312"/>
          <w:sz w:val="32"/>
          <w:szCs w:val="32"/>
        </w:rPr>
        <w:t>违反本条例第二十</w:t>
      </w:r>
      <w:r>
        <w:rPr>
          <w:rFonts w:ascii="仿宋_GB2312" w:hAnsi="仿宋_GB2312" w:cs="仿宋_GB2312" w:hint="eastAsia" w:eastAsia="仿宋_GB2312"/>
          <w:kern w:val="0"/>
          <w:sz w:val="32"/>
          <w:szCs w:val="32"/>
        </w:rPr>
        <w:t>六</w:t>
      </w:r>
      <w:r>
        <w:rPr>
          <w:rFonts w:ascii="仿宋_GB2312" w:hAnsi="仿宋_GB2312" w:cs="仿宋_GB2312" w:hint="eastAsia" w:eastAsia="仿宋_GB2312"/>
          <w:sz w:val="32"/>
          <w:szCs w:val="32"/>
        </w:rPr>
        <w:t>条规定的，</w:t>
      </w:r>
      <w:r>
        <w:rPr>
          <w:rFonts w:ascii="仿宋_GB2312" w:hAnsi="仿宋_GB2312" w:cs="仿宋_GB2312" w:hint="eastAsia" w:eastAsia="仿宋_GB2312"/>
          <w:color w:val="000000"/>
          <w:sz w:val="32"/>
          <w:szCs w:val="32"/>
        </w:rPr>
        <w:t>由自治区通信管理机构按照下列规定给予罚款；</w:t>
      </w:r>
      <w:r>
        <w:rPr>
          <w:rFonts w:ascii="仿宋_GB2312" w:hAnsi="仿宋_GB2312" w:cs="仿宋_GB2312" w:hint="eastAsia" w:eastAsia="仿宋_GB2312"/>
          <w:sz w:val="32"/>
          <w:szCs w:val="32"/>
        </w:rPr>
        <w:t>造成损失的，依法承担民事责任；</w:t>
      </w:r>
      <w:r>
        <w:rPr>
          <w:rFonts w:ascii="仿宋_GB2312" w:hAnsi="仿宋_GB2312" w:cs="仿宋_GB2312" w:hint="eastAsia" w:eastAsia="仿宋_GB2312"/>
          <w:kern w:val="0"/>
          <w:sz w:val="32"/>
          <w:szCs w:val="32"/>
        </w:rPr>
        <w:t>构成</w:t>
      </w:r>
      <w:r>
        <w:rPr>
          <w:rFonts w:ascii="仿宋_GB2312" w:hAnsi="仿宋_GB2312" w:cs="仿宋_GB2312" w:hint="eastAsia" w:eastAsia="仿宋_GB2312"/>
          <w:sz w:val="32"/>
          <w:szCs w:val="32"/>
        </w:rPr>
        <w:t>治安管理</w:t>
      </w:r>
      <w:r>
        <w:rPr>
          <w:rFonts w:ascii="仿宋_GB2312" w:hAnsi="仿宋_GB2312" w:cs="仿宋_GB2312" w:hint="eastAsia" w:eastAsia="仿宋_GB2312"/>
          <w:kern w:val="0"/>
          <w:sz w:val="32"/>
          <w:szCs w:val="32"/>
        </w:rPr>
        <w:t>处罚行为</w:t>
      </w:r>
      <w:r>
        <w:rPr>
          <w:rFonts w:ascii="仿宋_GB2312" w:hAnsi="仿宋_GB2312" w:cs="仿宋_GB2312" w:hint="eastAsia" w:eastAsia="仿宋_GB2312"/>
          <w:sz w:val="32"/>
          <w:szCs w:val="32"/>
        </w:rPr>
        <w:t>的，</w:t>
      </w:r>
      <w:r>
        <w:rPr>
          <w:rFonts w:ascii="仿宋_GB2312" w:hAnsi="仿宋_GB2312" w:cs="仿宋_GB2312" w:hint="eastAsia" w:eastAsia="仿宋_GB2312"/>
          <w:kern w:val="0"/>
          <w:sz w:val="32"/>
          <w:szCs w:val="32"/>
        </w:rPr>
        <w:t>依法给予治安管理处罚</w:t>
      </w:r>
      <w:r>
        <w:rPr>
          <w:rFonts w:ascii="仿宋_GB2312" w:hAnsi="仿宋_GB2312" w:cs="仿宋_GB2312" w:hint="eastAsia" w:eastAsia="仿宋_GB2312"/>
          <w:sz w:val="32"/>
          <w:szCs w:val="32"/>
        </w:rPr>
        <w:t>；构成犯罪的，依法追究刑事责任：</w:t>
      </w:r>
    </w:p>
    <w:p>
      <w:pPr>
        <w:pStyle w:val="Normal"/>
        <w:spacing w:lineRule="exact" w:line="520"/>
        <w:ind w:firstLineChars="200" w:startChars="0" w:start="0" w:endChars="0" w:end="0"/>
        <w:rPr/>
      </w:pPr>
      <w:r>
        <w:rPr>
          <w:rFonts w:ascii="仿宋_GB2312" w:hAnsi="仿宋_GB2312" w:cs="仿宋_GB2312" w:hint="eastAsia" w:eastAsia="仿宋_GB2312"/>
          <w:sz w:val="32"/>
          <w:szCs w:val="32"/>
        </w:rPr>
        <w:t>（一）违反第一项至</w:t>
      </w:r>
      <w:r>
        <w:rPr>
          <w:rFonts w:ascii="仿宋_GB2312" w:hAnsi="仿宋_GB2312" w:cs="仿宋_GB2312" w:hint="eastAsia" w:eastAsia="仿宋_GB2312"/>
          <w:kern w:val="0"/>
          <w:sz w:val="32"/>
          <w:szCs w:val="32"/>
        </w:rPr>
        <w:t>五</w:t>
      </w:r>
      <w:r>
        <w:rPr>
          <w:rFonts w:ascii="仿宋_GB2312" w:hAnsi="仿宋_GB2312" w:cs="仿宋_GB2312" w:hint="eastAsia" w:eastAsia="仿宋_GB2312"/>
          <w:sz w:val="32"/>
          <w:szCs w:val="32"/>
        </w:rPr>
        <w:t>项规定的，对个人处</w:t>
      </w:r>
      <w:r>
        <w:rPr>
          <w:rFonts w:ascii="仿宋_GB2312" w:hAnsi="仿宋_GB2312" w:cs="仿宋_GB2312" w:hint="eastAsia" w:eastAsia="仿宋_GB2312"/>
          <w:kern w:val="0"/>
          <w:sz w:val="32"/>
          <w:szCs w:val="32"/>
        </w:rPr>
        <w:t>五千</w:t>
      </w:r>
      <w:r>
        <w:rPr>
          <w:rFonts w:ascii="仿宋_GB2312" w:hAnsi="仿宋_GB2312" w:cs="仿宋_GB2312" w:hint="eastAsia" w:eastAsia="仿宋_GB2312"/>
          <w:sz w:val="32"/>
          <w:szCs w:val="32"/>
        </w:rPr>
        <w:t>元以上</w:t>
      </w:r>
      <w:r>
        <w:rPr>
          <w:rFonts w:ascii="仿宋_GB2312" w:hAnsi="仿宋_GB2312" w:cs="仿宋_GB2312" w:hint="eastAsia" w:eastAsia="仿宋_GB2312"/>
          <w:kern w:val="0"/>
          <w:sz w:val="32"/>
          <w:szCs w:val="32"/>
        </w:rPr>
        <w:t>二</w:t>
      </w:r>
      <w:r>
        <w:rPr>
          <w:rFonts w:ascii="仿宋_GB2312" w:hAnsi="仿宋_GB2312" w:cs="仿宋_GB2312" w:hint="eastAsia" w:eastAsia="仿宋_GB2312"/>
          <w:sz w:val="32"/>
          <w:szCs w:val="32"/>
        </w:rPr>
        <w:t>万元以下罚款；对单位处</w:t>
      </w:r>
      <w:r>
        <w:rPr>
          <w:rFonts w:ascii="仿宋_GB2312" w:hAnsi="仿宋_GB2312" w:cs="仿宋_GB2312" w:hint="eastAsia" w:eastAsia="仿宋_GB2312"/>
          <w:kern w:val="0"/>
          <w:sz w:val="32"/>
          <w:szCs w:val="32"/>
        </w:rPr>
        <w:t>二</w:t>
      </w:r>
      <w:r>
        <w:rPr>
          <w:rFonts w:ascii="仿宋_GB2312" w:hAnsi="仿宋_GB2312" w:cs="仿宋_GB2312" w:hint="eastAsia" w:eastAsia="仿宋_GB2312"/>
          <w:sz w:val="32"/>
          <w:szCs w:val="32"/>
        </w:rPr>
        <w:t>万元以上</w:t>
      </w:r>
      <w:r>
        <w:rPr>
          <w:rFonts w:ascii="仿宋_GB2312" w:hAnsi="仿宋_GB2312" w:cs="仿宋_GB2312" w:hint="eastAsia" w:eastAsia="仿宋_GB2312"/>
          <w:kern w:val="0"/>
          <w:sz w:val="32"/>
          <w:szCs w:val="32"/>
        </w:rPr>
        <w:t>十</w:t>
      </w:r>
      <w:r>
        <w:rPr>
          <w:rFonts w:ascii="仿宋_GB2312" w:hAnsi="仿宋_GB2312" w:cs="仿宋_GB2312" w:hint="eastAsia" w:eastAsia="仿宋_GB2312"/>
          <w:sz w:val="32"/>
          <w:szCs w:val="32"/>
        </w:rPr>
        <w:t>万元以下罚款；</w:t>
      </w:r>
    </w:p>
    <w:p>
      <w:pPr>
        <w:pStyle w:val="Normal"/>
        <w:spacing w:lineRule="exact" w:line="520"/>
        <w:ind w:firstLineChars="200" w:startChars="0" w:start="0" w:endChars="0" w:end="0"/>
        <w:rPr/>
      </w:pPr>
      <w:r>
        <w:rPr>
          <w:rFonts w:ascii="仿宋_GB2312" w:hAnsi="仿宋_GB2312" w:cs="仿宋_GB2312" w:hint="eastAsia" w:eastAsia="仿宋_GB2312"/>
          <w:color w:val="000000"/>
          <w:sz w:val="32"/>
          <w:szCs w:val="32"/>
        </w:rPr>
        <w:t>（二）违反第</w:t>
      </w:r>
      <w:r>
        <w:rPr>
          <w:rFonts w:ascii="仿宋_GB2312" w:hAnsi="仿宋_GB2312" w:cs="仿宋_GB2312" w:hint="eastAsia" w:eastAsia="仿宋_GB2312"/>
          <w:kern w:val="0"/>
          <w:sz w:val="32"/>
          <w:szCs w:val="32"/>
        </w:rPr>
        <w:t>六</w:t>
      </w:r>
      <w:r>
        <w:rPr>
          <w:rFonts w:ascii="仿宋_GB2312" w:hAnsi="仿宋_GB2312" w:cs="仿宋_GB2312" w:hint="eastAsia" w:eastAsia="仿宋_GB2312"/>
          <w:color w:val="000000"/>
          <w:sz w:val="32"/>
          <w:szCs w:val="32"/>
        </w:rPr>
        <w:t>项、第</w:t>
      </w:r>
      <w:r>
        <w:rPr>
          <w:rFonts w:ascii="仿宋_GB2312" w:hAnsi="仿宋_GB2312" w:cs="仿宋_GB2312" w:hint="eastAsia" w:eastAsia="仿宋_GB2312"/>
          <w:kern w:val="0"/>
          <w:sz w:val="32"/>
          <w:szCs w:val="32"/>
        </w:rPr>
        <w:t>七</w:t>
      </w:r>
      <w:r>
        <w:rPr>
          <w:rFonts w:ascii="仿宋_GB2312" w:hAnsi="仿宋_GB2312" w:cs="仿宋_GB2312" w:hint="eastAsia" w:eastAsia="仿宋_GB2312"/>
          <w:color w:val="000000"/>
          <w:sz w:val="32"/>
          <w:szCs w:val="32"/>
        </w:rPr>
        <w:t>项规定的，</w:t>
      </w:r>
      <w:r>
        <w:rPr>
          <w:rFonts w:ascii="仿宋_GB2312" w:hAnsi="仿宋_GB2312" w:cs="仿宋_GB2312" w:hint="eastAsia" w:eastAsia="仿宋_GB2312"/>
          <w:sz w:val="32"/>
          <w:szCs w:val="32"/>
        </w:rPr>
        <w:t>对个人处</w:t>
      </w:r>
      <w:r>
        <w:rPr>
          <w:rFonts w:ascii="仿宋_GB2312" w:hAnsi="仿宋_GB2312" w:cs="仿宋_GB2312" w:hint="eastAsia" w:eastAsia="仿宋_GB2312"/>
          <w:kern w:val="0"/>
          <w:sz w:val="32"/>
          <w:szCs w:val="32"/>
        </w:rPr>
        <w:t>二千</w:t>
      </w:r>
      <w:r>
        <w:rPr>
          <w:rFonts w:ascii="仿宋_GB2312" w:hAnsi="仿宋_GB2312" w:cs="仿宋_GB2312" w:hint="eastAsia" w:eastAsia="仿宋_GB2312"/>
          <w:sz w:val="32"/>
          <w:szCs w:val="32"/>
        </w:rPr>
        <w:t>元以上</w:t>
      </w:r>
      <w:r>
        <w:rPr>
          <w:rFonts w:ascii="仿宋_GB2312" w:hAnsi="仿宋_GB2312" w:cs="仿宋_GB2312" w:hint="eastAsia" w:eastAsia="仿宋_GB2312"/>
          <w:kern w:val="0"/>
          <w:sz w:val="32"/>
          <w:szCs w:val="32"/>
        </w:rPr>
        <w:t>一</w:t>
      </w:r>
      <w:r>
        <w:rPr>
          <w:rFonts w:ascii="仿宋_GB2312" w:hAnsi="仿宋_GB2312" w:cs="仿宋_GB2312" w:hint="eastAsia" w:eastAsia="仿宋_GB2312"/>
          <w:sz w:val="32"/>
          <w:szCs w:val="32"/>
        </w:rPr>
        <w:t>万元以下罚款；对单位处</w:t>
      </w:r>
      <w:r>
        <w:rPr>
          <w:rFonts w:ascii="仿宋_GB2312" w:hAnsi="仿宋_GB2312" w:cs="仿宋_GB2312" w:hint="eastAsia" w:eastAsia="仿宋_GB2312"/>
          <w:kern w:val="0"/>
          <w:sz w:val="32"/>
          <w:szCs w:val="32"/>
        </w:rPr>
        <w:t>一</w:t>
      </w:r>
      <w:r>
        <w:rPr>
          <w:rFonts w:ascii="仿宋_GB2312" w:hAnsi="仿宋_GB2312" w:cs="仿宋_GB2312" w:hint="eastAsia" w:eastAsia="仿宋_GB2312"/>
          <w:sz w:val="32"/>
          <w:szCs w:val="32"/>
        </w:rPr>
        <w:t>万元以上</w:t>
      </w:r>
      <w:r>
        <w:rPr>
          <w:rFonts w:ascii="仿宋_GB2312" w:hAnsi="仿宋_GB2312" w:cs="仿宋_GB2312" w:hint="eastAsia" w:eastAsia="仿宋_GB2312"/>
          <w:kern w:val="0"/>
          <w:sz w:val="32"/>
          <w:szCs w:val="32"/>
        </w:rPr>
        <w:t>五</w:t>
      </w:r>
      <w:r>
        <w:rPr>
          <w:rFonts w:ascii="仿宋_GB2312" w:hAnsi="仿宋_GB2312" w:cs="仿宋_GB2312" w:hint="eastAsia" w:eastAsia="仿宋_GB2312"/>
          <w:sz w:val="32"/>
          <w:szCs w:val="32"/>
        </w:rPr>
        <w:t>万元以下罚款。</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bCs/>
          <w:sz w:val="32"/>
          <w:szCs w:val="32"/>
        </w:rPr>
        <w:t>第三十</w:t>
      </w:r>
      <w:r>
        <w:rPr>
          <w:rFonts w:ascii="黑体;SimHei" w:hAnsi="黑体;SimHei" w:cs="仿宋_GB2312" w:hint="eastAsia" w:eastAsia="黑体;SimHei"/>
          <w:bCs/>
          <w:kern w:val="0"/>
          <w:sz w:val="32"/>
          <w:szCs w:val="32"/>
        </w:rPr>
        <w:t>二</w:t>
      </w:r>
      <w:r>
        <w:rPr>
          <w:rFonts w:ascii="黑体;SimHei" w:hAnsi="黑体;SimHei" w:cs="黑体;SimHei" w:hint="eastAsia" w:eastAsia="黑体;SimHei"/>
          <w:bCs/>
          <w:sz w:val="32"/>
          <w:szCs w:val="32"/>
        </w:rPr>
        <w:t>条</w:t>
      </w:r>
      <w:r>
        <w:rPr>
          <w:rFonts w:ascii="仿宋_GB2312" w:hAnsi="仿宋_GB2312" w:cs="黑体;SimHei" w:hint="eastAsia" w:eastAsia="仿宋_GB2312"/>
          <w:bCs/>
          <w:sz w:val="32"/>
          <w:szCs w:val="32"/>
        </w:rPr>
        <w:t xml:space="preserve">  </w:t>
      </w:r>
      <w:r>
        <w:rPr>
          <w:rFonts w:ascii="仿宋_GB2312" w:hAnsi="仿宋_GB2312" w:cs="仿宋_GB2312" w:hint="eastAsia" w:eastAsia="仿宋_GB2312"/>
          <w:sz w:val="32"/>
          <w:szCs w:val="32"/>
        </w:rPr>
        <w:t>违反本条例第</w:t>
      </w:r>
      <w:r>
        <w:rPr>
          <w:rFonts w:ascii="仿宋_GB2312" w:hAnsi="仿宋_GB2312" w:cs="仿宋_GB2312" w:hint="eastAsia" w:eastAsia="仿宋_GB2312"/>
          <w:kern w:val="0"/>
          <w:sz w:val="32"/>
          <w:szCs w:val="32"/>
        </w:rPr>
        <w:t>二</w:t>
      </w:r>
      <w:r>
        <w:rPr>
          <w:rFonts w:ascii="仿宋_GB2312" w:hAnsi="仿宋_GB2312" w:cs="仿宋_GB2312" w:hint="eastAsia" w:eastAsia="仿宋_GB2312"/>
          <w:sz w:val="32"/>
          <w:szCs w:val="32"/>
        </w:rPr>
        <w:t>十</w:t>
      </w:r>
      <w:r>
        <w:rPr>
          <w:rFonts w:ascii="仿宋_GB2312" w:hAnsi="仿宋_GB2312" w:cs="仿宋_GB2312" w:hint="eastAsia" w:eastAsia="仿宋_GB2312"/>
          <w:kern w:val="0"/>
          <w:sz w:val="32"/>
          <w:szCs w:val="32"/>
        </w:rPr>
        <w:t>八</w:t>
      </w:r>
      <w:r>
        <w:rPr>
          <w:rFonts w:ascii="仿宋_GB2312" w:hAnsi="仿宋_GB2312" w:cs="仿宋_GB2312" w:hint="eastAsia" w:eastAsia="仿宋_GB2312"/>
          <w:sz w:val="32"/>
          <w:szCs w:val="32"/>
        </w:rPr>
        <w:t>条规定的，由公安、工商或者商务部门按照各自职责依法予以查处。</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bCs/>
          <w:sz w:val="32"/>
          <w:szCs w:val="32"/>
        </w:rPr>
        <w:t>第三十</w:t>
      </w:r>
      <w:r>
        <w:rPr>
          <w:rFonts w:ascii="黑体;SimHei" w:hAnsi="黑体;SimHei" w:cs="仿宋_GB2312" w:hint="eastAsia" w:eastAsia="黑体;SimHei"/>
          <w:bCs/>
          <w:kern w:val="0"/>
          <w:sz w:val="32"/>
          <w:szCs w:val="32"/>
        </w:rPr>
        <w:t>三</w:t>
      </w:r>
      <w:r>
        <w:rPr>
          <w:rFonts w:ascii="黑体;SimHei" w:hAnsi="黑体;SimHei" w:cs="黑体;SimHei" w:hint="eastAsia" w:eastAsia="黑体;SimHei"/>
          <w:bCs/>
          <w:sz w:val="32"/>
          <w:szCs w:val="32"/>
        </w:rPr>
        <w:t xml:space="preserve">条 </w:t>
      </w:r>
      <w:r>
        <w:rPr>
          <w:rFonts w:ascii="仿宋_GB2312" w:hAnsi="仿宋_GB2312" w:cs="宋体;SimSun" w:hint="eastAsia" w:eastAsia="仿宋_GB2312"/>
          <w:color w:val="000000"/>
          <w:sz w:val="32"/>
          <w:szCs w:val="32"/>
        </w:rPr>
        <w:t>对违反本条例规定</w:t>
      </w:r>
      <w:r>
        <w:rPr>
          <w:rFonts w:ascii="仿宋_GB2312" w:hAnsi="仿宋_GB2312" w:cs="仿宋_GB2312" w:hint="eastAsia" w:eastAsia="仿宋_GB2312"/>
          <w:kern w:val="0"/>
          <w:sz w:val="32"/>
          <w:szCs w:val="32"/>
        </w:rPr>
        <w:t>应当承担法律责任</w:t>
      </w:r>
      <w:r>
        <w:rPr>
          <w:rFonts w:ascii="仿宋_GB2312" w:hAnsi="仿宋_GB2312" w:cs="宋体;SimSun" w:hint="eastAsia" w:eastAsia="仿宋_GB2312"/>
          <w:color w:val="000000"/>
          <w:sz w:val="32"/>
          <w:szCs w:val="32"/>
        </w:rPr>
        <w:t>的</w:t>
      </w:r>
      <w:r>
        <w:rPr>
          <w:rFonts w:ascii="仿宋_GB2312" w:hAnsi="仿宋_GB2312" w:cs="仿宋_GB2312" w:hint="eastAsia" w:eastAsia="仿宋_GB2312"/>
          <w:kern w:val="0"/>
          <w:sz w:val="32"/>
          <w:szCs w:val="32"/>
        </w:rPr>
        <w:t>其他</w:t>
      </w:r>
      <w:r>
        <w:rPr>
          <w:rFonts w:ascii="仿宋_GB2312" w:hAnsi="仿宋_GB2312" w:cs="宋体;SimSun" w:hint="eastAsia" w:eastAsia="仿宋_GB2312"/>
          <w:color w:val="000000"/>
          <w:sz w:val="32"/>
          <w:szCs w:val="32"/>
        </w:rPr>
        <w:t>行为，</w:t>
      </w:r>
      <w:r>
        <w:rPr>
          <w:rFonts w:ascii="仿宋_GB2312" w:hAnsi="仿宋_GB2312" w:cs="仿宋_GB2312" w:hint="eastAsia" w:eastAsia="仿宋_GB2312"/>
          <w:kern w:val="0"/>
          <w:sz w:val="32"/>
          <w:szCs w:val="32"/>
        </w:rPr>
        <w:t>依照有关法律、法规执行。</w:t>
      </w:r>
    </w:p>
    <w:p>
      <w:pPr>
        <w:pStyle w:val="Normal"/>
        <w:spacing w:lineRule="exact" w:line="52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3"/>
        </w:numPr>
        <w:spacing w:lineRule="exact" w:line="520"/>
        <w:jc w:val="center"/>
        <w:rPr>
          <w:rFonts w:ascii="黑体;SimHei" w:hAnsi="黑体;SimHei" w:eastAsia="黑体;SimHei" w:cs="黑体;SimHei" w:hint="eastAsia"/>
          <w:sz w:val="32"/>
          <w:szCs w:val="32"/>
        </w:rPr>
      </w:pPr>
      <w:r>
        <w:rPr>
          <w:rFonts w:eastAsia="黑体;SimHei" w:cs="宋体;SimSun" w:hint="eastAsia" w:ascii="宋体;SimSun" w:hAnsi="宋体;SimSun"/>
          <w:sz w:val="32"/>
          <w:szCs w:val="32"/>
        </w:rPr>
        <w:t>  </w:t>
      </w:r>
      <w:r>
        <w:rPr>
          <w:rFonts w:ascii="黑体;SimHei" w:hAnsi="黑体;SimHei" w:cs="黑体;SimHei" w:hint="eastAsia" w:eastAsia="黑体;SimHei"/>
          <w:sz w:val="32"/>
          <w:szCs w:val="32"/>
        </w:rPr>
        <w:t>附</w:t>
      </w:r>
      <w:r>
        <w:rPr>
          <w:rFonts w:ascii="宋体;SimSun" w:hAnsi="宋体;SimSun" w:cs="宋体;SimSun" w:hint="eastAsia" w:eastAsia="黑体;SimHei"/>
          <w:sz w:val="32"/>
          <w:szCs w:val="32"/>
        </w:rPr>
        <w:t> </w:t>
      </w:r>
      <w:r>
        <w:rPr>
          <w:rFonts w:ascii="黑体;SimHei" w:hAnsi="黑体;SimHei" w:cs="黑体;SimHei" w:hint="eastAsia" w:eastAsia="黑体;SimHei"/>
          <w:sz w:val="32"/>
          <w:szCs w:val="32"/>
        </w:rPr>
        <w:t>则</w:t>
      </w:r>
    </w:p>
    <w:p>
      <w:pPr>
        <w:pStyle w:val="Normal"/>
        <w:spacing w:lineRule="exact" w:line="520"/>
        <w:ind w:firstLineChars="200" w:startChars="0" w:start="0" w:endChars="0" w:end="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520"/>
        <w:ind w:firstLineChars="200" w:startChars="0" w:start="0" w:endChars="0" w:end="0"/>
        <w:rPr/>
      </w:pPr>
      <w:r>
        <w:rPr>
          <w:rFonts w:ascii="黑体;SimHei" w:hAnsi="黑体;SimHei" w:cs="黑体;SimHei" w:hint="eastAsia" w:eastAsia="黑体;SimHei"/>
          <w:bCs/>
          <w:sz w:val="32"/>
          <w:szCs w:val="32"/>
        </w:rPr>
        <w:t>第</w:t>
      </w:r>
      <w:r>
        <w:rPr>
          <w:rFonts w:ascii="黑体;SimHei" w:hAnsi="黑体;SimHei" w:cs="仿宋_GB2312" w:hint="eastAsia" w:eastAsia="黑体;SimHei"/>
          <w:bCs/>
          <w:kern w:val="0"/>
          <w:sz w:val="32"/>
          <w:szCs w:val="32"/>
        </w:rPr>
        <w:t>三</w:t>
      </w:r>
      <w:r>
        <w:rPr>
          <w:rFonts w:ascii="黑体;SimHei" w:hAnsi="黑体;SimHei" w:cs="黑体;SimHei" w:hint="eastAsia" w:eastAsia="黑体;SimHei"/>
          <w:bCs/>
          <w:sz w:val="32"/>
          <w:szCs w:val="32"/>
        </w:rPr>
        <w:t xml:space="preserve">十四条 </w:t>
      </w:r>
      <w:r>
        <w:rPr>
          <w:rFonts w:ascii="仿宋_GB2312" w:hAnsi="仿宋_GB2312" w:cs="黑体;SimHei" w:hint="eastAsia" w:eastAsia="仿宋_GB2312"/>
          <w:bCs/>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2017</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footerReference w:type="first" r:id="rId3"/>
      <w:type w:val="nextPage"/>
      <w:pgSz w:w="11906" w:h="16838"/>
      <w:pgMar w:left="1417" w:right="1417" w:gutter="0" w:header="0" w:top="2041" w:footer="992" w:bottom="1701"/>
      <w:pgNumType w:fmt="decimal"/>
      <w:formProt w:val="false"/>
      <w:titlePg/>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楷体">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8" behindDoc="1" locked="0" layoutInCell="0" allowOverlap="1">
              <wp:simplePos x="0" y="0"/>
              <wp:positionH relativeFrom="margin">
                <wp:align>center</wp:align>
              </wp:positionH>
              <wp:positionV relativeFrom="paragraph">
                <wp:posOffset>635</wp:posOffset>
              </wp:positionV>
              <wp:extent cx="78105" cy="176530"/>
              <wp:effectExtent l="0" t="0" r="0" b="0"/>
              <wp:wrapNone/>
              <wp:docPr id="1" name="Frame2"/>
              <a:graphic xmlns:a="http://schemas.openxmlformats.org/drawingml/2006/main">
                <a:graphicData uri="http://schemas.microsoft.com/office/word/2010/wordprocessingShape">
                  <wps:wsp>
                    <wps:cNvSpPr txBox="1"/>
                    <wps:spPr>
                      <a:xfrm>
                        <a:off x="0" y="0"/>
                        <a:ext cx="78105" cy="176530"/>
                      </a:xfrm>
                      <a:prstGeom prst="rect"/>
                      <a:solidFill>
                        <a:srgbClr val="FFFFFF">
                          <a:alpha val="0"/>
                        </a:srgbClr>
                      </a:solidFill>
                    </wps:spPr>
                    <wps:txbx>
                      <w:txbxContent>
                        <w:p>
                          <w:pPr>
                            <w:pStyle w:val="Foo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8</w:t>
                          </w:r>
                          <w:r>
                            <w:rPr>
                              <w:sz w:val="24"/>
                              <w:szCs w:val="24"/>
                            </w:rPr>
                            <w:fldChar w:fldCharType="end"/>
                          </w:r>
                        </w:p>
                      </w:txbxContent>
                    </wps:txbx>
                    <wps:bodyPr anchor="t" lIns="635" tIns="635" rIns="635" bIns="635">
                      <a:spAutoFit/>
                    </wps:bodyPr>
                  </wps:wsp>
                </a:graphicData>
              </a:graphic>
            </wp:anchor>
          </w:drawing>
        </mc:Choice>
        <mc:Fallback>
          <w:pict>
            <v:rect fillcolor="#FFFFFF" style="position:absolute;rotation:-0;width:6.15pt;height:13.9pt;mso-wrap-distance-left:9.05pt;mso-wrap-distance-right:9.05pt;mso-wrap-distance-top:0pt;mso-wrap-distance-bottom:0pt;margin-top:0pt;mso-position-vertical-relative:text;margin-left:223.75pt;mso-position-horizontal:center;mso-position-horizontal-relative:margin">
              <v:fill opacity="0f"/>
              <v:textbox inset="0.000694444444444445in,0.000694444444444445in,0.000694444444444445in,0.000694444444444445in">
                <w:txbxContent>
                  <w:p>
                    <w:pPr>
                      <w:pStyle w:val="Foo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8</w:t>
                    </w:r>
                    <w:r>
                      <w:rPr>
                        <w:sz w:val="24"/>
                        <w:szCs w:val="24"/>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4"/>
        <w:szCs w:val="24"/>
      </w:rPr>
    </w:pPr>
    <w:r>
      <w:rPr>
        <w:sz w:val="24"/>
        <w:szCs w:val="24"/>
      </w:rPr>
    </w:r>
    <w:r>
      <mc:AlternateContent>
        <mc:Choice Requires="wps">
          <w:drawing>
            <wp:anchor distT="0" distB="0" distL="114935" distR="114935" simplePos="0" relativeHeight="9" behindDoc="1" locked="0" layoutInCell="0" allowOverlap="1">
              <wp:simplePos x="0" y="0"/>
              <wp:positionH relativeFrom="margin">
                <wp:align>center</wp:align>
              </wp:positionH>
              <wp:positionV relativeFrom="paragraph">
                <wp:posOffset>635</wp:posOffset>
              </wp:positionV>
              <wp:extent cx="78105" cy="176530"/>
              <wp:effectExtent l="0" t="0" r="0" b="0"/>
              <wp:wrapNone/>
              <wp:docPr id="2" name="Frame1"/>
              <a:graphic xmlns:a="http://schemas.openxmlformats.org/drawingml/2006/main">
                <a:graphicData uri="http://schemas.microsoft.com/office/word/2010/wordprocessingShape">
                  <wps:wsp>
                    <wps:cNvSpPr txBox="1"/>
                    <wps:spPr>
                      <a:xfrm>
                        <a:off x="0" y="0"/>
                        <a:ext cx="78105" cy="176530"/>
                      </a:xfrm>
                      <a:prstGeom prst="rect"/>
                      <a:solidFill>
                        <a:srgbClr val="FFFFFF">
                          <a:alpha val="0"/>
                        </a:srgbClr>
                      </a:solidFill>
                    </wps:spPr>
                    <wps:txbx>
                      <w:txbxContent>
                        <w:p>
                          <w:pPr>
                            <w:pStyle w:val="Footer"/>
                            <w:jc w:val="cen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txbxContent>
                    </wps:txbx>
                    <wps:bodyPr anchor="t" lIns="635" tIns="635" rIns="635" bIns="635">
                      <a:spAutoFit/>
                    </wps:bodyPr>
                  </wps:wsp>
                </a:graphicData>
              </a:graphic>
            </wp:anchor>
          </w:drawing>
        </mc:Choice>
        <mc:Fallback>
          <w:pict>
            <v:rect fillcolor="#FFFFFF" style="position:absolute;rotation:-0;width:6.15pt;height:13.9pt;mso-wrap-distance-left:9.05pt;mso-wrap-distance-right:9.05pt;mso-wrap-distance-top:0pt;mso-wrap-distance-bottom:0pt;margin-top:0pt;mso-position-vertical-relative:text;margin-left:223.75pt;mso-position-horizontal:center;mso-position-horizontal-relative:margin">
              <v:fill opacity="0f"/>
              <v:textbox inset="0.000694444444444445in,0.000694444444444445in,0.000694444444444445in,0.000694444444444445in">
                <w:txbxContent>
                  <w:p>
                    <w:pPr>
                      <w:pStyle w:val="Footer"/>
                      <w:jc w:val="cen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txbxContent>
              </v:textbox>
              <w10:wrap type="none"/>
            </v:rect>
          </w:pict>
        </mc:Fallback>
      </mc:AlternateContent>
    </w:r>
  </w:p>
  <w:p>
    <w:pPr>
      <w:pStyle w:val="Footer"/>
      <w:rPr>
        <w:sz w:val="24"/>
        <w:szCs w:val="24"/>
      </w:rPr>
    </w:pPr>
    <w:r>
      <w:rPr>
        <w:sz w:val="24"/>
        <w:szCs w:val="24"/>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5"/>
      <w:numFmt w:val="taiwaneseCountingThousand"/>
      <w:suff w:val="nothing"/>
      <w:lvlText w:val="第%1章"/>
      <w:lvlJc w:val="start"/>
      <w:pPr>
        <w:tabs>
          <w:tab w:val="num" w:pos="0"/>
        </w:tabs>
        <w:ind w:start="0" w:hanging="0"/>
      </w:pPr>
    </w:lvl>
  </w:abstractNum>
  <w:num w:numId="1">
    <w:abstractNumId w:val="1"/>
  </w:num>
  <w:num w:numId="2">
    <w:abstractNumId w:val="2"/>
  </w:num>
  <w:num w:numId="3">
    <w:abstractNumId w:val="2"/>
    <w:lvlOverride w:ilvl="0">
      <w:startOverride w:val="5"/>
    </w:lvlOverride>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SimHei" w:cs="Arial"/>
      <w:b/>
      <w:sz w:val="32"/>
    </w:rPr>
  </w:style>
  <w:style w:type="character" w:styleId="Style13">
    <w:name w:val="默认段落字体"/>
    <w:qFormat/>
    <w:rPr/>
  </w:style>
  <w:style w:type="character" w:styleId="Char">
    <w:name w:val="页脚 Char"/>
    <w:basedOn w:val="Style13"/>
    <w:qFormat/>
    <w:rPr>
      <w:kern w:val="2"/>
      <w:sz w:val="18"/>
      <w:szCs w:val="18"/>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2017-09-22T10:45:00Z</dcterms:created>
  <dc:creator>mn</dc:creator>
  <dc:description/>
  <cp:keywords/>
  <dc:language>en-US</dc:language>
  <cp:lastModifiedBy>Z</cp:lastModifiedBy>
  <cp:lastPrinted>2017-09-26T16:46:00Z</cp:lastPrinted>
  <dcterms:modified xsi:type="dcterms:W3CDTF">2019-11-19T19:02:00Z</dcterms:modified>
  <cp:revision>2</cp:revision>
  <dc:subject/>
  <dc:title>新疆维吾尔自治区地下水资源管理条例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