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rPr>
      </w:pPr>
      <w:r>
        <w:rPr>
          <w:rFonts w:eastAsia="宋体" w:cs="宋体" w:hint="eastAsia" w:ascii="宋体" w:hAnsi="宋体"/>
        </w:rPr>
      </w:r>
    </w:p>
    <w:p>
      <w:pPr>
        <w:pStyle w:val="Normal"/>
        <w:widowControl/>
        <w:snapToGrid w:val="false"/>
        <w:spacing w:lineRule="exact" w:line="560"/>
        <w:jc w:val="center"/>
        <w:rPr>
          <w:rFonts w:ascii="宋体" w:hAnsi="宋体" w:eastAsia="宋体" w:cs="宋体" w:hint="eastAsia"/>
          <w:kern w:val="0"/>
          <w:sz w:val="44"/>
          <w:szCs w:val="44"/>
        </w:rPr>
      </w:pPr>
      <w:r>
        <w:rPr>
          <w:rFonts w:ascii="宋体" w:hAnsi="宋体" w:cs="宋体" w:hint="eastAsia" w:eastAsia="宋体"/>
          <w:kern w:val="0"/>
          <w:sz w:val="44"/>
          <w:szCs w:val="44"/>
        </w:rPr>
        <w:t>塔城市河流生态保护条例</w:t>
      </w:r>
    </w:p>
    <w:p>
      <w:pPr>
        <w:pStyle w:val="Normal"/>
        <w:widowControl/>
        <w:snapToGrid w:val="false"/>
        <w:spacing w:lineRule="exact" w:line="560"/>
        <w:jc w:val="center"/>
        <w:rPr>
          <w:rFonts w:ascii="楷体" w:hAnsi="楷体" w:eastAsia="楷体" w:cs="楷体" w:hint="eastAsia"/>
          <w:kern w:val="0"/>
        </w:rPr>
      </w:pPr>
      <w:r>
        <w:rPr>
          <w:rFonts w:hint="eastAsia"/>
          <w:kern w:val="0"/>
          <w:sz w:val="24"/>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300" w:endChars="300"/>
        <w:jc w:val="distribute"/>
        <w:textAlignment w:val="auto"/>
        <w:rPr>
          <w:rFonts w:ascii="楷体_GB2312" w:hAnsi="楷体_GB2312" w:eastAsia="楷体_GB2312" w:cs="楷体_GB2312" w:hint="eastAsia"/>
          <w:spacing w:val="6"/>
          <w:kern w:val="2"/>
        </w:rPr>
      </w:pPr>
      <w:r>
        <w:rPr>
          <w:rFonts w:ascii="楷体_GB2312" w:hAnsi="楷体_GB2312" w:cs="楷体_GB2312" w:hint="eastAsia" w:eastAsia="楷体_GB2312"/>
          <w:spacing w:val="6"/>
          <w:kern w:val="2"/>
        </w:rPr>
        <w:t>（</w:t>
      </w:r>
      <w:r>
        <w:rPr>
          <w:rFonts w:eastAsia="楷体_GB2312" w:cs="楷体_GB2312" w:hint="eastAsia" w:ascii="楷体_GB2312" w:hAnsi="楷体_GB2312"/>
          <w:spacing w:val="6"/>
          <w:kern w:val="2"/>
        </w:rPr>
        <w:t>2017</w:t>
      </w:r>
      <w:r>
        <w:rPr>
          <w:rFonts w:ascii="楷体_GB2312" w:hAnsi="楷体_GB2312" w:cs="楷体_GB2312" w:hint="eastAsia" w:eastAsia="楷体_GB2312"/>
          <w:spacing w:val="6"/>
          <w:kern w:val="2"/>
        </w:rPr>
        <w:t>年</w:t>
      </w:r>
      <w:r>
        <w:rPr>
          <w:rFonts w:eastAsia="楷体_GB2312" w:cs="楷体_GB2312" w:hint="eastAsia" w:ascii="楷体_GB2312" w:hAnsi="楷体_GB2312"/>
          <w:spacing w:val="6"/>
          <w:kern w:val="2"/>
        </w:rPr>
        <w:t>4</w:t>
      </w:r>
      <w:r>
        <w:rPr>
          <w:rFonts w:ascii="楷体_GB2312" w:hAnsi="楷体_GB2312" w:cs="楷体_GB2312" w:hint="eastAsia" w:eastAsia="楷体_GB2312"/>
          <w:spacing w:val="6"/>
          <w:kern w:val="2"/>
        </w:rPr>
        <w:t>月</w:t>
      </w:r>
      <w:r>
        <w:rPr>
          <w:rFonts w:eastAsia="楷体_GB2312" w:cs="楷体_GB2312" w:hint="eastAsia" w:ascii="楷体_GB2312" w:hAnsi="楷体_GB2312"/>
          <w:spacing w:val="6"/>
          <w:kern w:val="2"/>
        </w:rPr>
        <w:t>25</w:t>
      </w:r>
      <w:r>
        <w:rPr>
          <w:rFonts w:ascii="楷体_GB2312" w:hAnsi="楷体_GB2312" w:cs="楷体_GB2312" w:hint="eastAsia" w:eastAsia="楷体_GB2312"/>
          <w:spacing w:val="6"/>
          <w:kern w:val="2"/>
        </w:rPr>
        <w:t xml:space="preserve">日伊犁哈萨克自治州第十四届人民代表大会常务委员会第三次会议通过  </w:t>
      </w:r>
      <w:r>
        <w:rPr>
          <w:rStyle w:val="Strong"/>
          <w:rFonts w:eastAsia="楷体_GB2312" w:cs="楷体_GB2312" w:hint="eastAsia" w:ascii="楷体_GB2312" w:hAnsi="楷体_GB2312"/>
          <w:b w:val="false"/>
          <w:spacing w:val="6"/>
          <w:kern w:val="2"/>
        </w:rPr>
        <w:t>2017</w:t>
      </w:r>
      <w:r>
        <w:rPr>
          <w:rStyle w:val="Strong"/>
          <w:rFonts w:ascii="楷体_GB2312" w:hAnsi="楷体_GB2312" w:cs="楷体_GB2312" w:hint="eastAsia" w:eastAsia="楷体_GB2312"/>
          <w:b w:val="false"/>
          <w:spacing w:val="6"/>
          <w:kern w:val="2"/>
        </w:rPr>
        <w:t>年</w:t>
      </w:r>
      <w:r>
        <w:rPr>
          <w:rStyle w:val="Strong"/>
          <w:rFonts w:eastAsia="楷体_GB2312" w:cs="楷体_GB2312" w:hint="eastAsia" w:ascii="楷体_GB2312" w:hAnsi="楷体_GB2312"/>
          <w:b w:val="false"/>
          <w:spacing w:val="6"/>
          <w:kern w:val="2"/>
        </w:rPr>
        <w:t>7</w:t>
      </w:r>
      <w:r>
        <w:rPr>
          <w:rStyle w:val="Strong"/>
          <w:rFonts w:ascii="楷体_GB2312" w:hAnsi="楷体_GB2312" w:cs="楷体_GB2312" w:hint="eastAsia" w:eastAsia="楷体_GB2312"/>
          <w:b w:val="false"/>
          <w:spacing w:val="6"/>
          <w:kern w:val="2"/>
        </w:rPr>
        <w:t>月</w:t>
      </w:r>
      <w:r>
        <w:rPr>
          <w:rStyle w:val="Strong"/>
          <w:rFonts w:eastAsia="楷体_GB2312" w:cs="楷体_GB2312" w:hint="eastAsia" w:ascii="楷体_GB2312" w:hAnsi="楷体_GB2312"/>
          <w:b w:val="false"/>
          <w:spacing w:val="6"/>
          <w:kern w:val="2"/>
        </w:rPr>
        <w:t>28</w:t>
      </w:r>
      <w:r>
        <w:rPr>
          <w:rStyle w:val="Strong"/>
          <w:rFonts w:ascii="楷体_GB2312" w:hAnsi="楷体_GB2312" w:cs="楷体_GB2312" w:hint="eastAsia" w:eastAsia="楷体_GB2312"/>
          <w:b w:val="false"/>
          <w:spacing w:val="6"/>
          <w:kern w:val="2"/>
        </w:rPr>
        <w:t>日经新疆维吾尔自治区第十二届人民代表大会常务委员会第三十次会议批准</w:t>
      </w:r>
      <w:r>
        <w:rPr>
          <w:rFonts w:ascii="楷体_GB2312" w:hAnsi="楷体_GB2312" w:cs="楷体_GB2312" w:hint="eastAsia" w:eastAsia="楷体_GB2312"/>
          <w:spacing w:val="6"/>
          <w:kern w:val="2"/>
        </w:rPr>
        <w:t>）</w:t>
      </w:r>
    </w:p>
    <w:p>
      <w:pPr>
        <w:pStyle w:val="Normal"/>
        <w:widowControl/>
        <w:snapToGrid w:val="false"/>
        <w:spacing w:lineRule="exact" w:line="560"/>
        <w:jc w:val="center"/>
        <w:rPr>
          <w:rFonts w:ascii="黑体" w:hAnsi="黑体" w:eastAsia="黑体" w:cs="宋体" w:hint="eastAsia"/>
          <w:spacing w:val="6"/>
          <w:kern w:val="2"/>
        </w:rPr>
      </w:pPr>
      <w:r>
        <w:rPr>
          <w:rFonts w:eastAsia="黑体" w:cs="宋体" w:hint="eastAsia" w:ascii="黑体" w:hAnsi="黑体"/>
          <w:spacing w:val="6"/>
          <w:kern w:val="2"/>
        </w:rPr>
      </w:r>
    </w:p>
    <w:p>
      <w:pPr>
        <w:pStyle w:val="Normal"/>
        <w:widowControl/>
        <w:snapToGrid w:val="false"/>
        <w:spacing w:lineRule="exact" w:line="560"/>
        <w:jc w:val="center"/>
        <w:rPr>
          <w:rFonts w:ascii="楷体" w:hAnsi="楷体" w:eastAsia="楷体" w:cs="宋体" w:hint="eastAsia"/>
          <w:spacing w:val="6"/>
          <w:kern w:val="0"/>
        </w:rPr>
      </w:pPr>
      <w:r>
        <w:rPr>
          <w:rFonts w:eastAsia="楷体" w:cs="宋体" w:hint="eastAsia" w:ascii="楷体" w:hAnsi="楷体"/>
          <w:spacing w:val="6"/>
          <w:kern w:val="0"/>
        </w:rPr>
      </w:r>
    </w:p>
    <w:p>
      <w:pPr>
        <w:pStyle w:val="Normal"/>
        <w:widowControl/>
        <w:snapToGrid w:val="false"/>
        <w:spacing w:lineRule="exact" w:line="560"/>
        <w:jc w:val="center"/>
        <w:rPr>
          <w:rFonts w:ascii="黑体" w:hAnsi="黑体" w:eastAsia="黑体" w:cs="宋体" w:hint="eastAsia"/>
          <w:kern w:val="0"/>
        </w:rPr>
      </w:pPr>
      <w:r>
        <w:rPr>
          <w:rFonts w:ascii="黑体" w:hAnsi="黑体" w:cs="宋体" w:hint="eastAsia" w:eastAsia="黑体"/>
          <w:kern w:val="0"/>
        </w:rPr>
        <w:t>第一章 总则</w:t>
      </w:r>
    </w:p>
    <w:p>
      <w:pPr>
        <w:pStyle w:val="Normal"/>
        <w:widowControl/>
        <w:snapToGrid w:val="false"/>
        <w:spacing w:lineRule="exact" w:line="560"/>
        <w:jc w:val="center"/>
        <w:rPr>
          <w:rFonts w:ascii="黑体" w:hAnsi="黑体" w:eastAsia="黑体" w:cs="宋体" w:hint="eastAsia"/>
          <w:kern w:val="0"/>
          <w:sz w:val="24"/>
        </w:rPr>
      </w:pPr>
      <w:r>
        <w:rPr>
          <w:rFonts w:eastAsia="黑体" w:cs="宋体" w:hint="eastAsia" w:ascii="黑体" w:hAnsi="黑体"/>
          <w:kern w:val="0"/>
          <w:sz w:val="24"/>
        </w:rPr>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第一条 </w:t>
      </w:r>
      <w:r>
        <w:rPr>
          <w:rFonts w:cs="宋体" w:hint="eastAsia"/>
          <w:kern w:val="0"/>
        </w:rPr>
        <w:t>为加强塔城市河流的管理，保护和改善生态环境，保障其排水、防洪、灌溉、除涝、景观等功能，实现综合效益，根据《中华人民共和国水法》、《中华人民共和国环境保护法》、《中华人民共和国河道管理条例》等国家、自治区有关法律、法规，结合塔城市实际，制定本条例。</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第二条 </w:t>
      </w:r>
      <w:r>
        <w:rPr>
          <w:rFonts w:cs="宋体" w:hint="eastAsia"/>
          <w:kern w:val="0"/>
        </w:rPr>
        <w:t>本条例所称塔城市河流指自北向南流经塔城市行政区划内的五条河流水域及河道（本条例简称为五条河流）。由西向东分别是乌拉斯台河（含发展河、萨孜河支流）、加吾日塔木河（含喀拉墩河支流）、城东河、清水河、喀浪古尔河。范围为北起塔尔巴哈台山，南至额敏河库鲁斯台草原段。</w:t>
      </w:r>
    </w:p>
    <w:p>
      <w:pPr>
        <w:pStyle w:val="Normal"/>
        <w:snapToGrid w:val="false"/>
        <w:spacing w:lineRule="exact" w:line="560"/>
        <w:ind w:firstLine="627" w:end="0"/>
        <w:rPr>
          <w:rFonts w:cs="宋体" w:hint="eastAsia"/>
          <w:kern w:val="0"/>
        </w:rPr>
      </w:pPr>
      <w:r>
        <w:rPr>
          <w:rFonts w:ascii="黑体" w:hAnsi="黑体" w:cs="宋体" w:hint="eastAsia" w:eastAsia="黑体"/>
          <w:kern w:val="0"/>
        </w:rPr>
        <w:t xml:space="preserve">第三条 </w:t>
      </w:r>
      <w:r>
        <w:rPr>
          <w:rFonts w:cs="宋体" w:hint="eastAsia"/>
          <w:kern w:val="0"/>
        </w:rPr>
        <w:t>本条例适用于塔城市五条河流的开发、利用、保护和管理。</w:t>
      </w:r>
      <w:r>
        <w:rPr>
          <w:rFonts w:ascii="_6977_4f53_GB2312;Times New Roman" w:hAnsi="_6977_4f53_GB2312;Times New Roman" w:cs="宋体" w:hint="eastAsia"/>
          <w:b/>
          <w:bCs/>
          <w:kern w:val="0"/>
        </w:rPr>
        <w:t> </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第四条 </w:t>
      </w:r>
      <w:r>
        <w:rPr>
          <w:rFonts w:cs="宋体" w:hint="eastAsia"/>
          <w:kern w:val="0"/>
        </w:rPr>
        <w:t>五条河流的开发、利用、保护和管理应当坚持下列原则：</w:t>
      </w:r>
    </w:p>
    <w:p>
      <w:pPr>
        <w:pStyle w:val="Normal"/>
        <w:widowControl/>
        <w:snapToGrid w:val="false"/>
        <w:spacing w:lineRule="exact" w:line="560"/>
        <w:ind w:firstLine="627" w:end="0"/>
        <w:rPr>
          <w:rFonts w:cs="宋体" w:hint="eastAsia"/>
          <w:kern w:val="0"/>
          <w:sz w:val="24"/>
        </w:rPr>
      </w:pPr>
      <w:r>
        <w:rPr>
          <w:rFonts w:cs="宋体" w:hint="eastAsia"/>
          <w:kern w:val="0"/>
        </w:rPr>
        <w:t>（一）统一管理与分级、分部门负责相结合；</w:t>
      </w:r>
    </w:p>
    <w:p>
      <w:pPr>
        <w:pStyle w:val="Normal"/>
        <w:widowControl/>
        <w:snapToGrid w:val="false"/>
        <w:spacing w:lineRule="exact" w:line="560"/>
        <w:ind w:firstLine="627" w:end="0"/>
        <w:rPr>
          <w:rFonts w:cs="宋体" w:hint="eastAsia"/>
          <w:kern w:val="0"/>
          <w:sz w:val="24"/>
        </w:rPr>
      </w:pPr>
      <w:r>
        <w:rPr>
          <w:rFonts w:cs="宋体" w:hint="eastAsia"/>
          <w:kern w:val="0"/>
        </w:rPr>
        <w:t>（二）生态保护与当地经济建设、社会发展、居民生产生活相适应；</w:t>
      </w:r>
    </w:p>
    <w:p>
      <w:pPr>
        <w:pStyle w:val="Normal"/>
        <w:widowControl/>
        <w:snapToGrid w:val="false"/>
        <w:spacing w:lineRule="exact" w:line="560"/>
        <w:ind w:firstLine="627" w:end="0"/>
        <w:rPr>
          <w:rFonts w:cs="宋体" w:hint="eastAsia"/>
          <w:kern w:val="0"/>
          <w:sz w:val="24"/>
        </w:rPr>
      </w:pPr>
      <w:r>
        <w:rPr>
          <w:rFonts w:cs="宋体" w:hint="eastAsia"/>
          <w:kern w:val="0"/>
        </w:rPr>
        <w:t>（三）实行统一规划、综合整治。</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第五</w:t>
      </w:r>
      <w:r>
        <w:rPr>
          <w:rFonts w:ascii="黑体" w:hAnsi="黑体" w:cs="宋体" w:hint="eastAsia" w:eastAsia="黑体"/>
          <w:bCs/>
          <w:kern w:val="0"/>
        </w:rPr>
        <w:t>条</w:t>
      </w:r>
      <w:r>
        <w:rPr>
          <w:rFonts w:cs="宋体" w:hint="eastAsia"/>
          <w:kern w:val="0"/>
        </w:rPr>
        <w:t xml:space="preserve"> 市人民政府应当将五条河流保护和建设专项规划纳入市国民经济和社会发展规划，设立生态保护专项资金列入同级财政预算，并建立逐年递增机制。　　</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第六条</w:t>
      </w:r>
      <w:r>
        <w:rPr>
          <w:rFonts w:ascii="_4eff_5b8b_GB2312;Times New Roman" w:hAnsi="_4eff_5b8b_GB2312;Times New Roman" w:cs="宋体" w:hint="eastAsia"/>
          <w:kern w:val="0"/>
        </w:rPr>
        <w:t> </w:t>
      </w:r>
      <w:r>
        <w:rPr>
          <w:rFonts w:cs="宋体" w:hint="eastAsia"/>
          <w:kern w:val="0"/>
        </w:rPr>
        <w:t xml:space="preserve"> 鼓励自然人、法人或者其他组织对五条河流保护和建设依法投资和捐赠。</w:t>
      </w:r>
      <w:r>
        <w:rPr>
          <w:rFonts w:ascii="_9ed1_4f53;Times New Roman" w:hAnsi="_9ed1_4f53;Times New Roman" w:cs="宋体" w:hint="eastAsia"/>
          <w:kern w:val="0"/>
        </w:rPr>
        <w:t> </w:t>
      </w:r>
    </w:p>
    <w:p>
      <w:pPr>
        <w:pStyle w:val="Normal"/>
        <w:widowControl/>
        <w:snapToGrid w:val="false"/>
        <w:spacing w:lineRule="exact" w:line="560"/>
        <w:jc w:val="center"/>
        <w:rPr>
          <w:rFonts w:cs="宋体" w:hint="eastAsia"/>
          <w:kern w:val="0"/>
          <w:sz w:val="24"/>
        </w:rPr>
      </w:pPr>
      <w:r>
        <w:rPr>
          <w:rFonts w:cs="宋体" w:hint="eastAsia"/>
          <w:kern w:val="0"/>
          <w:sz w:val="24"/>
        </w:rPr>
      </w:r>
    </w:p>
    <w:p>
      <w:pPr>
        <w:pStyle w:val="Normal"/>
        <w:snapToGrid w:val="false"/>
        <w:spacing w:lineRule="exact" w:line="560"/>
        <w:jc w:val="center"/>
        <w:rPr>
          <w:rFonts w:ascii="黑体" w:hAnsi="黑体" w:eastAsia="黑体" w:cs="宋体" w:hint="eastAsia"/>
          <w:kern w:val="0"/>
        </w:rPr>
      </w:pPr>
      <w:r>
        <w:rPr>
          <w:rFonts w:ascii="黑体" w:hAnsi="黑体" w:cs="宋体" w:hint="eastAsia" w:eastAsia="黑体"/>
          <w:kern w:val="0"/>
        </w:rPr>
        <w:t>第二章 管理机构和职责</w:t>
      </w:r>
    </w:p>
    <w:p>
      <w:pPr>
        <w:pStyle w:val="Normal"/>
        <w:snapToGrid w:val="false"/>
        <w:spacing w:lineRule="exact" w:line="560"/>
        <w:jc w:val="center"/>
        <w:rPr>
          <w:rFonts w:ascii="黑体" w:hAnsi="黑体" w:eastAsia="黑体" w:cs="宋体" w:hint="eastAsia"/>
          <w:kern w:val="0"/>
          <w:sz w:val="24"/>
        </w:rPr>
      </w:pPr>
      <w:r>
        <w:rPr>
          <w:rFonts w:eastAsia="黑体" w:cs="宋体" w:hint="eastAsia" w:ascii="黑体" w:hAnsi="黑体"/>
          <w:kern w:val="0"/>
          <w:sz w:val="24"/>
        </w:rPr>
      </w:r>
    </w:p>
    <w:p>
      <w:pPr>
        <w:pStyle w:val="Normal"/>
        <w:snapToGrid w:val="false"/>
        <w:spacing w:lineRule="exact" w:line="560"/>
        <w:ind w:firstLine="627" w:end="0"/>
        <w:rPr>
          <w:rFonts w:cs="宋体" w:hint="eastAsia"/>
          <w:kern w:val="0"/>
          <w:sz w:val="24"/>
        </w:rPr>
      </w:pPr>
      <w:r>
        <w:rPr>
          <w:rFonts w:ascii="黑体" w:hAnsi="黑体" w:cs="宋体" w:hint="eastAsia" w:eastAsia="黑体"/>
          <w:kern w:val="0"/>
        </w:rPr>
        <w:t xml:space="preserve">第七条 </w:t>
      </w:r>
      <w:r>
        <w:rPr>
          <w:rFonts w:cs="宋体" w:hint="eastAsia"/>
          <w:kern w:val="0"/>
        </w:rPr>
        <w:t>市人民政府统一领导五条河流保护和建设工作。可以设立塔城市五条河流生态保护管理委员会（以下简称管委会），管委会由市人民政府及有关行政主管部门负责人组成。管委会工作规则由市人民政府制定。</w:t>
      </w:r>
    </w:p>
    <w:p>
      <w:pPr>
        <w:pStyle w:val="Normal"/>
        <w:widowControl/>
        <w:snapToGrid w:val="false"/>
        <w:spacing w:lineRule="exact" w:line="560"/>
        <w:ind w:firstLine="627" w:end="0"/>
        <w:rPr>
          <w:rFonts w:cs="宋体" w:hint="eastAsia"/>
          <w:kern w:val="0"/>
          <w:sz w:val="24"/>
          <w:shd w:fill="E5E5E5" w:val="clear"/>
        </w:rPr>
      </w:pPr>
      <w:r>
        <w:rPr>
          <w:rFonts w:cs="宋体" w:hint="eastAsia"/>
          <w:kern w:val="0"/>
        </w:rPr>
        <w:t>管委会下设办公室，办公室设在市水行政主管部门，负责管委会的日常工作。</w:t>
      </w:r>
    </w:p>
    <w:p>
      <w:pPr>
        <w:pStyle w:val="Normal"/>
        <w:snapToGrid w:val="false"/>
        <w:spacing w:lineRule="exact" w:line="560"/>
        <w:ind w:firstLine="627" w:end="0"/>
        <w:rPr>
          <w:rFonts w:cs="宋体" w:hint="eastAsia"/>
          <w:kern w:val="0"/>
          <w:sz w:val="24"/>
        </w:rPr>
      </w:pPr>
      <w:r>
        <w:rPr>
          <w:rFonts w:cs="宋体" w:hint="eastAsia"/>
          <w:kern w:val="0"/>
        </w:rPr>
        <w:t>市发展和改革、规划、环境保护、住房和城乡建设、农业、国土资源、畜牧、林业、市容环境卫生、旅游等主管部门，以及五条河流流域的乡镇人民政府、街道办事处应当按照各自职责，做好五条河流生态保护和综合治理工作。</w:t>
      </w:r>
    </w:p>
    <w:p>
      <w:pPr>
        <w:pStyle w:val="Normal"/>
        <w:widowControl/>
        <w:snapToGrid w:val="false"/>
        <w:spacing w:lineRule="exact" w:line="560"/>
        <w:ind w:firstLine="627" w:end="0"/>
        <w:rPr>
          <w:rFonts w:cs="宋体" w:hint="eastAsia"/>
          <w:kern w:val="0"/>
          <w:sz w:val="24"/>
          <w:shd w:fill="E5E5E5" w:val="clear"/>
        </w:rPr>
      </w:pPr>
      <w:r>
        <w:rPr>
          <w:rFonts w:ascii="黑体" w:hAnsi="黑体" w:cs="宋体" w:hint="eastAsia" w:eastAsia="黑体"/>
          <w:kern w:val="0"/>
        </w:rPr>
        <w:t xml:space="preserve">第八条 </w:t>
      </w:r>
      <w:r>
        <w:rPr>
          <w:rFonts w:cs="宋体" w:hint="eastAsia"/>
          <w:kern w:val="0"/>
        </w:rPr>
        <w:t>管委会负责研究决策五条河流生态保护和综合治理的有关重大问题，对五条河流范围内各单位执行管委会决议、决定情况进行协调和监督。</w:t>
      </w:r>
    </w:p>
    <w:p>
      <w:pPr>
        <w:pStyle w:val="Normal"/>
        <w:snapToGrid w:val="false"/>
        <w:spacing w:lineRule="exact" w:line="560"/>
        <w:jc w:val="center"/>
        <w:rPr>
          <w:rFonts w:cs="宋体" w:hint="eastAsia"/>
          <w:kern w:val="0"/>
          <w:sz w:val="24"/>
          <w:shd w:fill="E5E5E5" w:val="clear"/>
        </w:rPr>
      </w:pPr>
      <w:r>
        <w:rPr>
          <w:rFonts w:cs="宋体" w:hint="eastAsia"/>
          <w:kern w:val="0"/>
          <w:sz w:val="24"/>
          <w:shd w:fill="E5E5E5" w:val="clear"/>
        </w:rPr>
      </w:r>
    </w:p>
    <w:p>
      <w:pPr>
        <w:pStyle w:val="Normal"/>
        <w:snapToGrid w:val="false"/>
        <w:spacing w:lineRule="exact" w:line="560"/>
        <w:jc w:val="center"/>
        <w:rPr>
          <w:rFonts w:ascii="黑体" w:hAnsi="黑体" w:eastAsia="黑体" w:cs="宋体" w:hint="eastAsia"/>
          <w:kern w:val="0"/>
        </w:rPr>
      </w:pPr>
      <w:r>
        <w:rPr>
          <w:rFonts w:ascii="黑体" w:hAnsi="黑体" w:cs="宋体" w:hint="eastAsia" w:eastAsia="黑体"/>
          <w:kern w:val="0"/>
        </w:rPr>
        <w:t>第三章 规划与建设</w:t>
      </w:r>
    </w:p>
    <w:p>
      <w:pPr>
        <w:pStyle w:val="Normal"/>
        <w:snapToGrid w:val="false"/>
        <w:spacing w:lineRule="exact" w:line="560"/>
        <w:jc w:val="center"/>
        <w:rPr>
          <w:rFonts w:ascii="黑体" w:hAnsi="黑体" w:eastAsia="黑体" w:cs="宋体" w:hint="eastAsia"/>
          <w:kern w:val="0"/>
        </w:rPr>
      </w:pPr>
      <w:r>
        <w:rPr>
          <w:rFonts w:eastAsia="黑体" w:cs="宋体" w:hint="eastAsia" w:ascii="黑体" w:hAnsi="黑体"/>
          <w:kern w:val="0"/>
        </w:rPr>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第九条 </w:t>
      </w:r>
      <w:r>
        <w:rPr>
          <w:rFonts w:cs="宋体" w:hint="eastAsia"/>
          <w:kern w:val="0"/>
        </w:rPr>
        <w:t>管委会应当组织市规划、发展和改革、住房和城乡建设、环境保护等部门统一编制五条河流保护总体规划，报塔城市人民政府批准后予以公布。</w:t>
      </w:r>
    </w:p>
    <w:p>
      <w:pPr>
        <w:pStyle w:val="Normal"/>
        <w:snapToGrid w:val="false"/>
        <w:spacing w:lineRule="exact" w:line="560"/>
        <w:ind w:firstLine="627" w:end="0"/>
        <w:rPr>
          <w:rFonts w:cs="宋体" w:hint="eastAsia"/>
          <w:kern w:val="0"/>
          <w:sz w:val="24"/>
          <w:shd w:fill="E5E5E5" w:val="clear"/>
        </w:rPr>
      </w:pPr>
      <w:r>
        <w:rPr>
          <w:rFonts w:ascii="黑体" w:hAnsi="黑体" w:cs="宋体" w:hint="eastAsia" w:eastAsia="黑体"/>
          <w:kern w:val="0"/>
        </w:rPr>
        <w:t xml:space="preserve">第十条 </w:t>
      </w:r>
      <w:r>
        <w:rPr>
          <w:rFonts w:cs="宋体" w:hint="eastAsia"/>
          <w:kern w:val="0"/>
        </w:rPr>
        <w:t>市规划主管部门根据塔城市总体规划，依法编制五条河流控制性详细规划。</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kern w:val="0"/>
        </w:rPr>
        <w:t xml:space="preserve">第十一条 </w:t>
      </w:r>
      <w:r>
        <w:rPr>
          <w:rFonts w:cs="宋体" w:hint="eastAsia"/>
          <w:kern w:val="0"/>
        </w:rPr>
        <w:t>市水行政主管部门应当按照保障生活、生产和生态环境用水的需要，制定和实施五条河流水量调度方案，调节河道生态所需要的水量，提高自然净化能力，改善生态环境。</w:t>
      </w:r>
    </w:p>
    <w:p>
      <w:pPr>
        <w:pStyle w:val="Normal"/>
        <w:widowControl/>
        <w:snapToGrid w:val="false"/>
        <w:spacing w:lineRule="exact" w:line="560"/>
        <w:ind w:firstLineChars="200" w:startChars="0" w:start="0" w:endChars="0" w:end="0"/>
        <w:rPr>
          <w:rFonts w:cs="宋体" w:hint="eastAsia"/>
          <w:kern w:val="0"/>
          <w:sz w:val="24"/>
          <w:shd w:fill="E5E5E5" w:val="clear"/>
        </w:rPr>
      </w:pPr>
      <w:r>
        <w:rPr>
          <w:rFonts w:ascii="黑体" w:hAnsi="黑体" w:cs="宋体" w:hint="eastAsia" w:eastAsia="黑体"/>
          <w:kern w:val="0"/>
        </w:rPr>
        <w:t xml:space="preserve">第十二条 </w:t>
      </w:r>
      <w:r>
        <w:rPr>
          <w:rFonts w:cs="宋体" w:hint="eastAsia"/>
          <w:kern w:val="0"/>
        </w:rPr>
        <w:t>五条河流范围内的城镇、街道、社区应当建立完善生活污水处理、生活垃圾无害化处理、供排水、集中供热等公共设施；五条河流范围内的村庄应当加强生态环境保护和公共卫生管理，统一规划建设生活垃圾收集、生活污水处理等公共设施。　　</w:t>
      </w:r>
    </w:p>
    <w:p>
      <w:pPr>
        <w:pStyle w:val="Normal"/>
        <w:widowControl/>
        <w:snapToGrid w:val="false"/>
        <w:spacing w:lineRule="exact" w:line="560"/>
        <w:ind w:firstLine="627" w:end="0"/>
        <w:rPr>
          <w:rFonts w:cs="宋体" w:hint="eastAsia"/>
          <w:kern w:val="0"/>
        </w:rPr>
      </w:pPr>
      <w:r>
        <w:rPr>
          <w:rFonts w:ascii="黑体" w:hAnsi="黑体" w:cs="宋体" w:hint="eastAsia" w:eastAsia="黑体"/>
          <w:kern w:val="0"/>
        </w:rPr>
        <w:t xml:space="preserve">第十三条 </w:t>
      </w:r>
      <w:r>
        <w:rPr>
          <w:rFonts w:cs="宋体" w:hint="eastAsia"/>
          <w:kern w:val="0"/>
        </w:rPr>
        <w:t>五条河流规划区范围内的建（构）筑物应当按照规划要求改建、拆除或迁移。</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第十四条 </w:t>
      </w:r>
      <w:r>
        <w:rPr>
          <w:rFonts w:cs="宋体" w:hint="eastAsia"/>
          <w:kern w:val="0"/>
        </w:rPr>
        <w:t>根据前条规定改建、拆除或迁移建（构）筑物造成单位和个人合法权益受损的，应当依法给予补偿。</w:t>
      </w:r>
    </w:p>
    <w:p>
      <w:pPr>
        <w:pStyle w:val="Normal"/>
        <w:widowControl/>
        <w:snapToGrid w:val="false"/>
        <w:spacing w:lineRule="exact" w:line="560"/>
        <w:jc w:val="center"/>
        <w:rPr>
          <w:rFonts w:cs="宋体" w:hint="eastAsia"/>
          <w:kern w:val="0"/>
          <w:sz w:val="24"/>
        </w:rPr>
      </w:pPr>
      <w:r>
        <w:rPr>
          <w:rFonts w:cs="宋体" w:hint="eastAsia"/>
          <w:kern w:val="0"/>
          <w:sz w:val="24"/>
        </w:rPr>
      </w:r>
    </w:p>
    <w:p>
      <w:pPr>
        <w:pStyle w:val="Normal"/>
        <w:widowControl/>
        <w:snapToGrid w:val="false"/>
        <w:spacing w:lineRule="exact" w:line="560"/>
        <w:jc w:val="center"/>
        <w:rPr>
          <w:rFonts w:cs="宋体" w:hint="eastAsia"/>
          <w:kern w:val="0"/>
        </w:rPr>
      </w:pPr>
      <w:r>
        <w:rPr>
          <w:rFonts w:hint="eastAsia"/>
          <w:kern w:val="0"/>
        </w:rPr>
        <w:t> </w:t>
      </w:r>
      <w:r>
        <w:rPr>
          <w:rFonts w:ascii="黑体" w:hAnsi="黑体" w:cs="宋体" w:hint="eastAsia" w:eastAsia="黑体"/>
          <w:kern w:val="0"/>
        </w:rPr>
        <w:t>第四章 河道管理和保护</w:t>
      </w:r>
    </w:p>
    <w:p>
      <w:pPr>
        <w:pStyle w:val="Normal"/>
        <w:widowControl/>
        <w:snapToGrid w:val="false"/>
        <w:spacing w:lineRule="exact" w:line="560"/>
        <w:jc w:val="center"/>
        <w:rPr>
          <w:rFonts w:cs="宋体" w:hint="eastAsia"/>
          <w:kern w:val="0"/>
        </w:rPr>
      </w:pPr>
      <w:r>
        <w:rPr>
          <w:rFonts w:cs="宋体" w:hint="eastAsia"/>
          <w:kern w:val="0"/>
        </w:rPr>
      </w:r>
    </w:p>
    <w:p>
      <w:pPr>
        <w:pStyle w:val="Normal"/>
        <w:widowControl/>
        <w:snapToGrid w:val="false"/>
        <w:spacing w:lineRule="exact" w:line="560"/>
        <w:ind w:firstLine="627" w:end="0"/>
        <w:rPr>
          <w:rFonts w:cs="宋体" w:hint="eastAsia"/>
          <w:b/>
          <w:bCs/>
          <w:kern w:val="0"/>
        </w:rPr>
      </w:pPr>
      <w:r>
        <w:rPr>
          <w:rFonts w:ascii="黑体" w:hAnsi="黑体" w:cs="宋体" w:hint="eastAsia" w:eastAsia="黑体"/>
          <w:kern w:val="0"/>
        </w:rPr>
        <w:t xml:space="preserve">第十五条 </w:t>
      </w:r>
      <w:r>
        <w:rPr>
          <w:rFonts w:cs="宋体" w:hint="eastAsia"/>
          <w:kern w:val="0"/>
        </w:rPr>
        <w:t>市水行政主管部门根据河道的功能定位，按照河道规划和国家规定的防洪、排涝、环境保护标准以及有关技术规范，制定河道治理规划，经市人民政府批准后实施。</w:t>
      </w:r>
    </w:p>
    <w:p>
      <w:pPr>
        <w:pStyle w:val="Normal"/>
        <w:widowControl/>
        <w:snapToGrid w:val="false"/>
        <w:spacing w:lineRule="exact" w:line="560"/>
        <w:ind w:firstLine="640" w:end="0"/>
        <w:rPr>
          <w:rFonts w:cs="宋体" w:hint="eastAsia"/>
          <w:kern w:val="0"/>
        </w:rPr>
      </w:pPr>
      <w:r>
        <w:rPr>
          <w:rFonts w:ascii="黑体" w:hAnsi="黑体" w:cs="宋体" w:hint="eastAsia" w:eastAsia="黑体"/>
          <w:bCs/>
          <w:kern w:val="0"/>
        </w:rPr>
        <w:t xml:space="preserve">第十六条 </w:t>
      </w:r>
      <w:r>
        <w:rPr>
          <w:rFonts w:cs="宋体" w:hint="eastAsia"/>
          <w:kern w:val="0"/>
        </w:rPr>
        <w:t>五条河流治理应当注重保护、恢复河道及其周边的生态环境和历史人文景观。同时治理措施还须符合下列要求：</w:t>
      </w:r>
    </w:p>
    <w:p>
      <w:pPr>
        <w:pStyle w:val="Normal"/>
        <w:widowControl/>
        <w:snapToGrid w:val="false"/>
        <w:spacing w:lineRule="exact" w:line="560"/>
        <w:ind w:firstLine="640" w:end="0"/>
        <w:rPr>
          <w:rFonts w:cs="宋体" w:hint="eastAsia"/>
          <w:kern w:val="0"/>
          <w:sz w:val="24"/>
        </w:rPr>
      </w:pPr>
      <w:r>
        <w:rPr>
          <w:rFonts w:cs="宋体" w:hint="eastAsia"/>
          <w:kern w:val="0"/>
        </w:rPr>
        <w:t>（一）建设沿岸片区和城乡干渠的截污、污水处理、再生水利用等基础设施，应做到污水无害化，再生水资源化；</w:t>
      </w:r>
    </w:p>
    <w:p>
      <w:pPr>
        <w:pStyle w:val="Normal"/>
        <w:widowControl/>
        <w:snapToGrid w:val="false"/>
        <w:spacing w:lineRule="exact" w:line="560"/>
        <w:ind w:firstLine="640" w:end="0"/>
        <w:rPr>
          <w:rFonts w:cs="宋体" w:hint="eastAsia"/>
          <w:kern w:val="0"/>
          <w:sz w:val="24"/>
        </w:rPr>
      </w:pPr>
      <w:r>
        <w:rPr>
          <w:rFonts w:cs="宋体" w:hint="eastAsia"/>
          <w:kern w:val="0"/>
        </w:rPr>
        <w:t>（二）环河游憩林荫带植草种树；</w:t>
      </w:r>
    </w:p>
    <w:p>
      <w:pPr>
        <w:pStyle w:val="Normal"/>
        <w:widowControl/>
        <w:snapToGrid w:val="false"/>
        <w:spacing w:lineRule="exact" w:line="560"/>
        <w:ind w:firstLine="640" w:end="0"/>
        <w:rPr>
          <w:rFonts w:cs="宋体" w:hint="eastAsia"/>
          <w:kern w:val="0"/>
          <w:sz w:val="24"/>
        </w:rPr>
      </w:pPr>
      <w:r>
        <w:rPr>
          <w:rFonts w:cs="宋体" w:hint="eastAsia"/>
          <w:kern w:val="0"/>
        </w:rPr>
        <w:t>（三）河道两侧管、线入地；</w:t>
      </w:r>
    </w:p>
    <w:p>
      <w:pPr>
        <w:pStyle w:val="Normal"/>
        <w:widowControl/>
        <w:snapToGrid w:val="false"/>
        <w:spacing w:lineRule="exact" w:line="560"/>
        <w:ind w:firstLine="640" w:end="0"/>
        <w:rPr>
          <w:rFonts w:cs="宋体" w:hint="eastAsia"/>
          <w:kern w:val="0"/>
          <w:sz w:val="24"/>
        </w:rPr>
      </w:pPr>
      <w:r>
        <w:rPr>
          <w:rFonts w:cs="宋体" w:hint="eastAsia"/>
          <w:kern w:val="0"/>
        </w:rPr>
        <w:t>（四）在河道两侧规划区范围内禁止建设畜禽养殖场、养殖小区。</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第十七条 </w:t>
      </w:r>
      <w:r>
        <w:rPr>
          <w:rFonts w:cs="宋体" w:hint="eastAsia"/>
          <w:kern w:val="0"/>
        </w:rPr>
        <w:t>五条河流河道管理规划区内的各类建设项目，应当符合规划要求，并依法办理相关审批手续后方可开工建设。 建设项目施工中和投入使用后，应当服从水行政主管部门的管理，服从防汛指挥机构的统一指挥和调度。</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 xml:space="preserve">第十八条 </w:t>
      </w:r>
      <w:r>
        <w:rPr>
          <w:rFonts w:cs="宋体" w:hint="eastAsia"/>
          <w:kern w:val="0"/>
        </w:rPr>
        <w:t>在五条河流河道内取水的应当依法办理取水许可证，缴纳水资源费。</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 xml:space="preserve">第十九条 </w:t>
      </w:r>
      <w:r>
        <w:rPr>
          <w:rFonts w:cs="宋体" w:hint="eastAsia"/>
          <w:kern w:val="0"/>
        </w:rPr>
        <w:t>在五条河流河道内从事采砂、取土、取石的，应当经市水行政主管机关批准，并依法缴纳河道采砂管理费。</w:t>
      </w:r>
    </w:p>
    <w:p>
      <w:pPr>
        <w:pStyle w:val="Normal"/>
        <w:widowControl/>
        <w:snapToGrid w:val="false"/>
        <w:spacing w:lineRule="exact" w:line="560"/>
        <w:ind w:firstLine="640" w:end="0"/>
        <w:rPr>
          <w:rFonts w:cs="宋体" w:hint="eastAsia"/>
          <w:kern w:val="0"/>
          <w:sz w:val="24"/>
        </w:rPr>
      </w:pPr>
      <w:r>
        <w:rPr>
          <w:rFonts w:ascii="黑体" w:hAnsi="黑体" w:cs="宋体" w:hint="eastAsia" w:eastAsia="黑体"/>
          <w:bCs/>
          <w:kern w:val="0"/>
        </w:rPr>
        <w:t xml:space="preserve">第二十条 </w:t>
      </w:r>
      <w:r>
        <w:rPr>
          <w:rFonts w:cs="宋体" w:hint="eastAsia"/>
          <w:kern w:val="0"/>
        </w:rPr>
        <w:t>五条河流河道内的阻水障碍物按照“谁设障、谁清除”的原则，由市水行政主管部门责令设障者在规定期限内清除。逾期不清除的组织强行拆除，清障费用由设障者承担。</w:t>
      </w:r>
    </w:p>
    <w:p>
      <w:pPr>
        <w:pStyle w:val="Normal"/>
        <w:snapToGrid w:val="false"/>
        <w:spacing w:lineRule="exact" w:line="560"/>
        <w:ind w:firstLine="627" w:end="0"/>
        <w:rPr>
          <w:rFonts w:cs="宋体" w:hint="eastAsia"/>
          <w:kern w:val="0"/>
          <w:sz w:val="24"/>
        </w:rPr>
      </w:pPr>
      <w:r>
        <w:rPr>
          <w:rFonts w:ascii="黑体" w:hAnsi="黑体" w:cs="宋体" w:hint="eastAsia" w:eastAsia="黑体"/>
          <w:bCs/>
          <w:kern w:val="0"/>
        </w:rPr>
        <w:t xml:space="preserve">第二十一条 </w:t>
      </w:r>
      <w:r>
        <w:rPr>
          <w:rFonts w:cs="宋体" w:hint="eastAsia"/>
          <w:kern w:val="0"/>
        </w:rPr>
        <w:t>因工程建设确需设置阻水障碍物的，应当事先经市水行政主管部门审查批准，并在规定的期限内清除。逾期不清除的，由市水行政主管部门强行清除，所需费用由设障者承担。</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第二十二条 </w:t>
      </w:r>
      <w:r>
        <w:rPr>
          <w:rFonts w:cs="宋体" w:hint="eastAsia"/>
          <w:kern w:val="0"/>
        </w:rPr>
        <w:t>在河道管理范围内，未经市水行政主管部门批准</w:t>
      </w:r>
      <w:r>
        <w:rPr>
          <w:rFonts w:cs="宋体" w:hint="eastAsia"/>
          <w:kern w:val="0"/>
        </w:rPr>
        <w:t>,</w:t>
      </w:r>
      <w:r>
        <w:rPr>
          <w:rFonts w:cs="宋体" w:hint="eastAsia"/>
          <w:kern w:val="0"/>
        </w:rPr>
        <w:t>不得从事下列活动：</w:t>
      </w:r>
    </w:p>
    <w:p>
      <w:pPr>
        <w:pStyle w:val="Normal"/>
        <w:widowControl/>
        <w:snapToGrid w:val="false"/>
        <w:spacing w:lineRule="exact" w:line="560"/>
        <w:ind w:firstLine="640" w:end="0"/>
        <w:rPr>
          <w:rFonts w:cs="宋体" w:hint="eastAsia"/>
          <w:kern w:val="0"/>
          <w:sz w:val="24"/>
        </w:rPr>
      </w:pPr>
      <w:r>
        <w:rPr>
          <w:rFonts w:cs="宋体" w:hint="eastAsia"/>
          <w:kern w:val="0"/>
        </w:rPr>
        <w:t>（一）在河道滩地存放物料、搭建房屋、棚舍等建筑物或者构筑物；</w:t>
      </w:r>
    </w:p>
    <w:p>
      <w:pPr>
        <w:pStyle w:val="Normal"/>
        <w:widowControl/>
        <w:snapToGrid w:val="false"/>
        <w:spacing w:lineRule="exact" w:line="560"/>
        <w:ind w:firstLine="640" w:end="0"/>
        <w:rPr>
          <w:rFonts w:cs="宋体" w:hint="eastAsia"/>
          <w:kern w:val="0"/>
          <w:sz w:val="24"/>
        </w:rPr>
      </w:pPr>
      <w:r>
        <w:rPr>
          <w:rFonts w:cs="宋体" w:hint="eastAsia"/>
          <w:kern w:val="0"/>
        </w:rPr>
        <w:t>（二）弃置砂石或淤泥；</w:t>
      </w:r>
    </w:p>
    <w:p>
      <w:pPr>
        <w:pStyle w:val="Normal"/>
        <w:widowControl/>
        <w:snapToGrid w:val="false"/>
        <w:spacing w:lineRule="exact" w:line="560"/>
        <w:ind w:firstLine="640" w:end="0"/>
        <w:rPr>
          <w:rFonts w:cs="宋体" w:hint="eastAsia"/>
          <w:kern w:val="0"/>
          <w:sz w:val="24"/>
        </w:rPr>
      </w:pPr>
      <w:r>
        <w:rPr>
          <w:rFonts w:cs="宋体" w:hint="eastAsia"/>
          <w:kern w:val="0"/>
        </w:rPr>
        <w:t>（三）设置渔网、网箱及其他捕捞装置；</w:t>
      </w:r>
    </w:p>
    <w:p>
      <w:pPr>
        <w:pStyle w:val="Normal"/>
        <w:widowControl/>
        <w:snapToGrid w:val="false"/>
        <w:spacing w:lineRule="exact" w:line="560"/>
        <w:ind w:firstLine="640" w:end="0"/>
        <w:rPr>
          <w:rFonts w:cs="宋体" w:hint="eastAsia"/>
          <w:kern w:val="0"/>
          <w:sz w:val="24"/>
        </w:rPr>
      </w:pPr>
      <w:r>
        <w:rPr>
          <w:rFonts w:cs="宋体" w:hint="eastAsia"/>
          <w:kern w:val="0"/>
        </w:rPr>
        <w:t>（四）爆破、钻探、打桩、打井、挖筑鱼塘；</w:t>
      </w:r>
    </w:p>
    <w:p>
      <w:pPr>
        <w:pStyle w:val="Normal"/>
        <w:widowControl/>
        <w:snapToGrid w:val="false"/>
        <w:spacing w:lineRule="exact" w:line="560"/>
        <w:ind w:firstLine="640" w:end="0"/>
        <w:rPr>
          <w:rFonts w:cs="宋体" w:hint="eastAsia"/>
          <w:kern w:val="0"/>
          <w:sz w:val="24"/>
        </w:rPr>
      </w:pPr>
      <w:r>
        <w:rPr>
          <w:rFonts w:cs="宋体" w:hint="eastAsia"/>
          <w:kern w:val="0"/>
        </w:rPr>
        <w:t>（五）开采地下资源、进行考古发掘。</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第二十三条 </w:t>
      </w:r>
      <w:r>
        <w:rPr>
          <w:rFonts w:cs="宋体" w:hint="eastAsia"/>
          <w:kern w:val="0"/>
        </w:rPr>
        <w:t>在河道管理范围内，禁止进行下列活动：</w:t>
      </w:r>
    </w:p>
    <w:p>
      <w:pPr>
        <w:pStyle w:val="Normal"/>
        <w:widowControl/>
        <w:snapToGrid w:val="false"/>
        <w:spacing w:lineRule="exact" w:line="560"/>
        <w:ind w:firstLine="640" w:end="0"/>
        <w:rPr>
          <w:rFonts w:cs="宋体" w:hint="eastAsia"/>
          <w:kern w:val="0"/>
          <w:sz w:val="24"/>
        </w:rPr>
      </w:pPr>
      <w:r>
        <w:rPr>
          <w:rFonts w:cs="宋体" w:hint="eastAsia"/>
          <w:kern w:val="0"/>
        </w:rPr>
        <w:t>（一）修建围堤、阻水渠道、阻水道路；</w:t>
      </w:r>
    </w:p>
    <w:p>
      <w:pPr>
        <w:pStyle w:val="Normal"/>
        <w:widowControl/>
        <w:snapToGrid w:val="false"/>
        <w:spacing w:lineRule="exact" w:line="560"/>
        <w:ind w:firstLine="640" w:end="0"/>
        <w:rPr>
          <w:rFonts w:cs="宋体" w:hint="eastAsia"/>
          <w:kern w:val="0"/>
          <w:sz w:val="24"/>
        </w:rPr>
      </w:pPr>
      <w:r>
        <w:rPr>
          <w:rFonts w:cs="宋体" w:hint="eastAsia"/>
          <w:kern w:val="0"/>
        </w:rPr>
        <w:t>（二）种植阻碍行洪的林木及高秆作物；</w:t>
      </w:r>
    </w:p>
    <w:p>
      <w:pPr>
        <w:pStyle w:val="Normal"/>
        <w:widowControl/>
        <w:snapToGrid w:val="false"/>
        <w:spacing w:lineRule="exact" w:line="560"/>
        <w:ind w:firstLine="640" w:end="0"/>
        <w:rPr>
          <w:rFonts w:cs="宋体" w:hint="eastAsia"/>
          <w:kern w:val="0"/>
          <w:sz w:val="24"/>
        </w:rPr>
      </w:pPr>
      <w:r>
        <w:rPr>
          <w:rFonts w:cs="宋体" w:hint="eastAsia"/>
          <w:kern w:val="0"/>
        </w:rPr>
        <w:t>（三）电鱼、毒鱼、炸鱼；</w:t>
      </w:r>
    </w:p>
    <w:p>
      <w:pPr>
        <w:pStyle w:val="Normal"/>
        <w:widowControl/>
        <w:snapToGrid w:val="false"/>
        <w:spacing w:lineRule="exact" w:line="560"/>
        <w:ind w:firstLine="640" w:end="0"/>
        <w:rPr>
          <w:rFonts w:cs="宋体" w:hint="eastAsia"/>
          <w:kern w:val="0"/>
          <w:sz w:val="24"/>
        </w:rPr>
      </w:pPr>
      <w:r>
        <w:rPr>
          <w:rFonts w:cs="宋体" w:hint="eastAsia"/>
          <w:kern w:val="0"/>
        </w:rPr>
        <w:t>（四）损毁河道堤防等水工程设施；</w:t>
      </w:r>
    </w:p>
    <w:p>
      <w:pPr>
        <w:pStyle w:val="Normal"/>
        <w:widowControl/>
        <w:snapToGrid w:val="false"/>
        <w:spacing w:lineRule="exact" w:line="560"/>
        <w:ind w:firstLine="640" w:end="0"/>
        <w:rPr>
          <w:rFonts w:cs="宋体" w:hint="eastAsia"/>
          <w:kern w:val="0"/>
          <w:sz w:val="24"/>
        </w:rPr>
      </w:pPr>
      <w:r>
        <w:rPr>
          <w:rFonts w:cs="宋体" w:hint="eastAsia"/>
          <w:kern w:val="0"/>
        </w:rPr>
        <w:t>（五）放牧、垦殖、砍伐护堤护岸林木。</w:t>
      </w:r>
    </w:p>
    <w:p>
      <w:pPr>
        <w:pStyle w:val="Normal"/>
        <w:widowControl/>
        <w:snapToGrid w:val="false"/>
        <w:spacing w:lineRule="exact" w:line="560"/>
        <w:ind w:firstLineChars="950" w:startChars="0" w:start="0" w:endChars="0" w:end="0"/>
        <w:rPr>
          <w:rFonts w:ascii="黑体" w:hAnsi="黑体" w:eastAsia="黑体" w:cs="宋体" w:hint="eastAsia"/>
          <w:kern w:val="0"/>
          <w:sz w:val="24"/>
        </w:rPr>
      </w:pPr>
      <w:r>
        <w:rPr>
          <w:rFonts w:eastAsia="黑体" w:cs="宋体" w:hint="eastAsia" w:ascii="黑体" w:hAnsi="黑体"/>
          <w:kern w:val="0"/>
          <w:sz w:val="24"/>
        </w:rPr>
      </w:r>
    </w:p>
    <w:p>
      <w:pPr>
        <w:pStyle w:val="Normal"/>
        <w:widowControl/>
        <w:snapToGrid w:val="false"/>
        <w:spacing w:lineRule="exact" w:line="560"/>
        <w:ind w:firstLineChars="950" w:startChars="0" w:start="0" w:endChars="0" w:end="0"/>
        <w:rPr>
          <w:rFonts w:ascii="黑体" w:hAnsi="黑体" w:eastAsia="黑体" w:cs="宋体" w:hint="eastAsia"/>
          <w:kern w:val="0"/>
        </w:rPr>
      </w:pPr>
      <w:r>
        <w:rPr>
          <w:rFonts w:ascii="黑体" w:hAnsi="黑体" w:cs="宋体" w:hint="eastAsia" w:eastAsia="黑体"/>
          <w:kern w:val="0"/>
        </w:rPr>
        <w:t>第五章 水污染防治</w:t>
      </w:r>
    </w:p>
    <w:p>
      <w:pPr>
        <w:pStyle w:val="Normal"/>
        <w:snapToGrid w:val="false"/>
        <w:spacing w:lineRule="exact" w:line="560"/>
        <w:ind w:firstLine="640" w:end="0"/>
        <w:rPr>
          <w:rFonts w:ascii="黑体" w:hAnsi="黑体" w:eastAsia="黑体" w:cs="宋体" w:hint="eastAsia"/>
          <w:b/>
          <w:bCs/>
          <w:kern w:val="0"/>
        </w:rPr>
      </w:pPr>
      <w:r>
        <w:rPr>
          <w:rFonts w:eastAsia="黑体" w:cs="宋体" w:hint="eastAsia" w:ascii="黑体" w:hAnsi="黑体"/>
          <w:b/>
          <w:bCs/>
          <w:kern w:val="0"/>
        </w:rPr>
      </w:r>
    </w:p>
    <w:p>
      <w:pPr>
        <w:pStyle w:val="Normal"/>
        <w:snapToGrid w:val="false"/>
        <w:spacing w:lineRule="exact" w:line="560"/>
        <w:ind w:firstLine="640" w:end="0"/>
        <w:rPr>
          <w:rFonts w:cs="宋体" w:hint="eastAsia"/>
          <w:kern w:val="0"/>
          <w:sz w:val="24"/>
        </w:rPr>
      </w:pPr>
      <w:r>
        <w:rPr>
          <w:rFonts w:ascii="黑体" w:hAnsi="黑体" w:cs="宋体" w:hint="eastAsia" w:eastAsia="黑体"/>
          <w:bCs/>
          <w:kern w:val="0"/>
        </w:rPr>
        <w:t xml:space="preserve">第二十四条 </w:t>
      </w:r>
      <w:r>
        <w:rPr>
          <w:rFonts w:cs="宋体" w:hint="eastAsia"/>
          <w:kern w:val="0"/>
        </w:rPr>
        <w:t>五条河流流域按照国家和自治区规定实行排污许可制度和重点水污染物排放总量控制制度。</w:t>
      </w:r>
    </w:p>
    <w:p>
      <w:pPr>
        <w:pStyle w:val="Normal"/>
        <w:snapToGrid w:val="false"/>
        <w:spacing w:lineRule="exact" w:line="560"/>
        <w:rPr>
          <w:rFonts w:cs="宋体" w:hint="eastAsia"/>
          <w:kern w:val="0"/>
          <w:sz w:val="24"/>
        </w:rPr>
      </w:pPr>
      <w:r>
        <w:rPr>
          <w:rFonts w:cs="宋体" w:hint="eastAsia"/>
          <w:kern w:val="0"/>
        </w:rPr>
        <w:t>　　五条河流流域内排放水污染物，不得超过国家和自治区规定的水污染物排放标准和重点水污染物排放总量控制指标。</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第二十五条 </w:t>
      </w:r>
      <w:r>
        <w:rPr>
          <w:rFonts w:cs="宋体" w:hint="eastAsia"/>
          <w:kern w:val="0"/>
        </w:rPr>
        <w:t>禁止在五条河流水源保护区设置排污口。</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第二十六条</w:t>
      </w:r>
      <w:r>
        <w:rPr>
          <w:rFonts w:cs="宋体" w:hint="eastAsia"/>
          <w:kern w:val="0"/>
        </w:rPr>
        <w:t>五条河流流域农业生产应当推广使用有机肥，科学、合理施用农药、化肥，发展生态农业，控制污染物流入五条河流。</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第二十七条</w:t>
      </w:r>
      <w:r>
        <w:rPr>
          <w:rFonts w:ascii="_4eff_5b8b_GB2312;Times New Roman" w:hAnsi="_4eff_5b8b_GB2312;Times New Roman" w:cs="宋体" w:hint="eastAsia"/>
          <w:kern w:val="0"/>
        </w:rPr>
        <w:t>  </w:t>
      </w:r>
      <w:r>
        <w:rPr>
          <w:rFonts w:cs="宋体" w:hint="eastAsia"/>
          <w:kern w:val="0"/>
        </w:rPr>
        <w:t>禁止对五条河流水体实施下列行为：</w:t>
      </w:r>
    </w:p>
    <w:p>
      <w:pPr>
        <w:pStyle w:val="Normal"/>
        <w:widowControl/>
        <w:snapToGrid w:val="false"/>
        <w:spacing w:lineRule="exact" w:line="560"/>
        <w:ind w:firstLine="640" w:end="0"/>
        <w:rPr>
          <w:rFonts w:cs="宋体" w:hint="eastAsia"/>
          <w:kern w:val="0"/>
          <w:sz w:val="24"/>
        </w:rPr>
      </w:pPr>
      <w:r>
        <w:rPr>
          <w:rFonts w:cs="宋体" w:hint="eastAsia"/>
          <w:kern w:val="0"/>
        </w:rPr>
        <w:t>（一）排放、倾倒可溶性剧毒废水、废渣；</w:t>
      </w:r>
    </w:p>
    <w:p>
      <w:pPr>
        <w:pStyle w:val="Normal"/>
        <w:widowControl/>
        <w:snapToGrid w:val="false"/>
        <w:spacing w:lineRule="exact" w:line="560"/>
        <w:ind w:firstLine="640" w:end="0"/>
        <w:rPr>
          <w:rFonts w:cs="宋体" w:hint="eastAsia"/>
          <w:kern w:val="0"/>
          <w:sz w:val="24"/>
        </w:rPr>
      </w:pPr>
      <w:r>
        <w:rPr>
          <w:rFonts w:cs="宋体" w:hint="eastAsia"/>
          <w:kern w:val="0"/>
        </w:rPr>
        <w:t>（二）排放、倾倒油类、酸液或剧毒废液；</w:t>
      </w:r>
    </w:p>
    <w:p>
      <w:pPr>
        <w:pStyle w:val="Normal"/>
        <w:widowControl/>
        <w:snapToGrid w:val="false"/>
        <w:spacing w:lineRule="exact" w:line="560"/>
        <w:ind w:firstLine="640" w:end="0"/>
        <w:rPr>
          <w:rFonts w:cs="宋体" w:hint="eastAsia"/>
          <w:kern w:val="0"/>
          <w:sz w:val="24"/>
        </w:rPr>
      </w:pPr>
      <w:r>
        <w:rPr>
          <w:rFonts w:cs="宋体" w:hint="eastAsia"/>
          <w:kern w:val="0"/>
        </w:rPr>
        <w:t>（三）排放、倾倒含有放射性物质的废水或含放射性固体废弃物；</w:t>
      </w:r>
    </w:p>
    <w:p>
      <w:pPr>
        <w:pStyle w:val="Normal"/>
        <w:widowControl/>
        <w:snapToGrid w:val="false"/>
        <w:spacing w:lineRule="exact" w:line="560"/>
        <w:ind w:firstLine="640" w:end="0"/>
        <w:rPr>
          <w:rFonts w:cs="宋体" w:hint="eastAsia"/>
          <w:kern w:val="0"/>
          <w:sz w:val="24"/>
        </w:rPr>
      </w:pPr>
      <w:r>
        <w:rPr>
          <w:rFonts w:cs="宋体" w:hint="eastAsia"/>
          <w:kern w:val="0"/>
        </w:rPr>
        <w:t>（四）排放不符合国家规定标准的废水、废渣；</w:t>
      </w:r>
    </w:p>
    <w:p>
      <w:pPr>
        <w:pStyle w:val="Normal"/>
        <w:widowControl/>
        <w:snapToGrid w:val="false"/>
        <w:spacing w:lineRule="exact" w:line="560"/>
        <w:ind w:firstLine="640" w:end="0"/>
        <w:rPr>
          <w:rFonts w:cs="宋体" w:hint="eastAsia"/>
          <w:kern w:val="0"/>
          <w:sz w:val="24"/>
        </w:rPr>
      </w:pPr>
      <w:r>
        <w:rPr>
          <w:rFonts w:cs="宋体" w:hint="eastAsia"/>
          <w:kern w:val="0"/>
        </w:rPr>
        <w:t>（五）倾倒工业、农业、建筑等废弃物；</w:t>
      </w:r>
    </w:p>
    <w:p>
      <w:pPr>
        <w:pStyle w:val="Normal"/>
        <w:widowControl/>
        <w:snapToGrid w:val="false"/>
        <w:spacing w:lineRule="exact" w:line="560"/>
        <w:ind w:firstLine="640" w:end="0"/>
        <w:rPr>
          <w:rFonts w:cs="宋体" w:hint="eastAsia"/>
          <w:kern w:val="0"/>
          <w:sz w:val="24"/>
        </w:rPr>
      </w:pPr>
      <w:r>
        <w:rPr>
          <w:rFonts w:cs="宋体" w:hint="eastAsia"/>
          <w:kern w:val="0"/>
        </w:rPr>
        <w:t>（六）倾倒煤灰、生活垃圾、人畜粪便以及混杂有上述物质的积雪；</w:t>
      </w:r>
    </w:p>
    <w:p>
      <w:pPr>
        <w:pStyle w:val="Normal"/>
        <w:widowControl/>
        <w:snapToGrid w:val="false"/>
        <w:spacing w:lineRule="exact" w:line="560"/>
        <w:ind w:firstLine="640" w:end="0"/>
        <w:rPr>
          <w:rFonts w:cs="宋体" w:hint="eastAsia"/>
          <w:kern w:val="0"/>
          <w:sz w:val="24"/>
        </w:rPr>
      </w:pPr>
      <w:r>
        <w:rPr>
          <w:rFonts w:cs="宋体" w:hint="eastAsia"/>
          <w:kern w:val="0"/>
        </w:rPr>
        <w:t>（七）清洗装贮过油类或者有毒有害污染物的车辆、容器。</w:t>
      </w:r>
    </w:p>
    <w:p>
      <w:pPr>
        <w:pStyle w:val="Normal"/>
        <w:widowControl/>
        <w:snapToGrid w:val="false"/>
        <w:spacing w:lineRule="exact" w:line="560"/>
        <w:ind w:firstLine="627" w:end="0"/>
        <w:rPr>
          <w:rFonts w:cs="宋体" w:hint="eastAsia"/>
          <w:kern w:val="0"/>
          <w:sz w:val="24"/>
        </w:rPr>
      </w:pPr>
      <w:r>
        <w:rPr>
          <w:rFonts w:cs="宋体" w:hint="eastAsia"/>
          <w:kern w:val="0"/>
          <w:sz w:val="24"/>
        </w:rPr>
      </w:r>
    </w:p>
    <w:p>
      <w:pPr>
        <w:pStyle w:val="Normal"/>
        <w:snapToGrid w:val="false"/>
        <w:spacing w:lineRule="exact" w:line="560"/>
        <w:ind w:firstLineChars="950" w:startChars="0" w:start="0" w:endChars="0" w:end="0"/>
        <w:rPr>
          <w:rFonts w:ascii="黑体" w:hAnsi="黑体" w:eastAsia="黑体" w:cs="宋体" w:hint="eastAsia"/>
          <w:kern w:val="0"/>
        </w:rPr>
      </w:pPr>
      <w:r>
        <w:rPr>
          <w:rFonts w:ascii="黑体" w:hAnsi="黑体" w:cs="宋体" w:hint="eastAsia" w:eastAsia="黑体"/>
          <w:kern w:val="0"/>
        </w:rPr>
        <w:t>第六章 法律责任</w:t>
      </w:r>
    </w:p>
    <w:p>
      <w:pPr>
        <w:pStyle w:val="Normal"/>
        <w:widowControl/>
        <w:snapToGrid w:val="false"/>
        <w:spacing w:lineRule="exact" w:line="560"/>
        <w:ind w:firstLine="627" w:end="0"/>
        <w:rPr>
          <w:rFonts w:ascii="黑体" w:hAnsi="黑体" w:eastAsia="黑体" w:cs="宋体" w:hint="eastAsia"/>
          <w:kern w:val="0"/>
        </w:rPr>
      </w:pPr>
      <w:r>
        <w:rPr>
          <w:rFonts w:eastAsia="黑体" w:cs="宋体" w:hint="eastAsia" w:ascii="黑体" w:hAnsi="黑体"/>
          <w:kern w:val="0"/>
        </w:rPr>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 xml:space="preserve">第二十八条 </w:t>
      </w:r>
      <w:r>
        <w:rPr>
          <w:rFonts w:cs="宋体" w:hint="eastAsia"/>
          <w:kern w:val="0"/>
        </w:rPr>
        <w:t>五条河流流域内的建设项目水污染防治设施未建成、未经验收或者验收不合格，主体工程即投入生产或者使用的，由市环境保护行政主管部门依据《中华人民共和国水污染防治法》规定处罚。</w:t>
      </w:r>
    </w:p>
    <w:p>
      <w:pPr>
        <w:pStyle w:val="Norma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第二十九条 </w:t>
      </w:r>
      <w:r>
        <w:rPr>
          <w:rFonts w:cs="宋体" w:hint="eastAsia"/>
          <w:kern w:val="0"/>
        </w:rPr>
        <w:t>对违反本条例第十八条第二款第（四）项规定，在河道两侧规划区范围内建设畜禽养殖场、养殖小区的，由市环境保护主管部门责令关闭；拒不改正的，处三万元以上十万元以下的罚款</w:t>
      </w:r>
      <w:r>
        <w:rPr>
          <w:rFonts w:cs="宋体" w:hint="eastAsia"/>
          <w:kern w:val="0"/>
        </w:rPr>
        <w:t>.</w:t>
      </w:r>
    </w:p>
    <w:p>
      <w:pPr>
        <w:pStyle w:val="Normal"/>
        <w:snapToGrid w:val="false"/>
        <w:spacing w:lineRule="exact" w:line="560"/>
        <w:ind w:firstLine="629" w:end="0"/>
        <w:rPr>
          <w:rFonts w:cs="宋体" w:hint="eastAsia"/>
          <w:kern w:val="0"/>
          <w:sz w:val="24"/>
        </w:rPr>
      </w:pPr>
      <w:r>
        <w:rPr>
          <w:rFonts w:ascii="黑体" w:hAnsi="黑体" w:cs="宋体" w:hint="eastAsia" w:eastAsia="黑体"/>
          <w:bCs/>
          <w:kern w:val="0"/>
        </w:rPr>
        <w:t xml:space="preserve">第三十条 </w:t>
      </w:r>
      <w:r>
        <w:rPr>
          <w:rFonts w:cs="宋体" w:hint="eastAsia"/>
          <w:kern w:val="0"/>
        </w:rPr>
        <w:t>违反本条例第十九条规定，未经许可在五条河流范围内进行工程建设的，由市水行政主管部门责令停止违法行为，责令限期拆除违法建筑物、构筑物；逾期不拆除的，强行拆除，所需费用由违法单位或者个人负担，并处一万元以上十万元以下的罚款。</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第三十一条 </w:t>
      </w:r>
      <w:r>
        <w:rPr>
          <w:rFonts w:cs="宋体" w:hint="eastAsia"/>
          <w:kern w:val="0"/>
        </w:rPr>
        <w:t>违反本条例第十八条规定，擅自或未依照批准的取水许可规定条件在五条河流河道管理范围内取水的，由市水行政主管部门责令停止违法行为，限期采取补救措施，处二万元以上十万元以下的罚款；情节严重的，吊销其取水许可证。</w:t>
      </w:r>
    </w:p>
    <w:p>
      <w:pPr>
        <w:pStyle w:val="Normal"/>
        <w:snapToGrid w:val="false"/>
        <w:spacing w:lineRule="exact" w:line="560"/>
        <w:ind w:firstLineChars="200" w:startChars="0" w:start="0" w:endChars="0" w:end="0"/>
        <w:rPr>
          <w:rFonts w:cs="宋体" w:hint="eastAsia"/>
          <w:kern w:val="0"/>
          <w:sz w:val="24"/>
        </w:rPr>
      </w:pPr>
      <w:r>
        <w:rPr>
          <w:rFonts w:cs="宋体" w:hint="eastAsia"/>
          <w:kern w:val="0"/>
        </w:rPr>
        <w:t>拒不缴纳、拖延缴纳或者拖欠水资源费的，由市水行政主管部门依据职权，责令限期缴纳；逾期不缴纳的，从滞纳之日起按日加收滞纳部分千分之二的滞纳金，并处应缴或者补缴水资源费一倍以上五倍以下的罚款。</w:t>
      </w:r>
    </w:p>
    <w:p>
      <w:pPr>
        <w:pStyle w:val="Normal"/>
        <w:widowControl/>
        <w:snapToGrid w:val="false"/>
        <w:spacing w:lineRule="exact" w:line="560"/>
        <w:rPr>
          <w:rFonts w:cs="宋体" w:hint="eastAsia"/>
          <w:kern w:val="0"/>
          <w:sz w:val="24"/>
        </w:rPr>
      </w:pPr>
      <w:r>
        <w:rPr>
          <w:rFonts w:eastAsia="黑体" w:cs="宋体" w:hint="eastAsia" w:ascii="黑体" w:hAnsi="黑体"/>
          <w:bCs/>
          <w:kern w:val="0"/>
        </w:rPr>
        <w:t xml:space="preserve">    </w:t>
      </w:r>
      <w:r>
        <w:rPr>
          <w:rFonts w:ascii="黑体" w:hAnsi="黑体" w:cs="宋体" w:hint="eastAsia" w:eastAsia="黑体"/>
          <w:bCs/>
          <w:kern w:val="0"/>
        </w:rPr>
        <w:t xml:space="preserve">第三十二条 </w:t>
      </w:r>
      <w:r>
        <w:rPr>
          <w:rFonts w:cs="宋体" w:hint="eastAsia"/>
          <w:kern w:val="0"/>
        </w:rPr>
        <w:t>违反本条例第十九条规定，在河道管理范围内，未经批准或者不按批准的作业范围和方式采砂、取土、取石的，市水行政主管部门除责令其恢复河道原状外，没收违法所得，并视情节轻重处以三千元以下罚款。</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 xml:space="preserve">第三十三条 </w:t>
      </w:r>
      <w:r>
        <w:rPr>
          <w:rFonts w:cs="宋体" w:hint="eastAsia"/>
          <w:kern w:val="0"/>
        </w:rPr>
        <w:t>违反本条例第二十二条和二十三条规定，市水行政主管部门除责令纠正违法行为、赔偿损失、采取补救措施外，可视其违法损害情节，分别给予警告、一万元以下的罚款、没收非法所得的处罚；应当给予治安管理处罚的，按照《中华人民共和国治安管理处罚法》的规定处罚；构成犯罪的，依法追究刑事责任。</w:t>
      </w:r>
    </w:p>
    <w:p>
      <w:pPr>
        <w:pStyle w:val="Norma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第三十四条 </w:t>
      </w:r>
      <w:r>
        <w:rPr>
          <w:rFonts w:cs="宋体" w:hint="eastAsia"/>
          <w:kern w:val="0"/>
        </w:rPr>
        <w:t>违反本条例第二十五条规定的，无排污许可证或者违反排污许可证的规定向五条河流内排放污染物的，由市环境保护主管部门责令限期改正，并处五万元以下的罚款；情节严重的，吊销排污许可证。</w:t>
      </w:r>
    </w:p>
    <w:p>
      <w:pPr>
        <w:pStyle w:val="Normal"/>
        <w:widowControl/>
        <w:snapToGrid w:val="false"/>
        <w:spacing w:lineRule="exact" w:line="560"/>
        <w:ind w:firstLineChars="200" w:startChars="0" w:start="0" w:endChars="0" w:end="0"/>
        <w:rPr>
          <w:rFonts w:cs="宋体" w:hint="eastAsia"/>
          <w:kern w:val="0"/>
          <w:sz w:val="24"/>
        </w:rPr>
      </w:pPr>
      <w:r>
        <w:rPr>
          <w:rFonts w:ascii="黑体" w:hAnsi="黑体" w:cs="宋体" w:hint="eastAsia" w:eastAsia="黑体"/>
          <w:bCs/>
          <w:kern w:val="0"/>
        </w:rPr>
        <w:t xml:space="preserve">第三十五条 </w:t>
      </w:r>
      <w:r>
        <w:rPr>
          <w:rFonts w:cs="宋体" w:hint="eastAsia"/>
          <w:kern w:val="0"/>
        </w:rPr>
        <w:t>违反本条例第二十五条规定，在饮用水水源保护区内设置排污口的，由市人民政府责令限期拆除，并处五万元以上十万元以下的罚款；逾期不拆除的，强制拆除，所需费用由违法者承担，处五十万元以上一百万元以下的罚款。</w:t>
      </w:r>
    </w:p>
    <w:p>
      <w:pPr>
        <w:pStyle w:val="Normal"/>
        <w:widowControl/>
        <w:snapToGrid w:val="false"/>
        <w:spacing w:lineRule="exact" w:line="560"/>
        <w:ind w:firstLine="627" w:end="0"/>
        <w:rPr>
          <w:rFonts w:cs="宋体" w:hint="eastAsia"/>
          <w:kern w:val="0"/>
        </w:rPr>
      </w:pPr>
      <w:r>
        <w:rPr>
          <w:rFonts w:ascii="黑体" w:hAnsi="黑体" w:cs="宋体" w:hint="eastAsia" w:eastAsia="黑体"/>
          <w:bCs/>
          <w:kern w:val="0"/>
        </w:rPr>
        <w:t xml:space="preserve">第三十六条 </w:t>
      </w:r>
      <w:r>
        <w:rPr>
          <w:rFonts w:cs="宋体" w:hint="eastAsia"/>
          <w:kern w:val="0"/>
        </w:rPr>
        <w:t>违反本条例第二十七条规定，由市环境保护行政主管部门、市水行政主管部门分别按照《中华人民共和国水污染防治法》、《中华人民共和国河道管理条例》等有关法律、法规的规定予以处罚。</w:t>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bCs/>
          <w:kern w:val="0"/>
        </w:rPr>
        <w:t xml:space="preserve">第三十七条 </w:t>
      </w:r>
      <w:r>
        <w:rPr>
          <w:rFonts w:cs="宋体" w:hint="eastAsia"/>
          <w:kern w:val="0"/>
        </w:rPr>
        <w:t>违反本条例应当受到处罚的其他行为，依照有关法律、法规的规定进行处罚；构成犯罪的，依法追究刑事责任。</w:t>
      </w:r>
    </w:p>
    <w:p>
      <w:pPr>
        <w:pStyle w:val="Normal"/>
        <w:snapToGrid w:val="false"/>
        <w:spacing w:lineRule="exact" w:line="560"/>
        <w:ind w:firstLine="629" w:end="0"/>
        <w:rPr>
          <w:rFonts w:cs="宋体" w:hint="eastAsia"/>
          <w:kern w:val="0"/>
          <w:sz w:val="24"/>
        </w:rPr>
      </w:pPr>
      <w:r>
        <w:rPr>
          <w:rFonts w:ascii="黑体" w:hAnsi="黑体" w:cs="宋体" w:hint="eastAsia" w:eastAsia="黑体"/>
          <w:bCs/>
          <w:kern w:val="0"/>
        </w:rPr>
        <w:t xml:space="preserve">第三十八条 </w:t>
      </w:r>
      <w:r>
        <w:rPr>
          <w:rFonts w:cs="宋体" w:hint="eastAsia"/>
          <w:kern w:val="0"/>
        </w:rPr>
        <w:t>当事人对行政处罚决定不服的，可以在接到处罚决定之日起十五日内，向作出处罚决定机关的上一级机关或者同级人民政府申请复议；对复议决定不服的，可以在接到复议决定之日起十五日内，向人民法院起诉。当事人也可以直接向人民法院起诉。当事人逾期不申请复议、不起诉又不履行。行处罚决定的，作出处罚决定的机关可以申请人民法院强制执行。</w:t>
      </w:r>
    </w:p>
    <w:p>
      <w:pPr>
        <w:pStyle w:val="Normal"/>
        <w:snapToGrid w:val="false"/>
        <w:spacing w:lineRule="exact" w:line="560"/>
        <w:ind w:firstLine="629" w:end="0"/>
        <w:rPr>
          <w:rFonts w:cs="宋体" w:hint="eastAsia"/>
          <w:kern w:val="0"/>
          <w:sz w:val="24"/>
        </w:rPr>
      </w:pPr>
      <w:r>
        <w:rPr>
          <w:rFonts w:ascii="黑体" w:hAnsi="黑体" w:cs="宋体" w:hint="eastAsia" w:eastAsia="黑体"/>
          <w:bCs/>
          <w:kern w:val="0"/>
        </w:rPr>
        <w:t xml:space="preserve">第三十九条 </w:t>
      </w:r>
      <w:r>
        <w:rPr>
          <w:rFonts w:cs="宋体" w:hint="eastAsia"/>
          <w:kern w:val="0"/>
        </w:rPr>
        <w:t>负有五条河流域管理职责的工作人员滥用职权、玩忽职守、徇私舞弊，情节轻微的，由其所在单位或上级机关给予行政处分；构成犯罪的，依法追究其刑事责任。</w:t>
      </w:r>
    </w:p>
    <w:p>
      <w:pPr>
        <w:pStyle w:val="Normal"/>
        <w:widowControl/>
        <w:snapToGrid w:val="false"/>
        <w:spacing w:lineRule="exact" w:line="560"/>
        <w:rPr>
          <w:rFonts w:cs="宋体" w:hint="eastAsia"/>
          <w:kern w:val="0"/>
        </w:rPr>
      </w:pPr>
      <w:r>
        <w:rPr>
          <w:rFonts w:cs="宋体" w:hint="eastAsia"/>
          <w:kern w:val="0"/>
        </w:rPr>
        <w:t xml:space="preserve">   </w:t>
      </w:r>
    </w:p>
    <w:p>
      <w:pPr>
        <w:pStyle w:val="Normal"/>
        <w:widowControl/>
        <w:snapToGrid w:val="false"/>
        <w:spacing w:lineRule="exact" w:line="560"/>
        <w:jc w:val="center"/>
        <w:rPr>
          <w:rFonts w:cs="宋体" w:hint="eastAsia"/>
          <w:kern w:val="0"/>
        </w:rPr>
      </w:pPr>
      <w:r>
        <w:rPr>
          <w:rFonts w:cs="宋体" w:hint="eastAsia"/>
          <w:kern w:val="0"/>
        </w:rPr>
      </w:r>
    </w:p>
    <w:p>
      <w:pPr>
        <w:pStyle w:val="Normal"/>
        <w:widowControl/>
        <w:snapToGrid w:val="false"/>
        <w:spacing w:lineRule="exact" w:line="560"/>
        <w:jc w:val="center"/>
        <w:rPr>
          <w:rFonts w:ascii="黑体" w:hAnsi="黑体" w:eastAsia="黑体" w:cs="宋体" w:hint="eastAsia"/>
          <w:kern w:val="0"/>
        </w:rPr>
      </w:pPr>
      <w:r>
        <w:rPr>
          <w:rFonts w:ascii="黑体" w:hAnsi="黑体" w:cs="宋体" w:hint="eastAsia" w:eastAsia="黑体"/>
          <w:kern w:val="0"/>
        </w:rPr>
        <w:t>第七章 附则</w:t>
      </w:r>
    </w:p>
    <w:p>
      <w:pPr>
        <w:pStyle w:val="Normal"/>
        <w:widowControl/>
        <w:snapToGrid w:val="false"/>
        <w:spacing w:lineRule="exact" w:line="560"/>
        <w:jc w:val="center"/>
        <w:rPr>
          <w:rFonts w:ascii="黑体" w:hAnsi="黑体" w:eastAsia="黑体" w:cs="宋体" w:hint="eastAsia"/>
          <w:kern w:val="0"/>
          <w:sz w:val="24"/>
        </w:rPr>
      </w:pPr>
      <w:r>
        <w:rPr>
          <w:rFonts w:eastAsia="黑体" w:cs="宋体" w:hint="eastAsia" w:ascii="黑体" w:hAnsi="黑体"/>
          <w:kern w:val="0"/>
          <w:sz w:val="24"/>
        </w:rPr>
      </w:r>
    </w:p>
    <w:p>
      <w:pPr>
        <w:pStyle w:val="Normal"/>
        <w:widowControl/>
        <w:snapToGrid w:val="false"/>
        <w:spacing w:lineRule="exact" w:line="560"/>
        <w:ind w:firstLine="627" w:end="0"/>
        <w:rPr>
          <w:rFonts w:cs="宋体" w:hint="eastAsia"/>
          <w:kern w:val="0"/>
          <w:sz w:val="24"/>
        </w:rPr>
      </w:pPr>
      <w:r>
        <w:rPr>
          <w:rFonts w:ascii="黑体" w:hAnsi="黑体" w:cs="宋体" w:hint="eastAsia" w:eastAsia="黑体"/>
          <w:kern w:val="0"/>
        </w:rPr>
        <w:t xml:space="preserve">第四十条 </w:t>
      </w:r>
      <w:r>
        <w:rPr>
          <w:rFonts w:cs="宋体" w:hint="eastAsia"/>
          <w:kern w:val="0"/>
        </w:rPr>
        <w:t>本条例自</w:t>
      </w:r>
      <w:r>
        <w:rPr>
          <w:rFonts w:cs="宋体" w:hint="eastAsia"/>
          <w:kern w:val="0"/>
        </w:rPr>
        <w:t>2017</w:t>
      </w:r>
      <w:r>
        <w:rPr>
          <w:rFonts w:cs="宋体" w:hint="eastAsia"/>
          <w:kern w:val="0"/>
        </w:rPr>
        <w:t>年</w:t>
      </w:r>
      <w:r>
        <w:rPr>
          <w:rFonts w:cs="宋体" w:hint="eastAsia"/>
          <w:kern w:val="0"/>
        </w:rPr>
        <w:t>10</w:t>
      </w:r>
      <w:r>
        <w:rPr>
          <w:rFonts w:cs="宋体" w:hint="eastAsia"/>
          <w:kern w:val="0"/>
        </w:rPr>
        <w:t>月</w:t>
      </w:r>
      <w:r>
        <w:rPr>
          <w:rFonts w:cs="宋体" w:hint="eastAsia"/>
          <w:kern w:val="0"/>
        </w:rPr>
        <w:t>1</w:t>
      </w:r>
      <w:r>
        <w:rPr>
          <w:rFonts w:cs="宋体" w:hint="eastAsia"/>
          <w:kern w:val="0"/>
        </w:rPr>
        <w:t>日起施行。</w:t>
      </w:r>
    </w:p>
    <w:p>
      <w:pPr>
        <w:pStyle w:val="Normal"/>
        <w:spacing w:lineRule="exact" w:line="600"/>
        <w:jc w:val="center"/>
        <w:rPr>
          <w:rFonts w:cs="宋体" w:hint="eastAsia"/>
          <w:kern w:val="0"/>
          <w:sz w:val="44"/>
          <w:szCs w:val="44"/>
        </w:rPr>
      </w:pPr>
      <w:r>
        <w:rPr>
          <w:rFonts w:cs="宋体" w:hint="eastAsia"/>
          <w:kern w:val="0"/>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600"/>
        <w:jc w:val="center"/>
        <w:rPr>
          <w:rFonts w:hint="eastAsia"/>
          <w:sz w:val="44"/>
          <w:szCs w:val="44"/>
        </w:rPr>
      </w:pPr>
      <w:r>
        <w:rPr>
          <w:rFonts w:hint="eastAsia"/>
          <w:sz w:val="44"/>
          <w:szCs w:val="44"/>
        </w:rPr>
      </w:r>
    </w:p>
    <w:p>
      <w:pPr>
        <w:pStyle w:val="Normal"/>
        <w:spacing w:lineRule="exact" w:line="520"/>
        <w:rPr>
          <w:rFonts w:cs="仿宋" w:hint="eastAsia"/>
          <w:sz w:val="44"/>
          <w:szCs w:val="44"/>
        </w:rPr>
      </w:pPr>
      <w:r>
        <w:rPr>
          <w:rFonts w:cs="仿宋" w:hint="eastAsia"/>
          <w:sz w:val="44"/>
          <w:szCs w:val="44"/>
        </w:rPr>
      </w:r>
    </w:p>
    <w:sectPr>
      <w:footerReference w:type="default" r:id="rId2"/>
      <w:type w:val="nextPage"/>
      <w:pgSz w:w="11906" w:h="16838"/>
      <w:pgMar w:left="1531" w:right="1531" w:gutter="0" w:header="0" w:top="1985" w:footer="992" w:bottom="1644"/>
      <w:pgNumType w:fmt="decimal"/>
      <w:formProt w:val="false"/>
      <w:textDirection w:val="lrTb"/>
      <w:docGrid w:type="lines" w:linePitch="63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auto"/>
    <w:pitch w:val="default"/>
  </w:font>
  <w:font w:name="黑体">
    <w:charset w:val="86"/>
    <w:family w:val="auto"/>
    <w:pitch w:val="default"/>
  </w:font>
  <w:font w:name="_6977_4f53_GB2312">
    <w:altName w:val="Times New Roman"/>
    <w:charset w:val="00" w:characterSet="windows-1252"/>
    <w:family w:val="roman"/>
    <w:pitch w:val="default"/>
  </w:font>
  <w:font w:name="_4eff_5b8b_GB2312">
    <w:altName w:val="Times New Roman"/>
    <w:charset w:val="00" w:characterSet="windows-1252"/>
    <w:family w:val="roman"/>
    <w:pitch w:val="default"/>
  </w:font>
  <w:font w:name="_9ed1_4f53">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000000"/>
      <w:kern w:val="2"/>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Char">
    <w:name w:val="页眉 Char"/>
    <w:basedOn w:val="Style14"/>
    <w:qFormat/>
    <w:rPr>
      <w:rFonts w:ascii="仿宋_GB2312" w:hAnsi="仿宋_GB2312" w:eastAsia="仿宋_GB2312"/>
      <w:color w:val="000000"/>
      <w:kern w:val="2"/>
      <w:sz w:val="18"/>
      <w:szCs w:val="18"/>
    </w:rPr>
  </w:style>
  <w:style w:type="character" w:styleId="Char1">
    <w:name w:val="页脚 Char"/>
    <w:basedOn w:val="Style14"/>
    <w:qFormat/>
    <w:rPr>
      <w:rFonts w:ascii="仿宋_GB2312" w:hAnsi="仿宋_GB2312" w:eastAsia="仿宋_GB2312"/>
      <w:color w:val="000000"/>
      <w:kern w:val="2"/>
      <w:sz w:val="18"/>
      <w:szCs w:val="18"/>
    </w:rPr>
  </w:style>
  <w:style w:type="character" w:styleId="Char2">
    <w:name w:val="批注框文本 Char"/>
    <w:basedOn w:val="Style14"/>
    <w:qFormat/>
    <w:rPr>
      <w:rFonts w:ascii="仿宋_GB2312" w:hAnsi="仿宋_GB2312" w:eastAsia="仿宋_GB2312"/>
      <w:color w:val="000000"/>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2017-05-02T11:09:00Z</dcterms:created>
  <dc:creator>q</dc:creator>
  <dc:description/>
  <dc:language>en-US</dc:language>
  <cp:lastModifiedBy>Administrator</cp:lastModifiedBy>
  <cp:lastPrinted>2017-09-08T11:42:00Z</cp:lastPrinted>
  <dcterms:modified xsi:type="dcterms:W3CDTF">2017-09-22T11:47:38Z</dcterms:modified>
  <cp:revision>18</cp:revision>
  <dc:subject/>
  <dc:title>自治州十四届人大常委会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