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pacing w:lineRule="exact" w:line="560"/>
        <w:jc w:val="center"/>
        <w:outlineLvl w:val="1"/>
        <w:rPr>
          <w:rFonts w:hint="eastAsia"/>
          <w:szCs w:val="32"/>
        </w:rPr>
      </w:pPr>
      <w:r>
        <w:rPr>
          <w:rFonts w:hint="eastAsia"/>
          <w:szCs w:val="32"/>
        </w:rPr>
      </w:r>
    </w:p>
    <w:p>
      <w:pPr>
        <w:pStyle w:val="Normal"/>
        <w:widowControl/>
        <w:numPr>
          <w:ilvl w:val="0"/>
          <w:numId w:val="0"/>
        </w:numPr>
        <w:spacing w:lineRule="exact" w:line="560"/>
        <w:jc w:val="center"/>
        <w:outlineLvl w:val="1"/>
        <w:rPr>
          <w:rFonts w:ascii="宋体;SimSun" w:hAnsi="宋体;SimSun" w:cs="宋体;SimSun" w:hint="eastAsia"/>
          <w:b/>
          <w:bCs/>
          <w:kern w:val="0"/>
          <w:sz w:val="32"/>
          <w:szCs w:val="32"/>
        </w:rPr>
      </w:pPr>
      <w:r>
        <w:rPr>
          <w:rFonts w:cs="宋体;SimSun" w:hint="eastAsia" w:ascii="宋体;SimSun" w:hAnsi="宋体;SimSun"/>
          <w:b/>
          <w:bCs/>
          <w:kern w:val="0"/>
          <w:sz w:val="32"/>
          <w:szCs w:val="32"/>
        </w:rPr>
      </w:r>
    </w:p>
    <w:p>
      <w:pPr>
        <w:pStyle w:val="Normal"/>
        <w:widowControl/>
        <w:numPr>
          <w:ilvl w:val="0"/>
          <w:numId w:val="0"/>
        </w:numPr>
        <w:spacing w:lineRule="exact" w:line="560"/>
        <w:jc w:val="center"/>
        <w:outlineLvl w:val="1"/>
        <w:rPr>
          <w:rFonts w:ascii="宋体;SimSun" w:hAnsi="宋体;SimSun" w:cs="宋体;SimSun" w:hint="eastAsia"/>
          <w:kern w:val="0"/>
          <w:sz w:val="44"/>
          <w:szCs w:val="44"/>
        </w:rPr>
      </w:pPr>
      <w:r>
        <w:rPr>
          <w:rFonts w:ascii="宋体;SimSun" w:hAnsi="宋体;SimSun" w:cs="宋体;SimSun" w:hint="eastAsia"/>
          <w:kern w:val="0"/>
          <w:sz w:val="44"/>
          <w:szCs w:val="44"/>
        </w:rPr>
        <w:t>乌鲁木齐经济技术开发区管理条例</w:t>
      </w:r>
    </w:p>
    <w:p>
      <w:pPr>
        <w:pStyle w:val="Normal"/>
        <w:widowControl/>
        <w:numPr>
          <w:ilvl w:val="0"/>
          <w:numId w:val="0"/>
        </w:numPr>
        <w:spacing w:lineRule="exact" w:line="560"/>
        <w:jc w:val="center"/>
        <w:outlineLvl w:val="1"/>
        <w:rPr>
          <w:rFonts w:ascii="宋体;SimSun" w:hAnsi="宋体;SimSun" w:cs="宋体;SimSun" w:hint="eastAsia"/>
          <w:b/>
          <w:bCs/>
          <w:kern w:val="0"/>
          <w:sz w:val="32"/>
          <w:szCs w:val="32"/>
        </w:rPr>
      </w:pPr>
      <w:r>
        <w:rPr>
          <w:rFonts w:cs="宋体;SimSun" w:hint="eastAsia" w:ascii="宋体;SimSun" w:hAnsi="宋体;SimSun"/>
          <w:b/>
          <w:bCs/>
          <w:kern w:val="0"/>
          <w:sz w:val="32"/>
          <w:szCs w:val="32"/>
        </w:rPr>
      </w:r>
    </w:p>
    <w:p>
      <w:pPr>
        <w:pStyle w:val="Normal"/>
        <w:widowControl/>
        <w:tabs>
          <w:tab w:val="clear" w:pos="420"/>
          <w:tab w:val="left" w:pos="720" w:leader="none"/>
          <w:tab w:val="left" w:pos="8280" w:leader="none"/>
        </w:tabs>
        <w:spacing w:lineRule="exact" w:line="560"/>
        <w:ind w:firstLineChars="0" w:firstLine="0" w:startChars="337" w:endChars="296"/>
        <w:jc w:val="center"/>
        <w:rPr/>
      </w:pPr>
      <w:r>
        <w:rPr>
          <w:rFonts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 xml:space="preserve">日乌鲁木齐市第十二届人民代表大会常务委员会第二十五次会议通过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 xml:space="preserve">日乌鲁木齐市十三届人民代表大会常务委员会第十三次会议修订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日乌鲁木齐市十六届人民代表大会常务委员会第二十九次会议修订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日新疆维吾尔自治区第十三届人民代表大会</w:t>
      </w:r>
    </w:p>
    <w:p>
      <w:pPr>
        <w:pStyle w:val="Normal"/>
        <w:widowControl/>
        <w:tabs>
          <w:tab w:val="clear" w:pos="420"/>
          <w:tab w:val="left" w:pos="720" w:leader="none"/>
          <w:tab w:val="left" w:pos="8280" w:leader="none"/>
        </w:tabs>
        <w:spacing w:lineRule="exact" w:line="560"/>
        <w:ind w:firstLineChars="0" w:firstLine="0" w:startChars="337" w:endChars="296"/>
        <w:jc w:val="center"/>
        <w:rPr>
          <w:rFonts w:eastAsia="楷体_GB2312" w:hint="eastAsia"/>
          <w:sz w:val="32"/>
          <w:szCs w:val="32"/>
        </w:rPr>
      </w:pPr>
      <w:r>
        <w:rPr>
          <w:rFonts w:ascii="楷体_GB2312" w:hAnsi="楷体_GB2312" w:hint="eastAsia" w:eastAsia="楷体_GB2312"/>
          <w:sz w:val="32"/>
          <w:szCs w:val="32"/>
        </w:rPr>
        <w:t>常务委员会第十九次会议批准</w:t>
      </w:r>
      <w:r>
        <w:rPr>
          <w:rFonts w:eastAsia="楷体_GB2312"/>
          <w:sz w:val="32"/>
          <w:szCs w:val="32"/>
        </w:rPr>
        <w:t>）</w:t>
      </w:r>
    </w:p>
    <w:p>
      <w:pPr>
        <w:pStyle w:val="Style15"/>
        <w:shd w:fill="FFFFFF" w:val="clear"/>
        <w:snapToGrid w:val="false"/>
        <w:spacing w:lineRule="exact" w:line="560" w:before="0" w:after="0"/>
        <w:jc w:val="center"/>
        <w:rPr>
          <w:rStyle w:val="Strong"/>
          <w:rFonts w:hint="eastAsia"/>
          <w:color w:val="404040"/>
          <w:szCs w:val="32"/>
        </w:rPr>
      </w:pPr>
      <w:r>
        <w:rPr>
          <w:rFonts w:eastAsia="楷体_GB2312" w:hint="eastAsia"/>
          <w:sz w:val="32"/>
          <w:szCs w:val="32"/>
        </w:rPr>
      </w:r>
    </w:p>
    <w:p>
      <w:pPr>
        <w:pStyle w:val="Style15"/>
        <w:shd w:fill="FFFFFF" w:val="clear"/>
        <w:tabs>
          <w:tab w:val="clear" w:pos="420"/>
          <w:tab w:val="left" w:pos="360" w:leader="none"/>
        </w:tabs>
        <w:snapToGrid w:val="false"/>
        <w:spacing w:lineRule="exact" w:line="560" w:before="0" w:after="0"/>
        <w:jc w:val="center"/>
        <w:rPr/>
      </w:pPr>
      <w:bookmarkStart w:id="0" w:name="sub5297635_2_1"/>
      <w:bookmarkStart w:id="1" w:name="2_1"/>
      <w:bookmarkEnd w:id="0"/>
      <w:bookmarkEnd w:id="1"/>
      <w:r>
        <w:rPr>
          <w:rStyle w:val="Strong"/>
          <w:rFonts w:eastAsia="楷体_GB2312"/>
          <w:b w:val="false"/>
          <w:bCs w:val="false"/>
          <w:szCs w:val="32"/>
        </w:rPr>
        <w:t>目</w:t>
      </w:r>
      <w:r>
        <w:rPr>
          <w:rStyle w:val="Strong"/>
          <w:rFonts w:hint="eastAsia" w:eastAsia="楷体_GB2312"/>
          <w:b w:val="false"/>
          <w:bCs w:val="false"/>
          <w:szCs w:val="32"/>
        </w:rPr>
        <w:t xml:space="preserve">    </w:t>
      </w:r>
      <w:r>
        <w:rPr>
          <w:rStyle w:val="Strong"/>
          <w:rFonts w:eastAsia="楷体_GB2312"/>
          <w:b w:val="false"/>
          <w:bCs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eastAsia="楷体_GB2312"/>
          <w:b w:val="false"/>
          <w:szCs w:val="32"/>
        </w:rPr>
        <w:t>第一章</w:t>
      </w:r>
      <w:r>
        <w:rPr>
          <w:rStyle w:val="Strong"/>
          <w:rFonts w:hint="eastAsia"/>
          <w:b w:val="false"/>
          <w:szCs w:val="32"/>
        </w:rPr>
        <w:t xml:space="preserve">  </w:t>
      </w:r>
      <w:r>
        <w:rPr>
          <w:rStyle w:val="Strong"/>
          <w:rFonts w:eastAsia="楷体_GB2312"/>
          <w:b w:val="false"/>
          <w:szCs w:val="32"/>
        </w:rPr>
        <w:t>总</w:t>
      </w:r>
      <w:r>
        <w:rPr>
          <w:rStyle w:val="Strong"/>
          <w:rFonts w:hint="eastAsia" w:eastAsia="楷体_GB2312"/>
          <w:b w:val="false"/>
          <w:szCs w:val="32"/>
        </w:rPr>
        <w:t xml:space="preserve">  </w:t>
      </w:r>
      <w:r>
        <w:rPr>
          <w:rStyle w:val="Strong"/>
          <w:rFonts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eastAsia="楷体_GB2312"/>
          <w:b w:val="false"/>
          <w:szCs w:val="32"/>
        </w:rPr>
        <w:t>第二章</w:t>
      </w:r>
      <w:r>
        <w:rPr>
          <w:rStyle w:val="Strong"/>
          <w:rFonts w:hint="eastAsia" w:eastAsia="楷体_GB2312"/>
          <w:b w:val="false"/>
          <w:szCs w:val="32"/>
        </w:rPr>
        <w:t xml:space="preserve">  管理职责</w:t>
      </w:r>
    </w:p>
    <w:p>
      <w:pPr>
        <w:pStyle w:val="Style15"/>
        <w:shd w:fill="FFFFFF" w:val="clear"/>
        <w:snapToGrid w:val="false"/>
        <w:spacing w:lineRule="exact" w:line="560" w:before="0" w:after="0"/>
        <w:ind w:firstLineChars="200" w:startChars="0" w:start="0" w:endChars="0" w:end="0"/>
        <w:rPr/>
      </w:pPr>
      <w:r>
        <w:rPr>
          <w:rStyle w:val="Strong"/>
          <w:rFonts w:eastAsia="楷体_GB2312"/>
          <w:b w:val="false"/>
          <w:szCs w:val="32"/>
        </w:rPr>
        <w:t>第三章</w:t>
      </w:r>
      <w:r>
        <w:rPr>
          <w:rStyle w:val="Strong"/>
          <w:rFonts w:hint="eastAsia" w:eastAsia="楷体_GB2312"/>
          <w:b w:val="false"/>
          <w:szCs w:val="32"/>
        </w:rPr>
        <w:t xml:space="preserve">  投资促进</w:t>
      </w:r>
    </w:p>
    <w:p>
      <w:pPr>
        <w:pStyle w:val="Style15"/>
        <w:shd w:fill="FFFFFF" w:val="clear"/>
        <w:snapToGrid w:val="false"/>
        <w:spacing w:lineRule="exact" w:line="560" w:before="0" w:after="0"/>
        <w:ind w:firstLineChars="200" w:startChars="0" w:start="0" w:endChars="0" w:end="0"/>
        <w:rPr/>
      </w:pPr>
      <w:r>
        <w:rPr>
          <w:rStyle w:val="Strong"/>
          <w:rFonts w:eastAsia="楷体_GB2312"/>
          <w:b w:val="false"/>
          <w:szCs w:val="32"/>
        </w:rPr>
        <w:t>第四章</w:t>
      </w:r>
      <w:r>
        <w:rPr>
          <w:rStyle w:val="Strong"/>
          <w:rFonts w:hint="eastAsia" w:eastAsia="楷体_GB2312"/>
          <w:b w:val="false"/>
          <w:szCs w:val="32"/>
        </w:rPr>
        <w:t xml:space="preserve">  保障措施</w:t>
      </w:r>
    </w:p>
    <w:p>
      <w:pPr>
        <w:pStyle w:val="Style15"/>
        <w:shd w:fill="FFFFFF" w:val="clear"/>
        <w:snapToGrid w:val="false"/>
        <w:spacing w:lineRule="exact" w:line="560" w:before="0" w:after="0"/>
        <w:ind w:firstLineChars="200" w:startChars="0" w:start="0" w:endChars="0" w:end="0"/>
        <w:rPr>
          <w:rStyle w:val="Strong"/>
          <w:rFonts w:eastAsia="楷体_GB2312" w:hint="eastAsia"/>
          <w:b w:val="false"/>
          <w:szCs w:val="32"/>
        </w:rPr>
      </w:pPr>
      <w:r>
        <w:rPr>
          <w:rStyle w:val="Strong"/>
          <w:rFonts w:eastAsia="楷体_GB2312"/>
          <w:b w:val="false"/>
          <w:szCs w:val="32"/>
        </w:rPr>
        <w:t>第五章</w:t>
      </w:r>
      <w:r>
        <w:rPr>
          <w:rStyle w:val="Strong"/>
          <w:rFonts w:hint="eastAsia" w:eastAsia="楷体_GB2312"/>
          <w:b w:val="false"/>
          <w:szCs w:val="32"/>
        </w:rPr>
        <w:t xml:space="preserve">  </w:t>
      </w:r>
      <w:r>
        <w:rPr>
          <w:rStyle w:val="Strong"/>
          <w:rFonts w:eastAsia="楷体_GB2312"/>
          <w:b w:val="false"/>
          <w:szCs w:val="32"/>
        </w:rPr>
        <w:t>附</w:t>
      </w:r>
      <w:r>
        <w:rPr>
          <w:rStyle w:val="Strong"/>
          <w:rFonts w:hint="eastAsia" w:eastAsia="楷体_GB2312"/>
          <w:b w:val="false"/>
          <w:szCs w:val="32"/>
        </w:rPr>
        <w:t xml:space="preserve">  </w:t>
      </w:r>
      <w:r>
        <w:rPr>
          <w:rStyle w:val="Strong"/>
          <w:rFonts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eastAsia="仿宋_GB2312" w:hint="eastAsia"/>
          <w:b w:val="false"/>
          <w:sz w:val="32"/>
          <w:szCs w:val="32"/>
        </w:rPr>
      </w:pPr>
      <w:r>
        <w:rPr/>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t xml:space="preserve"> </w:t>
      </w:r>
      <w:r>
        <w:rPr>
          <w:rFonts w:hint="eastAsia" w:eastAsia="黑体;SimHei"/>
          <w:sz w:val="32"/>
          <w:szCs w:val="32"/>
        </w:rPr>
        <w:t>第一章  总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bookmarkStart w:id="2" w:name="2_2"/>
      <w:bookmarkStart w:id="3" w:name="sub5297635_2_2"/>
      <w:bookmarkEnd w:id="2"/>
      <w:bookmarkEnd w:id="3"/>
      <w:r>
        <w:rPr>
          <w:rFonts w:eastAsia="黑体;SimHei"/>
          <w:sz w:val="32"/>
          <w:szCs w:val="32"/>
        </w:rPr>
        <w:t>第一条</w:t>
      </w:r>
      <w:r>
        <w:rPr>
          <w:rFonts w:eastAsia="方正仿宋_GBK;宋体"/>
          <w:sz w:val="32"/>
          <w:szCs w:val="32"/>
        </w:rPr>
        <w:t xml:space="preserve"> </w:t>
      </w:r>
      <w:r>
        <w:rPr>
          <w:rFonts w:hint="eastAsia" w:eastAsia="方正仿宋_GBK;宋体"/>
          <w:sz w:val="32"/>
          <w:szCs w:val="32"/>
        </w:rPr>
        <w:t xml:space="preserve"> </w:t>
      </w:r>
      <w:r>
        <w:rPr>
          <w:rFonts w:eastAsia="仿宋_GB2312"/>
          <w:sz w:val="32"/>
          <w:szCs w:val="32"/>
        </w:rPr>
        <w:t>为加强乌鲁木齐经济技术开发区的建设和管理，扩大对外开放，促进经济社会发展，根据有关法律、法规，结合本市实际，制定本条例。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第二条</w:t>
      </w:r>
      <w:r>
        <w:rPr>
          <w:rFonts w:eastAsia="仿宋_GB2312"/>
          <w:sz w:val="32"/>
          <w:szCs w:val="32"/>
        </w:rPr>
        <w:t xml:space="preserve">  经国务院批准设立的乌鲁木齐经济技术开发区（以下简称经开区）的建设、开发、管理适用于本条例。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w:t>
      </w:r>
      <w:r>
        <w:rPr>
          <w:rFonts w:hint="eastAsia" w:eastAsia="仿宋_GB2312"/>
          <w:sz w:val="32"/>
          <w:szCs w:val="32"/>
        </w:rPr>
        <w:t xml:space="preserve"> </w:t>
      </w:r>
      <w:r>
        <w:rPr>
          <w:rFonts w:eastAsia="仿宋_GB2312"/>
          <w:sz w:val="32"/>
          <w:szCs w:val="32"/>
        </w:rPr>
        <w:t>市人民政府设立经开区管理委员会（以下简称管委会），代表市人民政府行使市一级管理权限，对经开区实行统一领导和管理。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hint="eastAsia" w:eastAsia="黑体;SimHei"/>
          <w:sz w:val="32"/>
          <w:szCs w:val="32"/>
        </w:rPr>
        <w:t xml:space="preserve"> </w:t>
      </w:r>
      <w:r>
        <w:rPr>
          <w:rFonts w:eastAsia="仿宋_GB2312"/>
          <w:sz w:val="32"/>
          <w:szCs w:val="32"/>
        </w:rPr>
        <w:t xml:space="preserve"> 经开区应当推进开放创新、科技创新、制度创新，提升对外开放合作水平，提升经济发展质量，建成以高新技术产业为支撑，以战略性新兴产业为引领，先进制造业和现代服务业协调发展的综合性、多功能、开放型、国际化、现代化的新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第五条</w:t>
      </w:r>
      <w:r>
        <w:rPr>
          <w:rFonts w:eastAsia="仿宋_GB2312"/>
          <w:sz w:val="32"/>
          <w:szCs w:val="32"/>
        </w:rPr>
        <w:t xml:space="preserve">  经开区应当加强乌鲁木齐国际陆港区、综合保税区等对外开放区域的建设发展，支持国际贸易、现代物流、外向型加工等产业发展，在促进投资自由化、贸易便利化、金融领域开放等重点领域加大改革创新力度，推动开放型经济发展，建设全面开放的国家物流枢纽、国际供应链组织中心、现代产业集聚示范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第六条</w:t>
      </w:r>
      <w:r>
        <w:rPr>
          <w:rFonts w:eastAsia="仿宋_GB2312"/>
          <w:sz w:val="32"/>
          <w:szCs w:val="32"/>
        </w:rPr>
        <w:t xml:space="preserve">  经开区应当坚持市场化、法治化原则，以市场需求为导向，以转变政府职能为核心，创新体制机制、完善法治保障，为各类市场主体投资兴业营造稳定、公平、透明、可预期的营商环境。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仿宋_GB2312"/>
          <w:sz w:val="32"/>
          <w:szCs w:val="32"/>
        </w:rPr>
        <w:t xml:space="preserve">  鼓励经开区先行先试，探索制度创新，建立容错免责机制。 </w:t>
      </w:r>
    </w:p>
    <w:p>
      <w:pPr>
        <w:pStyle w:val="Normal"/>
        <w:tabs>
          <w:tab w:val="clear" w:pos="420"/>
          <w:tab w:val="left" w:pos="5225" w:leader="none"/>
        </w:tabs>
        <w:spacing w:lineRule="exact" w:line="560"/>
        <w:rPr>
          <w:rFonts w:eastAsia="方正仿宋_GBK;宋体" w:hint="eastAsia"/>
          <w:sz w:val="32"/>
          <w:szCs w:val="32"/>
        </w:rPr>
      </w:pPr>
      <w:r>
        <w:rPr>
          <w:rFonts w:eastAsia="方正仿宋_GBK;宋体" w:hint="eastAsia"/>
          <w:sz w:val="32"/>
          <w:szCs w:val="32"/>
        </w:rPr>
      </w:r>
    </w:p>
    <w:p>
      <w:pPr>
        <w:pStyle w:val="Normal"/>
        <w:tabs>
          <w:tab w:val="clear" w:pos="420"/>
          <w:tab w:val="left" w:pos="5880" w:leader="none"/>
        </w:tabs>
        <w:spacing w:lineRule="exact" w:line="560"/>
        <w:jc w:val="center"/>
        <w:rPr/>
      </w:pPr>
      <w:r>
        <w:rPr>
          <w:rFonts w:hint="eastAsia" w:eastAsia="黑体;SimHei"/>
          <w:sz w:val="32"/>
          <w:szCs w:val="32"/>
        </w:rPr>
        <w:t xml:space="preserve">第二章 </w:t>
      </w:r>
      <w:r>
        <w:rPr>
          <w:rFonts w:eastAsia="黑体;SimHei"/>
          <w:sz w:val="32"/>
          <w:szCs w:val="32"/>
        </w:rPr>
        <w:t xml:space="preserve"> 管理职责</w:t>
      </w:r>
    </w:p>
    <w:p>
      <w:pPr>
        <w:pStyle w:val="Normal"/>
        <w:tabs>
          <w:tab w:val="clear" w:pos="420"/>
          <w:tab w:val="left" w:pos="5880" w:leader="none"/>
        </w:tabs>
        <w:spacing w:lineRule="exact" w:line="56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仿宋_GB2312"/>
          <w:sz w:val="32"/>
          <w:szCs w:val="32"/>
        </w:rPr>
        <w:t xml:space="preserve"> 经开区管委会履行下列职责：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（一）贯彻执行法律、法规、规章，制定和实施经开区有关管理规定；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（二）组织编制经开区经济社会发展规划和各专项规划，经市人民政府批准后组织实施；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（三）负责经开区财政、国有资产和投融资管理以及税收协调工作；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（四）制定并组织实施经开区各项激励措施、促进投资和生产经营的政策；</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（五）依法行使国家、自治区、市人民政府赋予经开区的审批权限；</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（六）管理、指导和协调招商引资、对外经济技术合作、进出口贸易等工作；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（七）组织园区区域评估工作，进驻园区项目应当符合园区进驻要求；</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（八）负责发展改革、人力资源和社会保障、应急管理、审计、统计、市场监督、生态环境、城市建设和管理、绿化、文化体育、卫生健康、教育、科技等行政管理工作；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 xml:space="preserve">（九）指导、协调有关部门在经开区的派出机构、分支机构的工作； </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（十）行使市人民政府委托的其他职权。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第九条</w:t>
      </w:r>
      <w:r>
        <w:rPr>
          <w:rFonts w:hint="eastAsia" w:eastAsia="黑体;SimHei"/>
          <w:sz w:val="32"/>
          <w:szCs w:val="32"/>
        </w:rPr>
        <w:t xml:space="preserve"> </w:t>
      </w:r>
      <w:r>
        <w:rPr>
          <w:rFonts w:eastAsia="仿宋_GB2312"/>
          <w:sz w:val="32"/>
          <w:szCs w:val="32"/>
        </w:rPr>
        <w:t xml:space="preserve"> 经开区创新土地利用方式，建立土地节约、集约利用的动态评估、监督管理、考核与奖惩机制。工业、仓储物流、科研用地在法定最高出让年限内，根据产业生命周期和企业发展状况，可以采取长期租赁、先租后让、租让结合、弹性年期等方式供应。商业、工业及重大功能性项目等用地，推行带方案出让。</w:t>
      </w:r>
    </w:p>
    <w:p>
      <w:pPr>
        <w:pStyle w:val="Normal"/>
        <w:tabs>
          <w:tab w:val="clear" w:pos="420"/>
          <w:tab w:val="left" w:pos="5880" w:leader="none"/>
        </w:tabs>
        <w:spacing w:lineRule="exact" w:line="560"/>
        <w:jc w:val="center"/>
        <w:rPr>
          <w:rFonts w:eastAsia="方正仿宋_GBK;宋体" w:hint="eastAsia"/>
          <w:sz w:val="32"/>
          <w:szCs w:val="32"/>
        </w:rPr>
      </w:pPr>
      <w:r>
        <w:rPr>
          <w:rFonts w:eastAsia="方正仿宋_GBK;宋体" w:hint="eastAsia"/>
          <w:sz w:val="32"/>
          <w:szCs w:val="32"/>
        </w:rPr>
      </w:r>
    </w:p>
    <w:p>
      <w:pPr>
        <w:pStyle w:val="Normal"/>
        <w:tabs>
          <w:tab w:val="clear" w:pos="420"/>
          <w:tab w:val="left" w:pos="5880" w:leader="none"/>
        </w:tabs>
        <w:spacing w:lineRule="exact" w:line="560"/>
        <w:jc w:val="center"/>
        <w:rPr/>
      </w:pPr>
      <w:r>
        <w:rPr>
          <w:rFonts w:hint="eastAsia" w:eastAsia="黑体;SimHei"/>
          <w:sz w:val="32"/>
          <w:szCs w:val="32"/>
        </w:rPr>
        <w:t xml:space="preserve">第三章  </w:t>
      </w:r>
      <w:r>
        <w:rPr>
          <w:rFonts w:eastAsia="黑体;SimHei"/>
          <w:sz w:val="32"/>
          <w:szCs w:val="32"/>
        </w:rPr>
        <w:t>投资促进</w:t>
      </w:r>
    </w:p>
    <w:p>
      <w:pPr>
        <w:pStyle w:val="Normal"/>
        <w:tabs>
          <w:tab w:val="clear" w:pos="420"/>
          <w:tab w:val="left" w:pos="5880" w:leader="none"/>
        </w:tabs>
        <w:spacing w:lineRule="exact" w:line="56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第十条</w:t>
      </w:r>
      <w:r>
        <w:rPr>
          <w:rFonts w:eastAsia="仿宋_GB2312"/>
          <w:sz w:val="32"/>
          <w:szCs w:val="32"/>
        </w:rPr>
        <w:t xml:space="preserve">  经开区管委会应当保障各类市场主体依法平等使用资金、技术、人力资源、土地使用权及其他自然资源等各类生产要素和公共服务资源。</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第十一条</w:t>
      </w:r>
      <w:r>
        <w:rPr>
          <w:rFonts w:hint="eastAsia" w:eastAsia="黑体;SimHei"/>
          <w:sz w:val="32"/>
          <w:szCs w:val="32"/>
        </w:rPr>
        <w:t xml:space="preserve"> </w:t>
      </w:r>
      <w:r>
        <w:rPr>
          <w:rFonts w:eastAsia="仿宋_GB2312"/>
          <w:sz w:val="32"/>
          <w:szCs w:val="32"/>
        </w:rPr>
        <w:t xml:space="preserve"> 经开区管委会应当优化政务服务，融合线上线下服务，优化审批流程，实行一个窗口办理、后台集成服务，为企业、投资创业者提供一站式、代办制等优质、便捷服务。</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第十二条</w:t>
      </w:r>
      <w:r>
        <w:rPr>
          <w:rFonts w:hint="eastAsia" w:eastAsia="黑体;SimHei"/>
          <w:sz w:val="32"/>
          <w:szCs w:val="32"/>
        </w:rPr>
        <w:t xml:space="preserve"> </w:t>
      </w:r>
      <w:r>
        <w:rPr>
          <w:rFonts w:eastAsia="仿宋_GB2312"/>
          <w:sz w:val="32"/>
          <w:szCs w:val="32"/>
        </w:rPr>
        <w:t xml:space="preserve"> 经开区管委会支持银行、证券、保险、信托等金融机构在经开区设立总部或分支机构，支持设立律师、公证、会计、信用、认证、检测、审计、评估、信息咨询、代理等中介服务机构，为生产经营和创新创业活动提供服务。</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第十三条</w:t>
      </w:r>
      <w:r>
        <w:rPr>
          <w:rFonts w:eastAsia="仿宋_GB2312"/>
          <w:sz w:val="32"/>
          <w:szCs w:val="32"/>
        </w:rPr>
        <w:t xml:space="preserve"> </w:t>
      </w:r>
      <w:r>
        <w:rPr>
          <w:rFonts w:hint="eastAsia" w:eastAsia="仿宋_GB2312"/>
          <w:sz w:val="32"/>
          <w:szCs w:val="32"/>
        </w:rPr>
        <w:t xml:space="preserve"> </w:t>
      </w:r>
      <w:r>
        <w:rPr>
          <w:rFonts w:eastAsia="仿宋_GB2312"/>
          <w:sz w:val="32"/>
          <w:szCs w:val="32"/>
        </w:rPr>
        <w:t>经开区管委会建立健全外商投资促进体系，支持整合外商交流和经贸合作资源，建设开放战略通道和对外合作平台，建立与国际贸易投资通行规则相衔接的制度体系和监管服务模式。</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w:t>
      </w:r>
      <w:r>
        <w:rPr>
          <w:rFonts w:hint="eastAsia" w:eastAsia="仿宋_GB2312"/>
          <w:sz w:val="32"/>
          <w:szCs w:val="32"/>
        </w:rPr>
        <w:t xml:space="preserve"> </w:t>
      </w:r>
      <w:r>
        <w:rPr>
          <w:rFonts w:eastAsia="仿宋_GB2312"/>
          <w:sz w:val="32"/>
          <w:szCs w:val="32"/>
        </w:rPr>
        <w:t>经开区管委会应当发挥政府投资基金作用，按照市场化原则，设立产业引导基金和专项发展资金。</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第十五条</w:t>
      </w:r>
      <w:r>
        <w:rPr>
          <w:rFonts w:hint="eastAsia" w:eastAsia="黑体;SimHei"/>
          <w:sz w:val="32"/>
          <w:szCs w:val="32"/>
        </w:rPr>
        <w:t xml:space="preserve"> </w:t>
      </w:r>
      <w:r>
        <w:rPr>
          <w:rFonts w:eastAsia="仿宋_GB2312"/>
          <w:sz w:val="32"/>
          <w:szCs w:val="32"/>
        </w:rPr>
        <w:t xml:space="preserve"> 经开区管委会结合产业发展方向，依法制定相应的招商引资优惠政策和产业支持政策，加大对高新技术产业、战略性新兴产业等产业的支持力度。</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经开区管委会支持市场主体创新能力建设，支持多渠道增加创新投入，支持众创空间、科技企业孵化器和加速器建设和发展，推动产学研协同创新，促进科技成果产业化。</w:t>
      </w:r>
    </w:p>
    <w:p>
      <w:pPr>
        <w:pStyle w:val="Normal"/>
        <w:tabs>
          <w:tab w:val="clear" w:pos="420"/>
          <w:tab w:val="left" w:pos="5880" w:leader="none"/>
        </w:tabs>
        <w:spacing w:lineRule="exact" w:line="560"/>
        <w:jc w:val="center"/>
        <w:rPr>
          <w:rFonts w:eastAsia="方正仿宋_GBK;宋体"/>
          <w:sz w:val="32"/>
          <w:szCs w:val="32"/>
        </w:rPr>
      </w:pPr>
      <w:r>
        <w:rPr>
          <w:rFonts w:eastAsia="方正仿宋_GBK;宋体"/>
          <w:sz w:val="32"/>
          <w:szCs w:val="32"/>
        </w:rPr>
      </w:r>
    </w:p>
    <w:p>
      <w:pPr>
        <w:pStyle w:val="Normal"/>
        <w:tabs>
          <w:tab w:val="clear" w:pos="420"/>
          <w:tab w:val="left" w:pos="5880" w:leader="none"/>
        </w:tabs>
        <w:spacing w:lineRule="exact" w:line="560"/>
        <w:jc w:val="center"/>
        <w:rPr/>
      </w:pPr>
      <w:r>
        <w:rPr>
          <w:rFonts w:hint="eastAsia" w:eastAsia="黑体;SimHei"/>
          <w:sz w:val="32"/>
          <w:szCs w:val="32"/>
        </w:rPr>
        <w:t xml:space="preserve">第四章  </w:t>
      </w:r>
      <w:r>
        <w:rPr>
          <w:rFonts w:eastAsia="黑体;SimHei"/>
          <w:sz w:val="32"/>
          <w:szCs w:val="32"/>
        </w:rPr>
        <w:t>保障措施</w:t>
      </w:r>
    </w:p>
    <w:p>
      <w:pPr>
        <w:pStyle w:val="Normal"/>
        <w:tabs>
          <w:tab w:val="clear" w:pos="420"/>
          <w:tab w:val="left" w:pos="5880" w:leader="none"/>
        </w:tabs>
        <w:spacing w:lineRule="exact" w:line="56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hint="eastAsia" w:eastAsia="黑体;SimHei"/>
          <w:sz w:val="32"/>
          <w:szCs w:val="32"/>
        </w:rPr>
        <w:t xml:space="preserve"> </w:t>
      </w:r>
      <w:r>
        <w:rPr>
          <w:rFonts w:eastAsia="仿宋_GB2312"/>
          <w:sz w:val="32"/>
          <w:szCs w:val="32"/>
        </w:rPr>
        <w:t xml:space="preserve"> 投资者在经开区投资，按规定享受国家、自治区、市和经开区的优惠政策。</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第十八条</w:t>
      </w:r>
      <w:r>
        <w:rPr>
          <w:rFonts w:hint="eastAsia" w:eastAsia="黑体;SimHei"/>
          <w:sz w:val="32"/>
          <w:szCs w:val="32"/>
        </w:rPr>
        <w:t xml:space="preserve"> </w:t>
      </w:r>
      <w:r>
        <w:rPr>
          <w:rFonts w:eastAsia="仿宋_GB2312"/>
          <w:sz w:val="32"/>
          <w:szCs w:val="32"/>
        </w:rPr>
        <w:t xml:space="preserve"> 经开区创新选人用人机制，经批准可实行聘任制、绩效考核制等，允许实行兼职兼薪、年薪制、协议工资制等多种分配方式。</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第十九条</w:t>
      </w:r>
      <w:r>
        <w:rPr>
          <w:rFonts w:eastAsia="仿宋_GB2312"/>
          <w:sz w:val="32"/>
          <w:szCs w:val="32"/>
        </w:rPr>
        <w:t xml:space="preserve"> </w:t>
      </w:r>
      <w:r>
        <w:rPr>
          <w:rFonts w:hint="eastAsia" w:eastAsia="仿宋_GB2312"/>
          <w:sz w:val="32"/>
          <w:szCs w:val="32"/>
        </w:rPr>
        <w:t xml:space="preserve"> </w:t>
      </w:r>
      <w:r>
        <w:rPr>
          <w:rFonts w:eastAsia="仿宋_GB2312"/>
          <w:sz w:val="32"/>
          <w:szCs w:val="32"/>
        </w:rPr>
        <w:t>经开区管委会创新人才引进、培养、使用和激励机制，鼓励科技人员、高级管理人才、留学归国人员、有国际企业工作经历的人员到经开区工作，并在优化人才宜居宜业环境等方面采取下列措施：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（一）建立健全人才安居政策体系，以租赁为主，租赁和出售补贴相结合的方式提供人才安居保障；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（二）对人才子女教育、配偶就业、医疗保健等提供便利化服务，落实相关待遇；</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（三）推进政府、企事业单位公职人员和企业高端人才双向挂职制度；</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（四）制定其他符合法规政策的人才引进、培养、使用和激励政策。</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经开区管委会应当建立健全投诉工作机制，受理企业和投资者反映的诉求及其对各类违法、违规行为的投诉和举报。</w:t>
      </w:r>
    </w:p>
    <w:p>
      <w:pPr>
        <w:pStyle w:val="Normal"/>
        <w:tabs>
          <w:tab w:val="clear" w:pos="420"/>
          <w:tab w:val="left" w:pos="5880" w:leader="none"/>
        </w:tabs>
        <w:spacing w:lineRule="exact" w:line="560"/>
        <w:rPr>
          <w:rFonts w:eastAsia="方正仿宋_GBK;宋体"/>
          <w:sz w:val="32"/>
          <w:szCs w:val="32"/>
        </w:rPr>
      </w:pPr>
      <w:r>
        <w:rPr>
          <w:rFonts w:eastAsia="方正仿宋_GBK;宋体"/>
          <w:sz w:val="32"/>
          <w:szCs w:val="32"/>
        </w:rPr>
      </w:r>
    </w:p>
    <w:p>
      <w:pPr>
        <w:pStyle w:val="Normal"/>
        <w:tabs>
          <w:tab w:val="clear" w:pos="420"/>
          <w:tab w:val="left" w:pos="5880" w:leader="none"/>
        </w:tabs>
        <w:spacing w:lineRule="exact" w:line="560"/>
        <w:jc w:val="center"/>
        <w:rPr/>
      </w:pPr>
      <w:r>
        <w:rPr>
          <w:rFonts w:hint="eastAsia" w:eastAsia="黑体;SimHei"/>
          <w:sz w:val="32"/>
          <w:szCs w:val="32"/>
        </w:rPr>
        <w:t xml:space="preserve">第五章  </w:t>
      </w:r>
      <w:r>
        <w:rPr>
          <w:rFonts w:eastAsia="黑体;SimHei"/>
          <w:sz w:val="32"/>
          <w:szCs w:val="32"/>
        </w:rPr>
        <w:t>附  则</w:t>
      </w:r>
    </w:p>
    <w:p>
      <w:pPr>
        <w:pStyle w:val="Normal"/>
        <w:spacing w:lineRule="exact" w:line="560"/>
        <w:rPr>
          <w:rFonts w:eastAsia="黑体;SimHei" w:hint="eastAsia"/>
          <w:sz w:val="32"/>
          <w:szCs w:val="32"/>
        </w:rPr>
      </w:pPr>
      <w:r>
        <w:rPr>
          <w:rFonts w:eastAsia="黑体;SimHei" w:hint="eastAsia"/>
          <w:sz w:val="32"/>
          <w:szCs w:val="32"/>
        </w:rPr>
      </w:r>
    </w:p>
    <w:p>
      <w:pPr>
        <w:pStyle w:val="Normal"/>
        <w:spacing w:lineRule="exact" w:line="560"/>
        <w:ind w:firstLineChars="200" w:startChars="0" w:start="0" w:endChars="0" w:end="0"/>
        <w:rPr/>
      </w:pPr>
      <w:r>
        <w:rPr>
          <w:rFonts w:eastAsia="黑体;SimHei"/>
          <w:sz w:val="32"/>
          <w:szCs w:val="32"/>
        </w:rPr>
        <w:t>第二十一条</w:t>
      </w:r>
      <w:r>
        <w:rPr>
          <w:rFonts w:hint="eastAsia" w:eastAsia="黑体;SimHei"/>
          <w:sz w:val="32"/>
          <w:szCs w:val="32"/>
        </w:rPr>
        <w:t xml:space="preserve"> </w:t>
      </w:r>
      <w:r>
        <w:rPr>
          <w:rFonts w:eastAsia="仿宋_GB2312"/>
          <w:sz w:val="32"/>
          <w:szCs w:val="32"/>
        </w:rPr>
        <w:t xml:space="preserve"> 本条例自</w:t>
      </w:r>
      <w:r>
        <w:rPr>
          <w:rFonts w:eastAsia="仿宋_GB2312" w:cs="仿宋_GB2312" w:hint="eastAsia" w:ascii="仿宋_GB2312" w:hAnsi="仿宋_GB2312"/>
          <w:sz w:val="32"/>
          <w:szCs w:val="32"/>
        </w:rPr>
        <w:t>2021</w:t>
      </w:r>
      <w:r>
        <w:rPr>
          <w:rFonts w:eastAsia="仿宋_GB2312"/>
          <w:sz w:val="32"/>
          <w:szCs w:val="32"/>
        </w:rPr>
        <w:t>年</w:t>
      </w:r>
      <w:r>
        <w:rPr>
          <w:rFonts w:eastAsia="仿宋_GB2312" w:cs="仿宋_GB2312" w:hint="eastAsia" w:ascii="仿宋_GB2312" w:hAnsi="仿宋_GB2312"/>
          <w:sz w:val="32"/>
          <w:szCs w:val="32"/>
        </w:rPr>
        <w:t>1</w:t>
      </w:r>
      <w:r>
        <w:rPr>
          <w:rFonts w:eastAsia="仿宋_GB2312"/>
          <w:sz w:val="32"/>
          <w:szCs w:val="32"/>
        </w:rPr>
        <w:t>月</w:t>
      </w:r>
      <w:r>
        <w:rPr>
          <w:rFonts w:eastAsia="仿宋_GB2312" w:cs="仿宋_GB2312" w:hint="eastAsia" w:ascii="仿宋_GB2312" w:hAnsi="仿宋_GB2312"/>
          <w:sz w:val="32"/>
          <w:szCs w:val="32"/>
        </w:rPr>
        <w:t>1</w:t>
      </w:r>
      <w:r>
        <w:rPr>
          <w:rFonts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qFormat/>
    <w:rPr>
      <w:rFonts w:eastAsia="仿宋_GB2312" w:cs="Times New Roman"/>
      <w:b/>
      <w:bCs/>
      <w:sz w:val="32"/>
    </w:rPr>
  </w:style>
  <w:style w:type="character" w:styleId="PageNumber">
    <w:name w:val="page number"/>
    <w:basedOn w:val="Style14"/>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Char2">
    <w:name w:val="纯文本 Char"/>
    <w:basedOn w:val="Style14"/>
    <w:qFormat/>
    <w:rPr>
      <w:rFonts w:ascii="宋体;SimSun" w:hAnsi="宋体;SimSun" w:eastAsia="宋体;SimSun"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0"/>
    </w:rPr>
  </w:style>
  <w:style w:type="paragraph" w:styleId="Style16">
    <w:name w:val="纯文本"/>
    <w:basedOn w:val="Normal"/>
    <w:qFormat/>
    <w:pPr/>
    <w:rPr>
      <w:rFonts w:ascii="宋体;SimSun" w:hAnsi="宋体;SimSun" w:eastAsia="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pPr>
    <w:rPr>
      <w:rFonts w:ascii="Times New Roman" w:hAnsi="Times New Roman" w:cs="Times New Roman"/>
      <w:kern w:val="0"/>
      <w:szCs w:val="21"/>
    </w:rPr>
  </w:style>
  <w:style w:type="paragraph" w:styleId="ListParagraph">
    <w:name w:val="List Paragraph"/>
    <w:basedOn w:val="Normal"/>
    <w:qFormat/>
    <w:pPr>
      <w:ind w:firstLineChars="200" w:startChars="0" w:start="0" w:endChars="0" w:end="0"/>
    </w:pPr>
    <w:rPr>
      <w:rFonts w:ascii="Calibri" w:hAnsi="Calibri" w:eastAsia="宋体;SimSun" w:cs="Calibri"/>
      <w:spacing w:val="0"/>
      <w:sz w:val="21"/>
      <w:szCs w:val="22"/>
    </w:rPr>
  </w:style>
  <w:style w:type="paragraph" w:styleId="Normal1">
    <w:name w:val="Normal1"/>
    <w:qFormat/>
    <w:pPr>
      <w:widowControl/>
      <w:bidi w:val="0"/>
      <w:jc w:val="both"/>
    </w:pPr>
    <w:rPr>
      <w:rFonts w:ascii="Times New Roman" w:hAnsi="Times New Roman" w:eastAsia="宋体;SimSun" w:cs="Times New Roman"/>
      <w:color w:val="auto"/>
      <w:kern w:val="2"/>
      <w:sz w:val="21"/>
      <w:szCs w:val="21"/>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2019-06-24T13:50:00Z</dcterms:created>
  <dc:creator>综合处</dc:creator>
  <dc:description/>
  <cp:keywords/>
  <dc:language>en-US</dc:language>
  <cp:lastModifiedBy>Z</cp:lastModifiedBy>
  <cp:lastPrinted>2019-08-05T10:51:00Z</cp:lastPrinted>
  <dcterms:modified xsi:type="dcterms:W3CDTF">2020-12-02T13:32:00Z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