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hd w:fill="FFFFFF" w:val="clear"/>
        <w:snapToGrid w:val="false"/>
        <w:spacing w:lineRule="exact" w:line="560" w:before="0" w:after="0"/>
        <w:ind w:end="48"/>
        <w:jc w:val="center"/>
        <w:rPr>
          <w:rStyle w:val="Strong"/>
          <w:rFonts w:hint="eastAsia"/>
          <w:color w:val="000000"/>
          <w:szCs w:val="32"/>
        </w:rPr>
      </w:pPr>
      <w:r>
        <w:rPr/>
      </w:r>
    </w:p>
    <w:p>
      <w:pPr>
        <w:pStyle w:val="Style15"/>
        <w:shd w:fill="FFFFFF" w:val="clear"/>
        <w:snapToGrid w:val="false"/>
        <w:spacing w:lineRule="exact" w:line="560" w:before="0" w:after="0"/>
        <w:ind w:end="48"/>
        <w:jc w:val="center"/>
        <w:rPr>
          <w:rStyle w:val="Strong"/>
          <w:rFonts w:hint="eastAsia"/>
          <w:color w:val="000000"/>
          <w:szCs w:val="32"/>
        </w:rPr>
      </w:pPr>
      <w:r>
        <w:rPr/>
      </w:r>
    </w:p>
    <w:p>
      <w:pPr>
        <w:pStyle w:val="Style15"/>
        <w:shd w:fill="FFFFFF" w:val="clear"/>
        <w:snapToGrid w:val="false"/>
        <w:spacing w:lineRule="exact" w:line="560" w:before="0" w:after="0"/>
        <w:ind w:end="48"/>
        <w:jc w:val="center"/>
        <w:rPr>
          <w:rStyle w:val="Strong"/>
          <w:rFonts w:eastAsia="宋体;SimSun"/>
          <w:b w:val="false"/>
          <w:color w:val="000000"/>
          <w:sz w:val="44"/>
          <w:szCs w:val="44"/>
        </w:rPr>
      </w:pPr>
      <w:r>
        <w:rPr>
          <w:rStyle w:val="Strong"/>
          <w:rFonts w:hint="eastAsia"/>
          <w:b w:val="false"/>
          <w:color w:val="000000"/>
          <w:sz w:val="44"/>
          <w:szCs w:val="44"/>
        </w:rPr>
        <w:t>乌鲁木齐市寄递物流安全管理条例</w:t>
      </w:r>
    </w:p>
    <w:p>
      <w:pPr>
        <w:pStyle w:val="Normal"/>
        <w:widowControl/>
        <w:tabs>
          <w:tab w:val="clear" w:pos="420"/>
          <w:tab w:val="left" w:pos="720" w:leader="none"/>
          <w:tab w:val="left" w:pos="8280" w:leader="none"/>
        </w:tabs>
        <w:spacing w:lineRule="exact" w:line="520"/>
        <w:rPr>
          <w:rStyle w:val="Strong"/>
          <w:rFonts w:ascii="宋体;SimSun" w:hAnsi="宋体;SimSun" w:cs="宋体;SimSun" w:hint="eastAsia"/>
          <w:color w:val="000000"/>
          <w:kern w:val="0"/>
          <w:szCs w:val="32"/>
        </w:rPr>
      </w:pPr>
      <w:r>
        <w:rPr/>
      </w:r>
    </w:p>
    <w:p>
      <w:pPr>
        <w:pStyle w:val="Normal"/>
        <w:widowControl/>
        <w:tabs>
          <w:tab w:val="clear" w:pos="420"/>
          <w:tab w:val="left" w:pos="720" w:leader="none"/>
          <w:tab w:val="left" w:pos="8280" w:leader="none"/>
        </w:tabs>
        <w:spacing w:lineRule="exact" w:line="520"/>
        <w:ind w:firstLineChars="0" w:firstLine="0" w:startChars="337" w:endChars="363"/>
        <w:jc w:val="center"/>
        <w:rPr>
          <w:rFonts w:ascii="楷体_GB2312" w:hAnsi="楷体_GB2312" w:eastAsia="楷体_GB2312" w:cs="宋体;SimSun" w:hint="eastAsia"/>
          <w:color w:val="000000"/>
          <w:sz w:val="32"/>
          <w:szCs w:val="32"/>
        </w:rPr>
      </w:pPr>
      <w:r>
        <w:rPr>
          <w:rFonts w:ascii="楷体_GB2312" w:hAnsi="楷体_GB2312" w:cs="宋体;SimSun" w:hint="eastAsia" w:eastAsia="楷体_GB2312"/>
          <w:color w:val="000000"/>
          <w:sz w:val="32"/>
          <w:szCs w:val="32"/>
        </w:rPr>
        <w:t>（</w:t>
      </w:r>
      <w:r>
        <w:rPr>
          <w:rFonts w:eastAsia="楷体_GB2312" w:hint="eastAsia" w:ascii="楷体_GB2312" w:hAnsi="楷体_GB2312"/>
          <w:color w:val="000000"/>
          <w:sz w:val="32"/>
          <w:szCs w:val="32"/>
        </w:rPr>
        <w:t>2017</w:t>
      </w:r>
      <w:r>
        <w:rPr>
          <w:rFonts w:ascii="楷体_GB2312" w:hAnsi="楷体_GB2312" w:cs="宋体;SimSun" w:hint="eastAsia" w:eastAsia="楷体_GB2312"/>
          <w:color w:val="000000"/>
          <w:sz w:val="32"/>
          <w:szCs w:val="32"/>
        </w:rPr>
        <w:t>年</w:t>
      </w:r>
      <w:r>
        <w:rPr>
          <w:rFonts w:eastAsia="楷体_GB2312" w:hint="eastAsia" w:ascii="楷体_GB2312" w:hAnsi="楷体_GB2312"/>
          <w:color w:val="000000"/>
          <w:sz w:val="32"/>
          <w:szCs w:val="32"/>
        </w:rPr>
        <w:t>12</w:t>
      </w:r>
      <w:r>
        <w:rPr>
          <w:rFonts w:ascii="楷体_GB2312" w:hAnsi="楷体_GB2312" w:cs="宋体;SimSun" w:hint="eastAsia" w:eastAsia="楷体_GB2312"/>
          <w:color w:val="000000"/>
          <w:sz w:val="32"/>
          <w:szCs w:val="32"/>
        </w:rPr>
        <w:t>月</w:t>
      </w:r>
      <w:r>
        <w:rPr>
          <w:rFonts w:eastAsia="楷体_GB2312" w:hint="eastAsia" w:ascii="楷体_GB2312" w:hAnsi="楷体_GB2312"/>
          <w:color w:val="000000"/>
          <w:sz w:val="32"/>
          <w:szCs w:val="32"/>
        </w:rPr>
        <w:t>5</w:t>
      </w:r>
      <w:r>
        <w:rPr>
          <w:rFonts w:ascii="楷体_GB2312" w:hAnsi="楷体_GB2312" w:cs="宋体;SimSun" w:hint="eastAsia" w:eastAsia="楷体_GB2312"/>
          <w:color w:val="000000"/>
          <w:sz w:val="32"/>
          <w:szCs w:val="32"/>
        </w:rPr>
        <w:t>日乌鲁木齐市第十六届人民代表大会常务委员会第六次会议通过</w:t>
      </w:r>
      <w:r>
        <w:rPr>
          <w:rFonts w:ascii="楷体_GB2312" w:hAnsi="楷体_GB2312" w:hint="eastAsia" w:eastAsia="楷体_GB2312"/>
          <w:color w:val="000000"/>
          <w:sz w:val="32"/>
          <w:szCs w:val="32"/>
        </w:rPr>
        <w:t xml:space="preserve">  </w:t>
      </w:r>
      <w:r>
        <w:rPr>
          <w:rFonts w:eastAsia="楷体_GB2312" w:hint="eastAsia" w:ascii="楷体_GB2312" w:hAnsi="楷体_GB2312"/>
          <w:color w:val="000000"/>
          <w:sz w:val="32"/>
          <w:szCs w:val="32"/>
        </w:rPr>
        <w:t>2018</w:t>
      </w:r>
      <w:r>
        <w:rPr>
          <w:rFonts w:ascii="楷体_GB2312" w:hAnsi="楷体_GB2312" w:cs="宋体;SimSun" w:hint="eastAsia" w:eastAsia="楷体_GB2312"/>
          <w:color w:val="000000"/>
          <w:sz w:val="32"/>
          <w:szCs w:val="32"/>
        </w:rPr>
        <w:t>年</w:t>
      </w:r>
      <w:r>
        <w:rPr>
          <w:rFonts w:eastAsia="楷体_GB2312" w:hint="eastAsia" w:ascii="楷体_GB2312" w:hAnsi="楷体_GB2312"/>
          <w:color w:val="000000"/>
          <w:sz w:val="32"/>
          <w:szCs w:val="32"/>
        </w:rPr>
        <w:t>3</w:t>
      </w:r>
      <w:r>
        <w:rPr>
          <w:rFonts w:ascii="楷体_GB2312" w:hAnsi="楷体_GB2312" w:cs="宋体;SimSun" w:hint="eastAsia" w:eastAsia="楷体_GB2312"/>
          <w:color w:val="000000"/>
          <w:sz w:val="32"/>
          <w:szCs w:val="32"/>
        </w:rPr>
        <w:t>月</w:t>
      </w:r>
      <w:r>
        <w:rPr>
          <w:rFonts w:eastAsia="楷体_GB2312" w:hint="eastAsia" w:ascii="楷体_GB2312" w:hAnsi="楷体_GB2312"/>
          <w:color w:val="000000"/>
          <w:sz w:val="32"/>
          <w:szCs w:val="32"/>
        </w:rPr>
        <w:t>30</w:t>
      </w:r>
      <w:r>
        <w:rPr>
          <w:rFonts w:ascii="楷体_GB2312" w:hAnsi="楷体_GB2312" w:cs="宋体;SimSun" w:hint="eastAsia" w:eastAsia="楷体_GB2312"/>
          <w:color w:val="000000"/>
          <w:sz w:val="32"/>
          <w:szCs w:val="32"/>
        </w:rPr>
        <w:t>日新疆维吾尔自治区第十三届人民代表大会常务委员会</w:t>
      </w:r>
    </w:p>
    <w:p>
      <w:pPr>
        <w:pStyle w:val="Normal"/>
        <w:widowControl/>
        <w:tabs>
          <w:tab w:val="clear" w:pos="420"/>
          <w:tab w:val="left" w:pos="720" w:leader="none"/>
          <w:tab w:val="left" w:pos="8280" w:leader="none"/>
        </w:tabs>
        <w:spacing w:lineRule="exact" w:line="520"/>
        <w:ind w:firstLineChars="0" w:firstLine="0" w:startChars="337" w:endChars="363"/>
        <w:jc w:val="center"/>
        <w:rPr>
          <w:rFonts w:ascii="楷体_GB2312" w:hAnsi="楷体_GB2312" w:eastAsia="楷体_GB2312" w:cs="宋体;SimSun" w:hint="eastAsia"/>
          <w:color w:val="000000"/>
          <w:sz w:val="32"/>
          <w:szCs w:val="32"/>
        </w:rPr>
      </w:pPr>
      <w:r>
        <w:rPr>
          <w:rFonts w:ascii="楷体_GB2312" w:hAnsi="楷体_GB2312" w:cs="宋体;SimSun" w:hint="eastAsia" w:eastAsia="楷体_GB2312"/>
          <w:color w:val="000000"/>
          <w:sz w:val="32"/>
          <w:szCs w:val="32"/>
        </w:rPr>
        <w:t>第二次会议批准）</w:t>
      </w:r>
    </w:p>
    <w:p>
      <w:pPr>
        <w:pStyle w:val="Style15"/>
        <w:shd w:fill="FFFFFF" w:val="clear"/>
        <w:snapToGrid w:val="false"/>
        <w:spacing w:lineRule="exact" w:line="560" w:before="0" w:after="0"/>
        <w:jc w:val="center"/>
        <w:rPr>
          <w:rStyle w:val="Strong"/>
          <w:rFonts w:eastAsia="宋体;SimSun" w:hint="eastAsia"/>
          <w:color w:val="000000"/>
          <w:szCs w:val="32"/>
        </w:rPr>
      </w:pPr>
      <w:r>
        <w:rPr>
          <w:rFonts w:eastAsia="楷体_GB2312" w:cs="宋体;SimSun" w:hint="eastAsia" w:ascii="楷体_GB2312" w:hAnsi="楷体_GB2312"/>
          <w:color w:val="000000"/>
          <w:sz w:val="32"/>
          <w:szCs w:val="32"/>
        </w:rPr>
      </w:r>
    </w:p>
    <w:p>
      <w:pPr>
        <w:pStyle w:val="Style15"/>
        <w:shd w:fill="FFFFFF" w:val="clear"/>
        <w:tabs>
          <w:tab w:val="clear" w:pos="420"/>
          <w:tab w:val="left" w:pos="360" w:leader="none"/>
        </w:tabs>
        <w:snapToGrid w:val="false"/>
        <w:spacing w:lineRule="exact" w:line="560" w:before="0" w:after="0"/>
        <w:jc w:val="center"/>
        <w:rPr/>
      </w:pPr>
      <w:r>
        <w:rPr>
          <w:rStyle w:val="Strong"/>
          <w:rFonts w:ascii="楷体_GB2312" w:hAnsi="楷体_GB2312" w:cs="黑体;SimHei" w:hint="eastAsia" w:eastAsia="楷体_GB2312"/>
          <w:b w:val="false"/>
          <w:color w:val="000000"/>
          <w:szCs w:val="32"/>
        </w:rPr>
        <w:t>目  录</w:t>
      </w:r>
    </w:p>
    <w:p>
      <w:pPr>
        <w:pStyle w:val="Style15"/>
        <w:shd w:fill="FFFFFF" w:val="clear"/>
        <w:tabs>
          <w:tab w:val="clear" w:pos="420"/>
          <w:tab w:val="left" w:pos="540" w:leader="none"/>
        </w:tabs>
        <w:snapToGrid w:val="false"/>
        <w:spacing w:lineRule="exact" w:line="560" w:before="0" w:after="0"/>
        <w:ind w:firstLineChars="200" w:startChars="0" w:start="0" w:endChars="0" w:end="0"/>
        <w:rPr/>
      </w:pPr>
      <w:r>
        <w:rPr>
          <w:rStyle w:val="Strong"/>
          <w:rFonts w:ascii="楷体_GB2312" w:hAnsi="楷体_GB2312" w:cs="黑体;SimHei" w:hint="eastAsia" w:eastAsia="楷体_GB2312"/>
          <w:b w:val="false"/>
          <w:color w:val="000000"/>
          <w:szCs w:val="32"/>
        </w:rPr>
        <w:t>第一章</w:t>
      </w:r>
      <w:r>
        <w:rPr>
          <w:rStyle w:val="Strong"/>
          <w:rFonts w:ascii="仿宋_GB2312" w:hAnsi="仿宋_GB2312" w:cs="黑体;SimHei" w:hint="eastAsia"/>
          <w:b w:val="false"/>
          <w:color w:val="000000"/>
          <w:szCs w:val="32"/>
        </w:rPr>
        <w:t xml:space="preserve">  </w:t>
      </w:r>
      <w:r>
        <w:rPr>
          <w:rStyle w:val="Strong"/>
          <w:rFonts w:ascii="楷体_GB2312" w:hAnsi="楷体_GB2312" w:cs="黑体;SimHei" w:hint="eastAsia" w:eastAsia="楷体_GB2312"/>
          <w:b w:val="false"/>
          <w:color w:val="000000"/>
          <w:szCs w:val="32"/>
        </w:rPr>
        <w:t>总  则</w:t>
      </w:r>
    </w:p>
    <w:p>
      <w:pPr>
        <w:pStyle w:val="Style15"/>
        <w:shd w:fill="FFFFFF" w:val="clear"/>
        <w:snapToGrid w:val="false"/>
        <w:spacing w:lineRule="exact" w:line="560" w:before="0" w:after="0"/>
        <w:ind w:firstLineChars="200" w:startChars="0" w:start="0" w:endChars="0" w:end="0"/>
        <w:rPr/>
      </w:pPr>
      <w:r>
        <w:rPr>
          <w:rStyle w:val="Strong"/>
          <w:rFonts w:ascii="楷体_GB2312" w:hAnsi="楷体_GB2312" w:cs="黑体;SimHei" w:hint="eastAsia" w:eastAsia="楷体_GB2312"/>
          <w:b w:val="false"/>
          <w:color w:val="000000"/>
          <w:szCs w:val="32"/>
        </w:rPr>
        <w:t>第二章</w:t>
      </w:r>
      <w:r>
        <w:rPr>
          <w:rStyle w:val="Strong"/>
          <w:rFonts w:ascii="仿宋_GB2312" w:hAnsi="仿宋_GB2312" w:cs="黑体;SimHei" w:hint="eastAsia"/>
          <w:b w:val="false"/>
          <w:color w:val="000000"/>
          <w:szCs w:val="32"/>
        </w:rPr>
        <w:t xml:space="preserve">  </w:t>
      </w:r>
      <w:r>
        <w:rPr>
          <w:rStyle w:val="Strong"/>
          <w:rFonts w:ascii="楷体_GB2312" w:hAnsi="楷体_GB2312" w:cs="黑体;SimHei" w:hint="eastAsia" w:eastAsia="楷体_GB2312"/>
          <w:b w:val="false"/>
          <w:color w:val="000000"/>
          <w:szCs w:val="32"/>
        </w:rPr>
        <w:t>寄递物流安全管理</w:t>
      </w:r>
    </w:p>
    <w:p>
      <w:pPr>
        <w:pStyle w:val="Style15"/>
        <w:shd w:fill="FFFFFF" w:val="clear"/>
        <w:snapToGrid w:val="false"/>
        <w:spacing w:lineRule="exact" w:line="560" w:before="0" w:after="0"/>
        <w:ind w:firstLineChars="200" w:startChars="0" w:start="0" w:endChars="0" w:end="0"/>
        <w:rPr/>
      </w:pPr>
      <w:r>
        <w:rPr>
          <w:rStyle w:val="Strong"/>
          <w:rFonts w:ascii="楷体_GB2312" w:hAnsi="楷体_GB2312" w:cs="黑体;SimHei" w:hint="eastAsia" w:eastAsia="楷体_GB2312"/>
          <w:b w:val="false"/>
          <w:color w:val="000000"/>
          <w:szCs w:val="32"/>
        </w:rPr>
        <w:t>第三章  监督管理</w:t>
      </w:r>
    </w:p>
    <w:p>
      <w:pPr>
        <w:pStyle w:val="Style15"/>
        <w:shd w:fill="FFFFFF" w:val="clear"/>
        <w:snapToGrid w:val="false"/>
        <w:spacing w:lineRule="exact" w:line="560" w:before="0" w:after="0"/>
        <w:ind w:firstLineChars="200" w:startChars="0" w:start="0" w:endChars="0" w:end="0"/>
        <w:rPr/>
      </w:pPr>
      <w:r>
        <w:rPr>
          <w:rStyle w:val="Strong"/>
          <w:rFonts w:ascii="楷体_GB2312" w:hAnsi="楷体_GB2312" w:cs="黑体;SimHei" w:hint="eastAsia" w:eastAsia="楷体_GB2312"/>
          <w:b w:val="false"/>
          <w:color w:val="000000"/>
          <w:szCs w:val="32"/>
        </w:rPr>
        <w:t>第四章  法律责任</w:t>
      </w:r>
    </w:p>
    <w:p>
      <w:pPr>
        <w:pStyle w:val="Style15"/>
        <w:shd w:fill="FFFFFF" w:val="clear"/>
        <w:snapToGrid w:val="false"/>
        <w:spacing w:lineRule="exact" w:line="560" w:before="0" w:after="0"/>
        <w:jc w:val="center"/>
        <w:rPr>
          <w:rStyle w:val="Strong"/>
          <w:rFonts w:ascii="楷体_GB2312" w:hAnsi="楷体_GB2312" w:eastAsia="宋体;SimSun" w:hint="eastAsia"/>
          <w:color w:val="000000"/>
          <w:szCs w:val="32"/>
        </w:rPr>
      </w:pPr>
      <w:r>
        <w:rPr/>
      </w:r>
    </w:p>
    <w:p>
      <w:pPr>
        <w:pStyle w:val="Style15"/>
        <w:shd w:fill="FFFFFF" w:val="clear"/>
        <w:snapToGrid w:val="false"/>
        <w:spacing w:lineRule="exact" w:line="540" w:before="0" w:after="0"/>
        <w:jc w:val="center"/>
        <w:rPr/>
      </w:pPr>
      <w:r>
        <w:rPr>
          <w:rStyle w:val="Strong"/>
          <w:rFonts w:eastAsia="黑体;SimHei" w:cs="黑体;SimHei" w:hint="eastAsia" w:ascii="黑体;SimHei" w:hAnsi="黑体;SimHei"/>
          <w:b w:val="false"/>
          <w:color w:val="000000"/>
          <w:szCs w:val="32"/>
        </w:rPr>
        <w:t xml:space="preserve"> </w:t>
      </w:r>
      <w:r>
        <w:rPr>
          <w:rStyle w:val="Strong"/>
          <w:rFonts w:ascii="黑体;SimHei" w:hAnsi="黑体;SimHei" w:cs="黑体;SimHei" w:hint="eastAsia" w:eastAsia="黑体;SimHei"/>
          <w:b w:val="false"/>
          <w:color w:val="000000"/>
          <w:szCs w:val="32"/>
        </w:rPr>
        <w:t>第一章  总  则</w:t>
      </w:r>
    </w:p>
    <w:p>
      <w:pPr>
        <w:pStyle w:val="Style15"/>
        <w:shd w:fill="FFFFFF" w:val="clear"/>
        <w:snapToGrid w:val="false"/>
        <w:spacing w:lineRule="exact" w:line="540" w:before="0" w:after="0"/>
        <w:jc w:val="center"/>
        <w:rPr>
          <w:rStyle w:val="Strong"/>
          <w:rFonts w:ascii="黑体;SimHei" w:hAnsi="黑体;SimHei" w:eastAsia="黑体;SimHei" w:cs="黑体;SimHei" w:hint="eastAsia"/>
          <w:b w:val="false"/>
          <w:color w:val="000000"/>
          <w:sz w:val="32"/>
          <w:szCs w:val="32"/>
        </w:rPr>
      </w:pPr>
      <w:r>
        <w:rPr/>
      </w:r>
    </w:p>
    <w:p>
      <w:pPr>
        <w:pStyle w:val="Style15"/>
        <w:shd w:fill="FFFFFF" w:val="clear"/>
        <w:snapToGrid w:val="false"/>
        <w:spacing w:lineRule="exact" w:line="540" w:before="0" w:after="0"/>
        <w:ind w:firstLineChars="200" w:startChars="0" w:start="0" w:endChars="0" w:end="0"/>
        <w:rPr/>
      </w:pPr>
      <w:r>
        <w:rPr>
          <w:rFonts w:ascii="黑体;SimHei" w:hAnsi="黑体;SimHei" w:cs="仿宋" w:hint="eastAsia" w:eastAsia="黑体;SimHei"/>
          <w:color w:val="000000"/>
          <w:sz w:val="32"/>
          <w:szCs w:val="32"/>
        </w:rPr>
        <w:t>第一条</w:t>
      </w:r>
      <w:r>
        <w:rPr>
          <w:rFonts w:ascii="方正黑体_GBK;Arial Unicode MS" w:hAnsi="方正黑体_GBK;Arial Unicode MS" w:cs="仿宋" w:eastAsia="方正黑体_GBK;Arial Unicode MS"/>
          <w:color w:val="000000"/>
          <w:sz w:val="32"/>
          <w:szCs w:val="32"/>
        </w:rPr>
        <w:t xml:space="preserve"> </w:t>
      </w:r>
      <w:r>
        <w:rPr>
          <w:rFonts w:ascii="方正黑体_GBK;Arial Unicode MS" w:hAnsi="方正黑体_GBK;Arial Unicode MS" w:cs="仿宋" w:hint="eastAsia" w:eastAsia="方正黑体_GBK;Arial Unicode MS"/>
          <w:color w:val="000000"/>
          <w:sz w:val="32"/>
          <w:szCs w:val="32"/>
        </w:rPr>
        <w:t xml:space="preserve"> </w:t>
      </w:r>
      <w:r>
        <w:rPr>
          <w:rFonts w:ascii="仿宋_GB2312" w:hAnsi="仿宋_GB2312" w:cs="仿宋" w:hint="eastAsia" w:eastAsia="仿宋_GB2312"/>
          <w:color w:val="000000"/>
          <w:sz w:val="32"/>
          <w:szCs w:val="32"/>
        </w:rPr>
        <w:t>为了保障社会公共安全，规范寄递物流安全活动，实现社会稳定和长治久安总目标，根据有关法律法规，结合本市实际，制定本条例。</w:t>
      </w:r>
    </w:p>
    <w:p>
      <w:pPr>
        <w:pStyle w:val="Style15"/>
        <w:shd w:fill="FFFFFF" w:val="clear"/>
        <w:snapToGrid w:val="false"/>
        <w:spacing w:lineRule="exact" w:line="540" w:before="0" w:after="0"/>
        <w:ind w:firstLineChars="200" w:startChars="0" w:start="0" w:endChars="0" w:end="0"/>
        <w:rPr/>
      </w:pPr>
      <w:r>
        <w:rPr>
          <w:rFonts w:ascii="黑体;SimHei" w:hAnsi="黑体;SimHei" w:cs="仿宋" w:hint="eastAsia" w:eastAsia="黑体;SimHei"/>
          <w:color w:val="000000"/>
          <w:sz w:val="32"/>
          <w:szCs w:val="32"/>
        </w:rPr>
        <w:t>第二条</w:t>
      </w:r>
      <w:r>
        <w:rPr>
          <w:rFonts w:ascii="方正黑体_GBK;Arial Unicode MS" w:hAnsi="方正黑体_GBK;Arial Unicode MS" w:cs="仿宋" w:eastAsia="方正黑体_GBK;Arial Unicode MS"/>
          <w:color w:val="000000"/>
          <w:sz w:val="32"/>
          <w:szCs w:val="32"/>
        </w:rPr>
        <w:t xml:space="preserve"> </w:t>
      </w:r>
      <w:r>
        <w:rPr>
          <w:rFonts w:ascii="方正黑体_GBK;Arial Unicode MS" w:hAnsi="方正黑体_GBK;Arial Unicode MS" w:cs="仿宋" w:hint="eastAsia" w:eastAsia="方正黑体_GBK;Arial Unicode MS"/>
          <w:color w:val="000000"/>
          <w:sz w:val="32"/>
          <w:szCs w:val="32"/>
        </w:rPr>
        <w:t xml:space="preserve"> </w:t>
      </w:r>
      <w:r>
        <w:rPr>
          <w:rFonts w:ascii="仿宋_GB2312" w:hAnsi="仿宋_GB2312" w:cs="仿宋" w:hint="eastAsia" w:eastAsia="仿宋_GB2312"/>
          <w:color w:val="000000"/>
          <w:sz w:val="32"/>
          <w:szCs w:val="32"/>
        </w:rPr>
        <w:t>本条例所称寄递物流安全，是指寄递物流经营者在收寄、分拣、运输、投递物品等环节履行公共安全的义务。</w:t>
      </w:r>
    </w:p>
    <w:p>
      <w:pPr>
        <w:pStyle w:val="Style15"/>
        <w:shd w:fill="FFFFFF" w:val="clear"/>
        <w:snapToGrid w:val="false"/>
        <w:spacing w:lineRule="exact" w:line="540" w:before="0" w:after="0"/>
        <w:ind w:firstLineChars="200" w:startChars="0" w:start="0" w:endChars="0" w:end="0"/>
        <w:rPr/>
      </w:pPr>
      <w:r>
        <w:rPr>
          <w:rFonts w:ascii="黑体;SimHei" w:hAnsi="黑体;SimHei" w:cs="仿宋" w:hint="eastAsia" w:eastAsia="黑体;SimHei"/>
          <w:color w:val="000000"/>
          <w:sz w:val="32"/>
          <w:szCs w:val="32"/>
        </w:rPr>
        <w:t xml:space="preserve">第三条  </w:t>
      </w:r>
      <w:r>
        <w:rPr>
          <w:rFonts w:ascii="仿宋_GB2312" w:hAnsi="仿宋_GB2312" w:cs="仿宋" w:hint="eastAsia" w:eastAsia="仿宋_GB2312"/>
          <w:color w:val="000000"/>
          <w:sz w:val="32"/>
          <w:szCs w:val="32"/>
        </w:rPr>
        <w:t>本市行政区域内</w:t>
      </w:r>
      <w:r>
        <w:rPr>
          <w:rFonts w:ascii="仿宋" w:hAnsi="仿宋" w:cs="仿宋" w:hint="eastAsia" w:eastAsia="仿宋"/>
          <w:color w:val="000000"/>
          <w:sz w:val="32"/>
          <w:szCs w:val="32"/>
        </w:rPr>
        <w:t>寄递物流活动的安全管理</w:t>
      </w:r>
      <w:r>
        <w:rPr>
          <w:rFonts w:ascii="仿宋_GB2312" w:hAnsi="仿宋_GB2312" w:cs="仿宋" w:hint="eastAsia" w:eastAsia="仿宋_GB2312"/>
          <w:color w:val="000000"/>
          <w:sz w:val="32"/>
          <w:szCs w:val="32"/>
        </w:rPr>
        <w:t>，寄递物流行业规范与发展适用本条例。</w:t>
      </w:r>
    </w:p>
    <w:p>
      <w:pPr>
        <w:pStyle w:val="Style15"/>
        <w:shd w:fill="FFFFFF" w:val="clear"/>
        <w:snapToGrid w:val="false"/>
        <w:spacing w:lineRule="exact" w:line="540" w:before="0" w:after="0"/>
        <w:ind w:firstLineChars="200" w:startChars="0" w:start="0" w:endChars="0" w:end="0"/>
        <w:rPr/>
      </w:pPr>
      <w:r>
        <w:rPr>
          <w:rFonts w:ascii="黑体;SimHei" w:hAnsi="黑体;SimHei" w:cs="仿宋" w:hint="eastAsia" w:eastAsia="黑体;SimHei"/>
          <w:color w:val="000000"/>
          <w:sz w:val="32"/>
          <w:szCs w:val="32"/>
        </w:rPr>
        <w:t>第四条</w:t>
      </w:r>
      <w:r>
        <w:rPr>
          <w:rFonts w:ascii="仿宋" w:hAnsi="仿宋" w:cs="仿宋" w:eastAsia="仿宋"/>
          <w:color w:val="000000"/>
          <w:sz w:val="32"/>
          <w:szCs w:val="32"/>
        </w:rPr>
        <w:t xml:space="preserve"> </w:t>
      </w:r>
      <w:r>
        <w:rPr>
          <w:rFonts w:ascii="仿宋" w:hAnsi="仿宋" w:cs="仿宋" w:hint="eastAsia" w:eastAsia="仿宋"/>
          <w:color w:val="000000"/>
          <w:sz w:val="32"/>
          <w:szCs w:val="32"/>
        </w:rPr>
        <w:t xml:space="preserve"> </w:t>
      </w:r>
      <w:r>
        <w:rPr>
          <w:rFonts w:ascii="仿宋_GB2312" w:hAnsi="仿宋_GB2312" w:cs="仿宋" w:hint="eastAsia" w:eastAsia="仿宋_GB2312"/>
          <w:color w:val="000000"/>
          <w:sz w:val="32"/>
          <w:szCs w:val="32"/>
        </w:rPr>
        <w:t>寄递物流安全管理应当坚持安全第一、预防为主、综合治理的原则，建立经营者负责、政府监管、行业自律和社会监督的机制。</w:t>
      </w:r>
    </w:p>
    <w:p>
      <w:pPr>
        <w:pStyle w:val="Style15"/>
        <w:shd w:fill="FFFFFF" w:val="clear"/>
        <w:snapToGrid w:val="false"/>
        <w:spacing w:lineRule="exact" w:line="540" w:before="0" w:after="0"/>
        <w:ind w:firstLineChars="200" w:startChars="0" w:start="0" w:endChars="0" w:end="0"/>
        <w:rPr>
          <w:rFonts w:ascii="方正黑体_GBK;Arial Unicode MS" w:hAnsi="方正黑体_GBK;Arial Unicode MS" w:eastAsia="方正黑体_GBK;Arial Unicode MS" w:cs="仿宋"/>
          <w:color w:val="000000"/>
          <w:sz w:val="32"/>
          <w:szCs w:val="32"/>
        </w:rPr>
      </w:pPr>
      <w:r>
        <w:rPr>
          <w:rFonts w:ascii="黑体;SimHei" w:hAnsi="黑体;SimHei" w:cs="仿宋" w:hint="eastAsia" w:eastAsia="黑体;SimHei"/>
          <w:color w:val="000000"/>
          <w:sz w:val="32"/>
          <w:szCs w:val="32"/>
        </w:rPr>
        <w:t>第五条</w:t>
      </w:r>
      <w:r>
        <w:rPr>
          <w:rFonts w:ascii="方正黑体_GBK;Arial Unicode MS" w:hAnsi="方正黑体_GBK;Arial Unicode MS" w:cs="仿宋" w:eastAsia="方正黑体_GBK;Arial Unicode MS"/>
          <w:color w:val="000000"/>
          <w:sz w:val="32"/>
          <w:szCs w:val="32"/>
        </w:rPr>
        <w:t xml:space="preserve"> </w:t>
      </w:r>
      <w:r>
        <w:rPr>
          <w:rFonts w:ascii="方正黑体_GBK;Arial Unicode MS" w:hAnsi="方正黑体_GBK;Arial Unicode MS" w:cs="仿宋" w:hint="eastAsia" w:eastAsia="方正黑体_GBK;Arial Unicode MS"/>
          <w:color w:val="000000"/>
          <w:sz w:val="32"/>
          <w:szCs w:val="32"/>
        </w:rPr>
        <w:t xml:space="preserve"> </w:t>
      </w:r>
      <w:r>
        <w:rPr>
          <w:rFonts w:ascii="仿宋_GB2312" w:hAnsi="仿宋_GB2312" w:cs="仿宋" w:hint="eastAsia" w:eastAsia="仿宋_GB2312"/>
          <w:color w:val="000000"/>
          <w:sz w:val="32"/>
          <w:szCs w:val="32"/>
        </w:rPr>
        <w:t>市、区（县）人民政府应当将寄递物流安全管理工作纳入国民经济和社会发展规划，统筹寄递物流行业的发展。</w:t>
      </w:r>
    </w:p>
    <w:p>
      <w:pPr>
        <w:pStyle w:val="Style15"/>
        <w:shd w:fill="FFFFFF" w:val="clear"/>
        <w:snapToGrid w:val="false"/>
        <w:spacing w:lineRule="exact" w:line="540" w:before="0" w:after="0"/>
        <w:ind w:firstLineChars="200" w:startChars="0" w:start="0" w:endChars="0" w:end="0"/>
        <w:rPr/>
      </w:pPr>
      <w:r>
        <w:rPr>
          <w:rFonts w:ascii="黑体;SimHei" w:hAnsi="黑体;SimHei" w:cs="仿宋" w:hint="eastAsia" w:eastAsia="黑体;SimHei"/>
          <w:color w:val="000000"/>
          <w:sz w:val="32"/>
          <w:szCs w:val="32"/>
        </w:rPr>
        <w:t>第六条</w:t>
      </w:r>
      <w:r>
        <w:rPr>
          <w:rFonts w:ascii="仿宋" w:hAnsi="仿宋" w:cs="仿宋" w:eastAsia="仿宋"/>
          <w:color w:val="000000"/>
          <w:sz w:val="32"/>
          <w:szCs w:val="32"/>
        </w:rPr>
        <w:t xml:space="preserve"> </w:t>
      </w:r>
      <w:r>
        <w:rPr>
          <w:rFonts w:ascii="仿宋_GB2312" w:hAnsi="仿宋_GB2312" w:cs="仿宋" w:hint="eastAsia" w:eastAsia="仿宋_GB2312"/>
          <w:color w:val="000000"/>
          <w:sz w:val="32"/>
          <w:szCs w:val="32"/>
        </w:rPr>
        <w:t xml:space="preserve"> 市、区（县）寄递物流管理机构负责本行政区域寄递物流安全的统一监督管理工作：</w:t>
      </w:r>
    </w:p>
    <w:p>
      <w:pPr>
        <w:pStyle w:val="Style15"/>
        <w:shd w:fill="FFFFFF" w:val="clear"/>
        <w:snapToGrid w:val="false"/>
        <w:spacing w:lineRule="exact" w:line="540" w:before="0" w:after="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（一）贯彻执行有关法律、法规和方针、政策；</w:t>
      </w:r>
    </w:p>
    <w:p>
      <w:pPr>
        <w:pStyle w:val="Style15"/>
        <w:shd w:fill="FFFFFF" w:val="clear"/>
        <w:snapToGrid w:val="false"/>
        <w:spacing w:lineRule="exact" w:line="540" w:before="0" w:after="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（二）负责寄递物流行业管理、指导、协调、督查工作；</w:t>
      </w:r>
    </w:p>
    <w:p>
      <w:pPr>
        <w:pStyle w:val="Style15"/>
        <w:shd w:fill="FFFFFF" w:val="clear"/>
        <w:snapToGrid w:val="false"/>
        <w:spacing w:lineRule="exact" w:line="540" w:before="0" w:after="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（三）编制和实施本行政区域内寄递物流总体规划及安全专项规划；</w:t>
      </w:r>
    </w:p>
    <w:p>
      <w:pPr>
        <w:pStyle w:val="Style15"/>
        <w:shd w:fill="FFFFFF" w:val="clear"/>
        <w:snapToGrid w:val="false"/>
        <w:spacing w:lineRule="exact" w:line="540" w:before="0" w:after="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（四）制定和实施寄递物流安全管理制度和措施；</w:t>
      </w:r>
    </w:p>
    <w:p>
      <w:pPr>
        <w:pStyle w:val="Style15"/>
        <w:shd w:fill="FFFFFF" w:val="clear"/>
        <w:snapToGrid w:val="false"/>
        <w:spacing w:lineRule="exact" w:line="540" w:before="0" w:after="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（五）组织开展寄递物流安全管理知识普及、宣传教育工作；</w:t>
      </w:r>
    </w:p>
    <w:p>
      <w:pPr>
        <w:pStyle w:val="Style15"/>
        <w:shd w:fill="FFFFFF" w:val="clear"/>
        <w:snapToGrid w:val="false"/>
        <w:spacing w:lineRule="exact" w:line="540" w:before="0" w:after="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（六）组织协调各相关部门开展寄递物流行业联合执法和违法整治工作，依法查处寄递物流活动中的违法行为；</w:t>
      </w:r>
    </w:p>
    <w:p>
      <w:pPr>
        <w:pStyle w:val="Style15"/>
        <w:shd w:fill="FFFFFF" w:val="clear"/>
        <w:snapToGrid w:val="false"/>
        <w:spacing w:lineRule="exact" w:line="540" w:before="0" w:after="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（七）建立寄递物流安全管理信息系统，负责寄递物流行业技术进步和标准化、信息化推广；</w:t>
      </w:r>
    </w:p>
    <w:p>
      <w:pPr>
        <w:pStyle w:val="Style15"/>
        <w:shd w:fill="FFFFFF" w:val="clear"/>
        <w:snapToGrid w:val="false"/>
        <w:spacing w:lineRule="exact" w:line="540" w:before="0" w:after="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（八）受理社会投诉、调解处理行业纠纷；</w:t>
      </w:r>
    </w:p>
    <w:p>
      <w:pPr>
        <w:pStyle w:val="Style15"/>
        <w:shd w:fill="FFFFFF" w:val="clear"/>
        <w:snapToGrid w:val="false"/>
        <w:spacing w:lineRule="exact" w:line="540" w:before="0" w:after="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（九）法律法规规定的其他事项。</w:t>
      </w:r>
    </w:p>
    <w:p>
      <w:pPr>
        <w:pStyle w:val="Style15"/>
        <w:shd w:fill="FFFFFF" w:val="clear"/>
        <w:snapToGrid w:val="false"/>
        <w:spacing w:lineRule="exact" w:line="540" w:before="0" w:after="0"/>
        <w:ind w:firstLineChars="200" w:startChars="0" w:start="0" w:endChars="0" w:end="0"/>
        <w:rPr/>
      </w:pPr>
      <w:r>
        <w:rPr>
          <w:rFonts w:ascii="黑体;SimHei" w:hAnsi="黑体;SimHei" w:cs="仿宋" w:hint="eastAsia" w:eastAsia="黑体;SimHei"/>
          <w:color w:val="000000"/>
          <w:sz w:val="32"/>
          <w:szCs w:val="32"/>
        </w:rPr>
        <w:t xml:space="preserve">第七条  </w:t>
      </w:r>
      <w:r>
        <w:rPr>
          <w:rFonts w:ascii="仿宋_GB2312" w:hAnsi="仿宋_GB2312" w:cs="仿宋" w:hint="eastAsia" w:eastAsia="仿宋_GB2312"/>
          <w:color w:val="000000"/>
          <w:sz w:val="32"/>
          <w:szCs w:val="32"/>
        </w:rPr>
        <w:t>邮政管理部门负责对邮政市场、快递市场实施监督管理。</w:t>
      </w:r>
    </w:p>
    <w:p>
      <w:pPr>
        <w:pStyle w:val="Style15"/>
        <w:shd w:fill="FFFFFF" w:val="clear"/>
        <w:snapToGrid w:val="false"/>
        <w:spacing w:lineRule="exact" w:line="540" w:before="0" w:after="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交通运输主管部门、道路运输管理机构应当依法对道路运输及道路运输相关业务经营活动进行监督检查。</w:t>
      </w:r>
    </w:p>
    <w:p>
      <w:pPr>
        <w:pStyle w:val="Style15"/>
        <w:shd w:fill="FFFFFF" w:val="clear"/>
        <w:snapToGrid w:val="false"/>
        <w:spacing w:lineRule="exact" w:line="540" w:before="0" w:after="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公安机关负责指导、检查、监督寄递物流经营者落实内部安全防范工作，建立健全治安管理制度，依法查处利用寄递物流活动进行的违法犯罪行为。</w:t>
      </w:r>
    </w:p>
    <w:p>
      <w:pPr>
        <w:pStyle w:val="Style15"/>
        <w:shd w:fill="FFFFFF" w:val="clear"/>
        <w:snapToGrid w:val="false"/>
        <w:spacing w:lineRule="exact" w:line="540" w:before="0" w:after="0"/>
        <w:ind w:firstLineChars="200" w:startChars="0" w:start="0" w:endChars="0" w:end="0"/>
        <w:rPr>
          <w:rFonts w:ascii="仿宋_GB2312" w:hAnsi="仿宋_GB2312" w:eastAsia="仿宋_GB2312" w:cs="仿宋" w:hint="eastAsia"/>
          <w:b/>
          <w:color w:val="000000"/>
          <w:sz w:val="32"/>
          <w:szCs w:val="32"/>
        </w:rPr>
      </w:pPr>
      <w:r>
        <w:rPr>
          <w:rFonts w:ascii="仿宋_GB2312" w:hAnsi="仿宋_GB2312" w:cs="仿宋" w:hint="eastAsia" w:eastAsia="仿宋_GB2312"/>
          <w:color w:val="000000"/>
          <w:sz w:val="32"/>
          <w:szCs w:val="32"/>
        </w:rPr>
        <w:t>综治、国家安全、经信、工商、商务、安监、质监、海关、铁路、民航等相关部门应当按照各自职能，依法做好寄递物流安全管理工作。</w:t>
      </w:r>
    </w:p>
    <w:p>
      <w:pPr>
        <w:pStyle w:val="Style15"/>
        <w:shd w:fill="FFFFFF" w:val="clear"/>
        <w:snapToGrid w:val="false"/>
        <w:spacing w:lineRule="exact" w:line="540" w:before="0" w:after="0"/>
        <w:ind w:firstLineChars="200" w:startChars="0" w:start="0" w:endChars="0" w:end="0"/>
        <w:rPr>
          <w:rFonts w:ascii="仿宋" w:hAnsi="仿宋" w:eastAsia="仿宋" w:cs="仿宋" w:hint="eastAsia"/>
          <w:color w:val="000000"/>
          <w:sz w:val="32"/>
          <w:szCs w:val="32"/>
        </w:rPr>
      </w:pPr>
      <w:r>
        <w:rPr>
          <w:rFonts w:ascii="黑体;SimHei" w:hAnsi="黑体;SimHei" w:cs="仿宋" w:hint="eastAsia" w:eastAsia="黑体;SimHei"/>
          <w:color w:val="000000"/>
          <w:sz w:val="32"/>
          <w:szCs w:val="32"/>
        </w:rPr>
        <w:t xml:space="preserve">第八条  </w:t>
      </w:r>
      <w:r>
        <w:rPr>
          <w:rFonts w:ascii="仿宋_GB2312" w:hAnsi="仿宋_GB2312" w:cs="仿宋" w:hint="eastAsia" w:eastAsia="仿宋_GB2312"/>
          <w:color w:val="000000"/>
          <w:sz w:val="32"/>
          <w:szCs w:val="32"/>
        </w:rPr>
        <w:t>寄递物流行业协会应当加强行业自律，为经营者提供信息、培训等服务，配合相关部门做好安全管理工作。</w:t>
      </w:r>
    </w:p>
    <w:p>
      <w:pPr>
        <w:pStyle w:val="Style15"/>
        <w:shd w:fill="FFFFFF" w:val="clear"/>
        <w:snapToGrid w:val="false"/>
        <w:spacing w:lineRule="exact" w:line="540" w:before="0" w:after="0"/>
        <w:ind w:firstLineChars="200" w:startChars="0" w:start="0" w:endChars="0" w:end="0"/>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Style15"/>
        <w:shd w:fill="FFFFFF" w:val="clear"/>
        <w:snapToGrid w:val="false"/>
        <w:spacing w:lineRule="exact" w:line="540" w:before="0" w:after="0"/>
        <w:jc w:val="center"/>
        <w:rPr/>
      </w:pPr>
      <w:r>
        <w:rPr>
          <w:rFonts w:ascii="黑体;SimHei" w:hAnsi="黑体;SimHei" w:cs="黑体;SimHei" w:hint="eastAsia" w:eastAsia="黑体;SimHei"/>
          <w:color w:val="000000"/>
          <w:sz w:val="32"/>
          <w:szCs w:val="32"/>
        </w:rPr>
        <w:t>第二章  寄递物流安全管理</w:t>
      </w:r>
    </w:p>
    <w:p>
      <w:pPr>
        <w:pStyle w:val="Style15"/>
        <w:shd w:fill="FFFFFF" w:val="clear"/>
        <w:snapToGrid w:val="false"/>
        <w:spacing w:lineRule="exact" w:line="540" w:before="0" w:after="0"/>
        <w:jc w:val="center"/>
        <w:rPr>
          <w:rFonts w:ascii="方正黑体_GBK;Arial Unicode MS" w:hAnsi="方正黑体_GBK;Arial Unicode MS" w:eastAsia="方正黑体_GBK;Arial Unicode MS" w:cs="黑体;SimHei" w:hint="eastAsia"/>
          <w:color w:val="000000"/>
          <w:sz w:val="36"/>
          <w:szCs w:val="36"/>
        </w:rPr>
      </w:pPr>
      <w:r>
        <w:rPr>
          <w:rFonts w:eastAsia="方正黑体_GBK;Arial Unicode MS" w:cs="黑体;SimHei" w:hint="eastAsia" w:ascii="方正黑体_GBK;Arial Unicode MS" w:hAnsi="方正黑体_GBK;Arial Unicode MS"/>
          <w:color w:val="000000"/>
          <w:sz w:val="36"/>
          <w:szCs w:val="36"/>
        </w:rPr>
      </w:r>
    </w:p>
    <w:p>
      <w:pPr>
        <w:pStyle w:val="Style15"/>
        <w:shd w:fill="FFFFFF" w:val="clear"/>
        <w:snapToGrid w:val="false"/>
        <w:spacing w:lineRule="exact" w:line="540" w:before="0" w:after="0"/>
        <w:ind w:firstLineChars="200" w:startChars="0" w:start="0" w:endChars="0" w:end="0"/>
        <w:rPr/>
      </w:pPr>
      <w:r>
        <w:rPr>
          <w:rFonts w:ascii="黑体;SimHei" w:hAnsi="黑体;SimHei" w:cs="仿宋" w:hint="eastAsia" w:eastAsia="黑体;SimHei"/>
          <w:color w:val="000000"/>
          <w:sz w:val="32"/>
          <w:szCs w:val="32"/>
        </w:rPr>
        <w:t xml:space="preserve">第九条  </w:t>
      </w:r>
      <w:r>
        <w:rPr>
          <w:rFonts w:ascii="仿宋_GB2312" w:hAnsi="仿宋_GB2312" w:cs="仿宋" w:hint="eastAsia" w:eastAsia="仿宋_GB2312"/>
          <w:color w:val="000000"/>
          <w:sz w:val="32"/>
          <w:szCs w:val="32"/>
        </w:rPr>
        <w:t>本市建立管理部门、公安机关、国家安全机关、寄递物流经营者共同参与的跨部门、跨领域、跨地区的寄递物流安全管理机制。</w:t>
      </w:r>
    </w:p>
    <w:p>
      <w:pPr>
        <w:pStyle w:val="Style15"/>
        <w:shd w:fill="FFFFFF" w:val="clear"/>
        <w:snapToGrid w:val="false"/>
        <w:spacing w:lineRule="exact" w:line="540" w:before="0" w:after="0"/>
        <w:ind w:firstLineChars="200" w:startChars="0" w:start="0" w:endChars="0" w:end="0"/>
        <w:rPr>
          <w:rFonts w:ascii="仿宋_GB2312" w:hAnsi="仿宋_GB2312" w:eastAsia="仿宋_GB2312" w:cs="仿宋" w:hint="eastAsia"/>
          <w:color w:val="000000"/>
          <w:sz w:val="32"/>
          <w:szCs w:val="32"/>
        </w:rPr>
      </w:pPr>
      <w:r>
        <w:rPr>
          <w:rFonts w:ascii="黑体;SimHei" w:hAnsi="黑体;SimHei" w:cs="仿宋" w:hint="eastAsia" w:eastAsia="黑体;SimHei"/>
          <w:color w:val="000000"/>
          <w:sz w:val="32"/>
          <w:szCs w:val="32"/>
        </w:rPr>
        <w:t xml:space="preserve">第十条  </w:t>
      </w:r>
      <w:r>
        <w:rPr>
          <w:rFonts w:ascii="仿宋" w:hAnsi="仿宋" w:cs="仿宋" w:hint="eastAsia" w:eastAsia="仿宋"/>
          <w:color w:val="000000"/>
          <w:sz w:val="32"/>
          <w:szCs w:val="32"/>
        </w:rPr>
        <w:t>寄递物</w:t>
      </w:r>
      <w:r>
        <w:rPr>
          <w:rFonts w:ascii="仿宋_GB2312" w:hAnsi="仿宋_GB2312" w:cs="仿宋" w:hint="eastAsia" w:eastAsia="仿宋_GB2312"/>
          <w:color w:val="000000"/>
          <w:sz w:val="32"/>
          <w:szCs w:val="32"/>
        </w:rPr>
        <w:t>流经营者取得工商营业执照后，应当于十五日内向寄递物流管理机构书面报告。</w:t>
      </w:r>
    </w:p>
    <w:p>
      <w:pPr>
        <w:pStyle w:val="Style15"/>
        <w:shd w:fill="FFFFFF" w:val="clear"/>
        <w:tabs>
          <w:tab w:val="clear" w:pos="420"/>
          <w:tab w:val="left" w:pos="8460" w:leader="none"/>
          <w:tab w:val="left" w:pos="8640" w:leader="none"/>
        </w:tabs>
        <w:snapToGrid w:val="false"/>
        <w:spacing w:lineRule="exact" w:line="540" w:before="0" w:after="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寄递物流经营者名称、经营场所和其他相关信息发生变更，寄递物流经营者应当持工商部</w:t>
      </w:r>
      <w:r>
        <w:rPr>
          <w:rFonts w:ascii="仿宋" w:hAnsi="仿宋" w:cs="仿宋" w:hint="eastAsia" w:eastAsia="仿宋"/>
          <w:color w:val="000000"/>
          <w:sz w:val="32"/>
          <w:szCs w:val="32"/>
        </w:rPr>
        <w:t>门变更后的营业执照，于十五日内向</w:t>
      </w:r>
      <w:r>
        <w:rPr>
          <w:rFonts w:ascii="仿宋_GB2312" w:hAnsi="仿宋_GB2312" w:cs="仿宋" w:hint="eastAsia" w:eastAsia="仿宋_GB2312"/>
          <w:color w:val="000000"/>
          <w:sz w:val="32"/>
          <w:szCs w:val="32"/>
        </w:rPr>
        <w:t>寄递物流管理机构</w:t>
      </w:r>
      <w:r>
        <w:rPr>
          <w:rFonts w:ascii="仿宋" w:hAnsi="仿宋" w:cs="仿宋" w:hint="eastAsia" w:eastAsia="仿宋"/>
          <w:color w:val="000000"/>
          <w:sz w:val="32"/>
          <w:szCs w:val="32"/>
        </w:rPr>
        <w:t>书面报告。</w:t>
      </w:r>
    </w:p>
    <w:p>
      <w:pPr>
        <w:pStyle w:val="Style15"/>
        <w:shd w:fill="FFFFFF" w:val="clear"/>
        <w:snapToGrid w:val="false"/>
        <w:spacing w:lineRule="exact" w:line="540" w:before="0" w:after="0"/>
        <w:ind w:firstLineChars="200" w:startChars="0" w:start="0" w:endChars="0" w:end="0"/>
        <w:rPr/>
      </w:pPr>
      <w:r>
        <w:rPr>
          <w:rFonts w:ascii="黑体;SimHei" w:hAnsi="黑体;SimHei" w:cs="仿宋" w:hint="eastAsia" w:eastAsia="黑体;SimHei"/>
          <w:color w:val="000000"/>
          <w:sz w:val="32"/>
          <w:szCs w:val="32"/>
        </w:rPr>
        <w:t xml:space="preserve">第十一条  </w:t>
      </w:r>
      <w:r>
        <w:rPr>
          <w:rFonts w:ascii="仿宋_GB2312" w:hAnsi="仿宋_GB2312" w:cs="仿宋" w:hint="eastAsia" w:eastAsia="仿宋_GB2312"/>
          <w:color w:val="000000"/>
          <w:sz w:val="32"/>
          <w:szCs w:val="32"/>
        </w:rPr>
        <w:t>寄递物流经营者法定代表人或者主要负责人是寄递物流安全第一责任人，应当履行以下职责：</w:t>
      </w:r>
    </w:p>
    <w:p>
      <w:pPr>
        <w:pStyle w:val="Style15"/>
        <w:shd w:fill="FFFFFF" w:val="clear"/>
        <w:snapToGrid w:val="false"/>
        <w:spacing w:lineRule="exact" w:line="560" w:before="0" w:after="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 xml:space="preserve">（一）建立健全寄递物流安全管理制度，组织制定并落实寄递物流安全规章制度和安全检查操作规程；  </w:t>
      </w:r>
    </w:p>
    <w:p>
      <w:pPr>
        <w:pStyle w:val="Style15"/>
        <w:shd w:fill="FFFFFF" w:val="clear"/>
        <w:snapToGrid w:val="false"/>
        <w:spacing w:lineRule="exact" w:line="560" w:before="0" w:after="0"/>
        <w:ind w:firstLineChars="200" w:startChars="0" w:start="0" w:endChars="0" w:end="0"/>
        <w:rPr>
          <w:rFonts w:ascii="仿宋_GB2312" w:hAnsi="仿宋_GB2312" w:eastAsia="仿宋_GB2312" w:cs="仿宋" w:hint="eastAsia"/>
          <w:b/>
          <w:color w:val="000000"/>
          <w:sz w:val="32"/>
          <w:szCs w:val="32"/>
        </w:rPr>
      </w:pPr>
      <w:r>
        <w:rPr>
          <w:rFonts w:ascii="仿宋_GB2312" w:hAnsi="仿宋_GB2312" w:cs="仿宋" w:hint="eastAsia" w:eastAsia="仿宋_GB2312"/>
          <w:color w:val="000000"/>
          <w:sz w:val="32"/>
          <w:szCs w:val="32"/>
        </w:rPr>
        <w:t xml:space="preserve">（二）建立托运人、承运人、收货人、托运物品及相关信息留存制度和可追溯体系；    </w:t>
      </w:r>
    </w:p>
    <w:p>
      <w:pPr>
        <w:pStyle w:val="Style15"/>
        <w:shd w:fill="FFFFFF" w:val="clear"/>
        <w:snapToGrid w:val="false"/>
        <w:spacing w:lineRule="exact" w:line="560" w:before="0" w:after="0"/>
        <w:ind w:firstLineChars="200" w:startChars="0" w:start="0" w:endChars="0" w:end="0"/>
        <w:rPr/>
      </w:pPr>
      <w:r>
        <w:rPr>
          <w:rFonts w:ascii="仿宋_GB2312" w:hAnsi="仿宋_GB2312" w:cs="仿宋" w:hint="eastAsia" w:eastAsia="仿宋_GB2312"/>
          <w:color w:val="000000"/>
          <w:sz w:val="32"/>
          <w:szCs w:val="32"/>
        </w:rPr>
        <w:t>（三）建立与合同客户签订安全保障协议制度；</w:t>
      </w:r>
      <w:r>
        <w:rPr>
          <w:rFonts w:ascii="仿宋_GB2312" w:hAnsi="仿宋_GB2312" w:cs="仿宋" w:hint="eastAsia" w:eastAsia="仿宋_GB2312"/>
          <w:b/>
          <w:color w:val="000000"/>
          <w:sz w:val="32"/>
          <w:szCs w:val="32"/>
        </w:rPr>
        <w:t xml:space="preserve"> </w:t>
      </w:r>
    </w:p>
    <w:p>
      <w:pPr>
        <w:pStyle w:val="Style15"/>
        <w:shd w:fill="FFFFFF" w:val="clear"/>
        <w:snapToGrid w:val="false"/>
        <w:spacing w:lineRule="exact" w:line="560" w:before="0" w:after="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（四）设立寄递物流安全管理机构或者配备专（兼）职安全管理人员；</w:t>
      </w:r>
    </w:p>
    <w:p>
      <w:pPr>
        <w:pStyle w:val="Style15"/>
        <w:shd w:fill="FFFFFF" w:val="clear"/>
        <w:snapToGrid w:val="false"/>
        <w:spacing w:lineRule="exact" w:line="560" w:before="0" w:after="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（五）配备寄递物流安全物防、技防设施，应当保证安全生产经费投入；</w:t>
      </w:r>
    </w:p>
    <w:p>
      <w:pPr>
        <w:pStyle w:val="Style15"/>
        <w:shd w:fill="FFFFFF" w:val="clear"/>
        <w:snapToGrid w:val="false"/>
        <w:spacing w:lineRule="exact" w:line="560" w:before="0" w:after="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（六）组织制定并实施寄递物流安全教育和培训计划；</w:t>
      </w:r>
    </w:p>
    <w:p>
      <w:pPr>
        <w:pStyle w:val="Style15"/>
        <w:shd w:fill="FFFFFF" w:val="clear"/>
        <w:snapToGrid w:val="false"/>
        <w:spacing w:lineRule="exact" w:line="560" w:before="0" w:after="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（七）督促检查寄递物流安全工作，及时消除事故隐患</w:t>
      </w:r>
      <w:r>
        <w:rPr>
          <w:rFonts w:eastAsia="仿宋_GB2312" w:cs="仿宋" w:hint="eastAsia" w:ascii="仿宋_GB2312" w:hAnsi="仿宋_GB2312"/>
          <w:color w:val="000000"/>
          <w:sz w:val="32"/>
          <w:szCs w:val="32"/>
        </w:rPr>
        <w:t>;</w:t>
      </w:r>
    </w:p>
    <w:p>
      <w:pPr>
        <w:pStyle w:val="Style15"/>
        <w:shd w:fill="FFFFFF" w:val="clear"/>
        <w:snapToGrid w:val="false"/>
        <w:spacing w:lineRule="exact" w:line="560" w:before="0" w:after="0"/>
        <w:ind w:firstLineChars="200" w:startChars="0" w:start="0" w:endChars="0" w:end="0"/>
        <w:rPr/>
      </w:pPr>
      <w:r>
        <w:rPr>
          <w:rFonts w:ascii="仿宋_GB2312" w:hAnsi="仿宋_GB2312" w:cs="仿宋" w:hint="eastAsia" w:eastAsia="仿宋_GB2312"/>
          <w:color w:val="000000"/>
          <w:sz w:val="32"/>
          <w:szCs w:val="32"/>
        </w:rPr>
        <w:t>（八）组织制订实施寄递物流安全事故应急预案并定期进行演练；</w:t>
      </w:r>
    </w:p>
    <w:p>
      <w:pPr>
        <w:pStyle w:val="Style15"/>
        <w:shd w:fill="FFFFFF" w:val="clear"/>
        <w:snapToGrid w:val="false"/>
        <w:spacing w:lineRule="exact" w:line="560" w:before="0" w:after="0"/>
        <w:ind w:firstLineChars="200" w:startChars="0" w:start="0" w:endChars="0" w:end="0"/>
        <w:rPr/>
      </w:pPr>
      <w:r>
        <w:rPr>
          <w:rFonts w:ascii="仿宋_GB2312" w:hAnsi="仿宋_GB2312" w:cs="仿宋" w:hint="eastAsia" w:eastAsia="仿宋_GB2312"/>
          <w:color w:val="000000"/>
          <w:sz w:val="32"/>
          <w:szCs w:val="32"/>
        </w:rPr>
        <w:t>（九）履行维护社会稳定义务，及时、如实向寄递物流管理机构报告寄递物流工作的进展情况；</w:t>
      </w:r>
    </w:p>
    <w:p>
      <w:pPr>
        <w:pStyle w:val="Style15"/>
        <w:shd w:fill="FFFFFF" w:val="clear"/>
        <w:snapToGrid w:val="false"/>
        <w:spacing w:lineRule="exact" w:line="560" w:before="0" w:after="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（十）法律法规规定的其他职责。</w:t>
      </w:r>
    </w:p>
    <w:p>
      <w:pPr>
        <w:pStyle w:val="Style15"/>
        <w:shd w:fill="FFFFFF" w:val="clear"/>
        <w:snapToGrid w:val="false"/>
        <w:spacing w:lineRule="exact" w:line="560" w:before="0" w:after="0"/>
        <w:ind w:firstLineChars="200" w:startChars="0" w:start="0" w:endChars="0" w:end="0"/>
        <w:rPr/>
      </w:pPr>
      <w:r>
        <w:rPr>
          <w:rFonts w:ascii="黑体;SimHei" w:hAnsi="黑体;SimHei" w:cs="仿宋" w:hint="eastAsia" w:eastAsia="黑体;SimHei"/>
          <w:color w:val="000000"/>
          <w:sz w:val="32"/>
          <w:szCs w:val="32"/>
        </w:rPr>
        <w:t xml:space="preserve">第十二条  </w:t>
      </w:r>
      <w:r>
        <w:rPr>
          <w:rFonts w:ascii="仿宋_GB2312" w:hAnsi="仿宋_GB2312" w:cs="仿宋" w:hint="eastAsia" w:eastAsia="仿宋_GB2312"/>
          <w:color w:val="000000"/>
          <w:sz w:val="32"/>
          <w:szCs w:val="32"/>
        </w:rPr>
        <w:t>寄递物流经营者在寄件收件物品时，应当遵守国家和自治区有关禁止或者限制寄递运送的规定，如实填写寄件收件物品</w:t>
      </w:r>
      <w:r>
        <w:rPr>
          <w:rFonts w:ascii="仿宋" w:hAnsi="仿宋" w:cs="仿宋" w:hint="eastAsia" w:eastAsia="仿宋"/>
          <w:color w:val="000000"/>
          <w:sz w:val="32"/>
          <w:szCs w:val="32"/>
        </w:rPr>
        <w:t>信息。</w:t>
      </w:r>
    </w:p>
    <w:p>
      <w:pPr>
        <w:pStyle w:val="Style15"/>
        <w:shd w:fill="FFFFFF" w:val="clear"/>
        <w:snapToGrid w:val="false"/>
        <w:spacing w:lineRule="exact" w:line="560" w:before="0" w:after="0"/>
        <w:ind w:firstLineChars="200" w:startChars="0" w:start="0" w:endChars="0" w:end="0"/>
        <w:rPr/>
      </w:pPr>
      <w:r>
        <w:rPr>
          <w:rFonts w:ascii="黑体;SimHei" w:hAnsi="黑体;SimHei" w:cs="仿宋" w:hint="eastAsia" w:eastAsia="黑体;SimHei"/>
          <w:color w:val="000000"/>
          <w:sz w:val="32"/>
          <w:szCs w:val="32"/>
        </w:rPr>
        <w:t>第十三条</w:t>
      </w:r>
      <w:r>
        <w:rPr>
          <w:rFonts w:ascii="仿宋" w:hAnsi="仿宋" w:cs="仿宋" w:eastAsia="仿宋"/>
          <w:color w:val="000000"/>
          <w:sz w:val="32"/>
          <w:szCs w:val="32"/>
        </w:rPr>
        <w:t xml:space="preserve"> </w:t>
      </w:r>
      <w:r>
        <w:rPr>
          <w:rFonts w:ascii="仿宋_GB2312" w:hAnsi="仿宋_GB2312" w:cs="仿宋" w:hint="eastAsia" w:eastAsia="仿宋_GB2312"/>
          <w:color w:val="000000"/>
          <w:sz w:val="32"/>
          <w:szCs w:val="32"/>
        </w:rPr>
        <w:t xml:space="preserve"> 寄递物流经营者应当在收寄、分拣、仓储、运输、投递、安检等环节和道路货物运输收货场所安装视频监控设备，接入寄递物流管理机构和公安机关信息平台。</w:t>
      </w:r>
    </w:p>
    <w:p>
      <w:pPr>
        <w:pStyle w:val="Style15"/>
        <w:shd w:fill="FFFFFF" w:val="clear"/>
        <w:snapToGrid w:val="false"/>
        <w:spacing w:lineRule="exact" w:line="560" w:before="0" w:after="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监控系统应当二十四小时运转，监控资料保存时间不少于九十天。</w:t>
      </w:r>
    </w:p>
    <w:p>
      <w:pPr>
        <w:pStyle w:val="Style15"/>
        <w:shd w:fill="FFFFFF" w:val="clear"/>
        <w:snapToGrid w:val="false"/>
        <w:spacing w:lineRule="exact" w:line="560" w:before="0" w:after="0"/>
        <w:ind w:firstLineChars="200" w:startChars="0" w:start="0" w:endChars="0" w:end="0"/>
        <w:rPr>
          <w:rFonts w:ascii="仿宋" w:hAnsi="仿宋" w:eastAsia="仿宋" w:cs="仿宋"/>
          <w:color w:val="000000"/>
          <w:sz w:val="32"/>
          <w:szCs w:val="32"/>
        </w:rPr>
      </w:pPr>
      <w:r>
        <w:rPr>
          <w:rFonts w:ascii="黑体;SimHei" w:hAnsi="黑体;SimHei" w:cs="仿宋" w:hint="eastAsia" w:eastAsia="黑体;SimHei"/>
          <w:color w:val="000000"/>
          <w:sz w:val="32"/>
          <w:szCs w:val="32"/>
        </w:rPr>
        <w:t>第十四条</w:t>
      </w:r>
      <w:r>
        <w:rPr>
          <w:rFonts w:ascii="仿宋" w:hAnsi="仿宋" w:cs="仿宋" w:eastAsia="仿宋"/>
          <w:color w:val="000000"/>
          <w:sz w:val="32"/>
          <w:szCs w:val="32"/>
        </w:rPr>
        <w:t xml:space="preserve"> </w:t>
      </w:r>
      <w:r>
        <w:rPr>
          <w:rFonts w:ascii="仿宋" w:hAnsi="仿宋" w:cs="仿宋" w:hint="eastAsia" w:eastAsia="仿宋"/>
          <w:color w:val="000000"/>
          <w:sz w:val="32"/>
          <w:szCs w:val="32"/>
        </w:rPr>
        <w:t xml:space="preserve"> </w:t>
      </w:r>
      <w:r>
        <w:rPr>
          <w:rFonts w:ascii="仿宋_GB2312" w:hAnsi="仿宋_GB2312" w:cs="仿宋" w:hint="eastAsia" w:eastAsia="仿宋_GB2312"/>
          <w:color w:val="000000"/>
          <w:sz w:val="32"/>
          <w:szCs w:val="32"/>
        </w:rPr>
        <w:t>寄递物流经营者应当在营业网点、处理中心、分拨中心以明显方式公示禁止和限制寄递运输物品目录、收寄验视制度、实名登记制度、安全操作规程、过机安检制度、突发事件应急处理规定和安全标识等内容。</w:t>
      </w:r>
    </w:p>
    <w:p>
      <w:pPr>
        <w:pStyle w:val="Style15"/>
        <w:shd w:fill="FFFFFF" w:val="clear"/>
        <w:snapToGrid w:val="false"/>
        <w:spacing w:lineRule="exact" w:line="560" w:before="0" w:after="0"/>
        <w:ind w:firstLineChars="200" w:startChars="0" w:start="0" w:endChars="0" w:end="0"/>
        <w:rPr>
          <w:rFonts w:ascii="仿宋_GB2312" w:hAnsi="仿宋_GB2312" w:eastAsia="仿宋_GB2312" w:cs="仿宋" w:hint="eastAsia"/>
          <w:b/>
          <w:color w:val="000000"/>
          <w:sz w:val="32"/>
          <w:szCs w:val="32"/>
        </w:rPr>
      </w:pPr>
      <w:r>
        <w:rPr>
          <w:rFonts w:ascii="黑体;SimHei" w:hAnsi="黑体;SimHei" w:cs="仿宋" w:hint="eastAsia" w:eastAsia="黑体;SimHei"/>
          <w:color w:val="000000"/>
          <w:sz w:val="32"/>
          <w:szCs w:val="32"/>
        </w:rPr>
        <w:t>第十五条</w:t>
      </w:r>
      <w:r>
        <w:rPr>
          <w:rFonts w:ascii="仿宋" w:hAnsi="仿宋" w:cs="仿宋" w:eastAsia="仿宋"/>
          <w:color w:val="000000"/>
          <w:sz w:val="32"/>
          <w:szCs w:val="32"/>
        </w:rPr>
        <w:t xml:space="preserve"> </w:t>
      </w:r>
      <w:r>
        <w:rPr>
          <w:rFonts w:ascii="仿宋" w:hAnsi="仿宋" w:cs="仿宋" w:hint="eastAsia" w:eastAsia="仿宋"/>
          <w:color w:val="000000"/>
          <w:sz w:val="32"/>
          <w:szCs w:val="32"/>
        </w:rPr>
        <w:t xml:space="preserve"> </w:t>
      </w:r>
      <w:r>
        <w:rPr>
          <w:rFonts w:ascii="仿宋_GB2312" w:hAnsi="仿宋_GB2312" w:cs="仿宋" w:hint="eastAsia" w:eastAsia="仿宋_GB2312"/>
          <w:color w:val="000000"/>
          <w:sz w:val="32"/>
          <w:szCs w:val="32"/>
        </w:rPr>
        <w:t>寄递物流经营者在收件物品时，应当检查安全信息，核实寄件人有效身份证件，并按照实名制登记要求进行登记。登记记录保存期限不少于十八个月。</w:t>
      </w:r>
    </w:p>
    <w:p>
      <w:pPr>
        <w:pStyle w:val="Style15"/>
        <w:shd w:fill="FFFFFF" w:val="clear"/>
        <w:snapToGrid w:val="false"/>
        <w:spacing w:lineRule="exact" w:line="560" w:before="0" w:after="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对于已经签订安全保障协议的企业客户，寄递物流经营者应当登记企业负责人和日常主要交寄人员的有效身份信息。已经予以登记的，应当定期复核客户身份信息。</w:t>
      </w:r>
    </w:p>
    <w:p>
      <w:pPr>
        <w:pStyle w:val="Style15"/>
        <w:shd w:fill="FFFFFF" w:val="clear"/>
        <w:snapToGrid w:val="false"/>
        <w:spacing w:lineRule="exact" w:line="560" w:before="0" w:after="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 xml:space="preserve">寄递物流经营者应当按照相关部门的要求采取信息化手段落实客户身份查验制度。   </w:t>
      </w:r>
    </w:p>
    <w:p>
      <w:pPr>
        <w:pStyle w:val="Style15"/>
        <w:shd w:fill="FFFFFF" w:val="clear"/>
        <w:snapToGrid w:val="false"/>
        <w:spacing w:lineRule="exact" w:line="560" w:before="0" w:after="0"/>
        <w:ind w:firstLineChars="200" w:startChars="0" w:start="0" w:endChars="0" w:end="0"/>
        <w:rPr/>
      </w:pPr>
      <w:r>
        <w:rPr>
          <w:rFonts w:ascii="黑体;SimHei" w:hAnsi="黑体;SimHei" w:cs="仿宋" w:hint="eastAsia" w:eastAsia="黑体;SimHei"/>
          <w:color w:val="000000"/>
          <w:sz w:val="32"/>
          <w:szCs w:val="32"/>
        </w:rPr>
        <w:t xml:space="preserve">第十六条  </w:t>
      </w:r>
      <w:r>
        <w:rPr>
          <w:rFonts w:ascii="仿宋_GB2312" w:hAnsi="仿宋_GB2312" w:cs="仿宋" w:hint="eastAsia" w:eastAsia="仿宋_GB2312"/>
          <w:color w:val="000000"/>
          <w:sz w:val="32"/>
          <w:szCs w:val="32"/>
        </w:rPr>
        <w:t>寄递物流经营者应当建立物品收件、运送验视制度。进入本市的物品，包括中转的物品，应进行非侵入式查验。非侵入式查验物品有存疑的，应进行破封查验。寄递物流经营者应严格遵守破封查验操作规范，确保物品性能、使用状态完好无损，并在查验后恢复包装要求。对已安检的收件物品标识验证、验视或验讫标志。</w:t>
      </w:r>
    </w:p>
    <w:p>
      <w:pPr>
        <w:pStyle w:val="Style15"/>
        <w:shd w:fill="FFFFFF" w:val="clear"/>
        <w:snapToGrid w:val="false"/>
        <w:spacing w:lineRule="exact" w:line="560" w:before="0" w:after="0"/>
        <w:ind w:firstLineChars="200" w:startChars="0" w:start="0" w:endChars="0" w:end="0"/>
        <w:rPr/>
      </w:pPr>
      <w:r>
        <w:rPr>
          <w:rFonts w:ascii="仿宋_GB2312" w:hAnsi="仿宋_GB2312" w:cs="仿宋" w:hint="eastAsia" w:eastAsia="仿宋_GB2312"/>
          <w:color w:val="000000"/>
          <w:sz w:val="32"/>
          <w:szCs w:val="32"/>
        </w:rPr>
        <w:t>寄递物流经营者对收件和运送的物品，应验视内件（除信件外）；拒绝验视的，不予收件运送。</w:t>
      </w:r>
      <w:r>
        <w:rPr>
          <w:rFonts w:ascii="仿宋_GB2312" w:hAnsi="仿宋_GB2312" w:cs="仿宋" w:hint="eastAsia" w:eastAsia="仿宋_GB2312"/>
          <w:b/>
          <w:color w:val="000000"/>
          <w:sz w:val="32"/>
          <w:szCs w:val="32"/>
        </w:rPr>
        <w:t xml:space="preserve"> </w:t>
      </w:r>
    </w:p>
    <w:p>
      <w:pPr>
        <w:pStyle w:val="Style15"/>
        <w:shd w:fill="FFFFFF" w:val="clear"/>
        <w:snapToGrid w:val="false"/>
        <w:spacing w:lineRule="exact" w:line="540" w:before="0" w:after="0"/>
        <w:ind w:firstLineChars="200" w:startChars="0" w:start="0" w:endChars="0" w:end="0"/>
        <w:rPr>
          <w:rFonts w:ascii="仿宋_GB2312" w:hAnsi="仿宋_GB2312" w:eastAsia="仿宋_GB2312" w:cs="仿宋" w:hint="eastAsia"/>
          <w:color w:val="000000"/>
          <w:sz w:val="32"/>
          <w:szCs w:val="32"/>
          <w:shd w:fill="858585" w:val="clear"/>
        </w:rPr>
      </w:pPr>
      <w:r>
        <w:rPr>
          <w:rFonts w:ascii="黑体;SimHei" w:hAnsi="黑体;SimHei" w:cs="仿宋" w:hint="eastAsia" w:eastAsia="黑体;SimHei"/>
          <w:color w:val="000000"/>
          <w:sz w:val="32"/>
          <w:szCs w:val="32"/>
        </w:rPr>
        <w:t>第十七条</w:t>
      </w:r>
      <w:r>
        <w:rPr>
          <w:rFonts w:ascii="仿宋" w:hAnsi="仿宋" w:cs="仿宋" w:eastAsia="仿宋"/>
          <w:color w:val="000000"/>
          <w:sz w:val="32"/>
          <w:szCs w:val="32"/>
        </w:rPr>
        <w:t xml:space="preserve"> </w:t>
      </w:r>
      <w:r>
        <w:rPr>
          <w:rFonts w:ascii="仿宋" w:hAnsi="仿宋" w:cs="仿宋" w:hint="eastAsia" w:eastAsia="仿宋"/>
          <w:color w:val="000000"/>
          <w:sz w:val="32"/>
          <w:szCs w:val="32"/>
        </w:rPr>
        <w:t xml:space="preserve"> </w:t>
      </w:r>
      <w:r>
        <w:rPr>
          <w:rFonts w:ascii="仿宋_GB2312" w:hAnsi="仿宋_GB2312" w:cs="仿宋" w:hint="eastAsia" w:eastAsia="仿宋_GB2312"/>
          <w:color w:val="000000"/>
          <w:sz w:val="32"/>
          <w:szCs w:val="32"/>
        </w:rPr>
        <w:t>寄递物流经营者应当配备符合国家标准、具备透视探测功能的安全检查设备，安排具有相应知识和技能的人员按照规定对寄递物品实施安全检查。</w:t>
      </w:r>
    </w:p>
    <w:p>
      <w:pPr>
        <w:pStyle w:val="Style15"/>
        <w:shd w:fill="FFFFFF" w:val="clear"/>
        <w:snapToGrid w:val="false"/>
        <w:spacing w:lineRule="exact" w:line="540" w:before="0" w:after="0"/>
        <w:ind w:firstLineChars="200" w:startChars="0" w:start="0" w:endChars="0" w:end="0"/>
        <w:rPr>
          <w:rFonts w:ascii="仿宋" w:hAnsi="仿宋" w:eastAsia="仿宋" w:cs="仿宋" w:hint="eastAsia"/>
          <w:color w:val="000000"/>
          <w:sz w:val="32"/>
          <w:szCs w:val="32"/>
        </w:rPr>
      </w:pPr>
      <w:r>
        <w:rPr>
          <w:rFonts w:ascii="黑体;SimHei" w:hAnsi="黑体;SimHei" w:cs="仿宋" w:hint="eastAsia" w:eastAsia="黑体;SimHei"/>
          <w:color w:val="000000"/>
          <w:sz w:val="32"/>
          <w:szCs w:val="32"/>
        </w:rPr>
        <w:t xml:space="preserve">第十八条  </w:t>
      </w:r>
      <w:r>
        <w:rPr>
          <w:rFonts w:ascii="仿宋_GB2312" w:hAnsi="仿宋_GB2312" w:cs="仿宋" w:hint="eastAsia" w:eastAsia="仿宋_GB2312"/>
          <w:color w:val="000000"/>
          <w:sz w:val="32"/>
          <w:szCs w:val="32"/>
        </w:rPr>
        <w:t>寄递物流经营者在收寄、分拣、仓储、运输、投递等环节，应当确保货物的安全性，发现违禁物品，应当立即向寄递物流管理机构和公安机关报告，并按有关规定处理。</w:t>
      </w:r>
    </w:p>
    <w:p>
      <w:pPr>
        <w:pStyle w:val="Style15"/>
        <w:shd w:fill="FFFFFF" w:val="clear"/>
        <w:snapToGrid w:val="false"/>
        <w:spacing w:lineRule="exact" w:line="540" w:before="0" w:after="0"/>
        <w:ind w:firstLineChars="200" w:startChars="0" w:start="0" w:endChars="0" w:end="0"/>
        <w:rPr>
          <w:rFonts w:ascii="仿宋_GB2312" w:hAnsi="仿宋_GB2312" w:eastAsia="仿宋_GB2312" w:cs="仿宋"/>
          <w:color w:val="000000"/>
          <w:sz w:val="32"/>
          <w:szCs w:val="32"/>
        </w:rPr>
      </w:pPr>
      <w:r>
        <w:rPr>
          <w:rFonts w:ascii="黑体;SimHei" w:hAnsi="黑体;SimHei" w:cs="仿宋" w:hint="eastAsia" w:eastAsia="黑体;SimHei"/>
          <w:color w:val="000000"/>
          <w:sz w:val="32"/>
          <w:szCs w:val="32"/>
        </w:rPr>
        <w:t>第十九条</w:t>
      </w:r>
      <w:r>
        <w:rPr>
          <w:rFonts w:ascii="仿宋" w:hAnsi="仿宋" w:cs="仿宋" w:hint="eastAsia" w:eastAsia="仿宋"/>
          <w:color w:val="000000"/>
          <w:sz w:val="32"/>
          <w:szCs w:val="32"/>
        </w:rPr>
        <w:t xml:space="preserve">  </w:t>
      </w:r>
      <w:r>
        <w:rPr>
          <w:rFonts w:ascii="仿宋_GB2312" w:hAnsi="仿宋_GB2312" w:cs="仿宋" w:hint="eastAsia" w:eastAsia="仿宋_GB2312"/>
          <w:color w:val="000000"/>
          <w:sz w:val="32"/>
          <w:szCs w:val="32"/>
        </w:rPr>
        <w:t>寄递物流经营者应当建立从业人员档案，对拟录用的从业人员进行审查，公安机关应当配合做好相关工作。</w:t>
      </w:r>
    </w:p>
    <w:p>
      <w:pPr>
        <w:pStyle w:val="Style15"/>
        <w:shd w:fill="FFFFFF" w:val="clear"/>
        <w:snapToGrid w:val="false"/>
        <w:spacing w:lineRule="exact" w:line="540" w:before="0" w:after="0"/>
        <w:ind w:firstLineChars="200" w:startChars="0" w:start="0" w:endChars="0" w:end="0"/>
        <w:rPr/>
      </w:pPr>
      <w:r>
        <w:rPr>
          <w:rFonts w:ascii="仿宋_GB2312" w:hAnsi="仿宋_GB2312" w:cs="仿宋" w:hint="eastAsia" w:eastAsia="仿宋_GB2312"/>
          <w:color w:val="000000"/>
          <w:sz w:val="32"/>
          <w:szCs w:val="32"/>
        </w:rPr>
        <w:t>寄递物流经营者应当定期对从业人员进行寄递物流安全培训，并建立培训档案。</w:t>
      </w:r>
    </w:p>
    <w:p>
      <w:pPr>
        <w:pStyle w:val="Style15"/>
        <w:shd w:fill="FFFFFF" w:val="clear"/>
        <w:snapToGrid w:val="false"/>
        <w:spacing w:lineRule="exact" w:line="540" w:before="0" w:after="0"/>
        <w:ind w:firstLineChars="200" w:startChars="0" w:start="0" w:endChars="0" w:end="0"/>
        <w:rPr>
          <w:rFonts w:ascii="仿宋_GB2312" w:hAnsi="仿宋_GB2312" w:eastAsia="仿宋_GB2312" w:cs="仿宋"/>
          <w:color w:val="000000"/>
          <w:sz w:val="32"/>
          <w:szCs w:val="32"/>
        </w:rPr>
      </w:pPr>
      <w:r>
        <w:rPr>
          <w:rFonts w:ascii="黑体;SimHei" w:hAnsi="黑体;SimHei" w:cs="仿宋" w:hint="eastAsia" w:eastAsia="黑体;SimHei"/>
          <w:color w:val="000000"/>
          <w:sz w:val="32"/>
          <w:szCs w:val="32"/>
        </w:rPr>
        <w:t xml:space="preserve">第二十条 </w:t>
      </w:r>
      <w:r>
        <w:rPr>
          <w:rFonts w:ascii="仿宋" w:hAnsi="仿宋" w:cs="仿宋" w:eastAsia="仿宋"/>
          <w:color w:val="000000"/>
          <w:sz w:val="32"/>
          <w:szCs w:val="32"/>
        </w:rPr>
        <w:t xml:space="preserve"> </w:t>
      </w:r>
      <w:r>
        <w:rPr>
          <w:rFonts w:ascii="仿宋_GB2312" w:hAnsi="仿宋_GB2312" w:cs="仿宋" w:hint="eastAsia" w:eastAsia="仿宋_GB2312"/>
          <w:color w:val="000000"/>
          <w:sz w:val="32"/>
          <w:szCs w:val="32"/>
        </w:rPr>
        <w:t>签订安全保障协议的用户有下列情形之一的，可以采取抽检、抽查等方式进行安全查验，并做好登记：</w:t>
      </w:r>
    </w:p>
    <w:p>
      <w:pPr>
        <w:pStyle w:val="Style15"/>
        <w:shd w:fill="FFFFFF" w:val="clear"/>
        <w:snapToGrid w:val="false"/>
        <w:spacing w:lineRule="exact" w:line="540" w:before="0" w:after="0"/>
        <w:ind w:firstLineChars="200" w:startChars="0" w:start="0" w:endChars="0" w:end="0"/>
        <w:rPr/>
      </w:pPr>
      <w:r>
        <w:rPr>
          <w:rFonts w:eastAsia="仿宋_GB2312" w:cs="仿宋" w:ascii="仿宋_GB2312" w:hAnsi="仿宋_GB2312"/>
          <w:color w:val="000000"/>
          <w:sz w:val="32"/>
          <w:szCs w:val="32"/>
        </w:rPr>
        <w:t>(</w:t>
      </w:r>
      <w:r>
        <w:rPr>
          <w:rFonts w:ascii="仿宋_GB2312" w:hAnsi="仿宋_GB2312" w:cs="仿宋" w:hint="eastAsia" w:eastAsia="仿宋_GB2312"/>
          <w:color w:val="000000"/>
          <w:sz w:val="32"/>
          <w:szCs w:val="32"/>
        </w:rPr>
        <w:t>一</w:t>
      </w:r>
      <w:r>
        <w:rPr>
          <w:rFonts w:eastAsia="仿宋_GB2312" w:cs="仿宋" w:ascii="仿宋_GB2312" w:hAnsi="仿宋_GB2312"/>
          <w:color w:val="000000"/>
          <w:sz w:val="32"/>
          <w:szCs w:val="32"/>
        </w:rPr>
        <w:t>)</w:t>
      </w:r>
      <w:r>
        <w:rPr>
          <w:rFonts w:ascii="仿宋_GB2312" w:hAnsi="仿宋_GB2312" w:cs="仿宋" w:hint="eastAsia" w:eastAsia="仿宋_GB2312"/>
          <w:color w:val="000000"/>
          <w:sz w:val="32"/>
          <w:szCs w:val="32"/>
        </w:rPr>
        <w:t>货物对既有包装有特殊要求或者其他客观原因，不能进行拆包验视的</w:t>
      </w:r>
      <w:r>
        <w:rPr>
          <w:rFonts w:eastAsia="仿宋_GB2312" w:cs="仿宋" w:ascii="仿宋_GB2312" w:hAnsi="仿宋_GB2312"/>
          <w:color w:val="000000"/>
          <w:sz w:val="32"/>
          <w:szCs w:val="32"/>
        </w:rPr>
        <w:t>;</w:t>
      </w:r>
    </w:p>
    <w:p>
      <w:pPr>
        <w:pStyle w:val="Style15"/>
        <w:shd w:fill="FFFFFF" w:val="clear"/>
        <w:snapToGrid w:val="false"/>
        <w:spacing w:lineRule="exact" w:line="540" w:before="0" w:after="0"/>
        <w:ind w:firstLineChars="200" w:startChars="0" w:start="0" w:endChars="0" w:end="0"/>
        <w:rPr>
          <w:rFonts w:ascii="仿宋_GB2312" w:hAnsi="仿宋_GB2312" w:eastAsia="仿宋_GB2312" w:cs="仿宋"/>
          <w:color w:val="000000"/>
          <w:sz w:val="32"/>
          <w:szCs w:val="32"/>
        </w:rPr>
      </w:pPr>
      <w:r>
        <w:rPr>
          <w:rFonts w:eastAsia="仿宋_GB2312" w:cs="仿宋" w:ascii="仿宋_GB2312" w:hAnsi="仿宋_GB2312"/>
          <w:color w:val="000000"/>
          <w:sz w:val="32"/>
          <w:szCs w:val="32"/>
        </w:rPr>
        <w:t>(</w:t>
      </w:r>
      <w:r>
        <w:rPr>
          <w:rFonts w:ascii="仿宋_GB2312" w:hAnsi="仿宋_GB2312" w:cs="仿宋" w:hint="eastAsia" w:eastAsia="仿宋_GB2312"/>
          <w:color w:val="000000"/>
          <w:sz w:val="32"/>
          <w:szCs w:val="32"/>
        </w:rPr>
        <w:t>二</w:t>
      </w:r>
      <w:r>
        <w:rPr>
          <w:rFonts w:eastAsia="仿宋_GB2312" w:cs="仿宋" w:ascii="仿宋_GB2312" w:hAnsi="仿宋_GB2312"/>
          <w:color w:val="000000"/>
          <w:sz w:val="32"/>
          <w:szCs w:val="32"/>
        </w:rPr>
        <w:t>)</w:t>
      </w:r>
      <w:r>
        <w:rPr>
          <w:rFonts w:ascii="仿宋_GB2312" w:hAnsi="仿宋_GB2312" w:cs="仿宋" w:hint="eastAsia" w:eastAsia="仿宋_GB2312"/>
          <w:color w:val="000000"/>
          <w:sz w:val="32"/>
          <w:szCs w:val="32"/>
        </w:rPr>
        <w:t>货物体积过大，无法进行非侵入式查验安检的。</w:t>
      </w:r>
    </w:p>
    <w:p>
      <w:pPr>
        <w:pStyle w:val="Style15"/>
        <w:shd w:fill="FFFFFF" w:val="clear"/>
        <w:snapToGrid w:val="false"/>
        <w:spacing w:lineRule="exact" w:line="540" w:before="0" w:after="0"/>
        <w:ind w:firstLineChars="200" w:startChars="0" w:start="0" w:endChars="0" w:end="0"/>
        <w:rPr>
          <w:rFonts w:ascii="仿宋_GB2312" w:hAnsi="仿宋_GB2312" w:eastAsia="仿宋_GB2312" w:cs="仿宋"/>
          <w:color w:val="000000"/>
          <w:sz w:val="32"/>
          <w:szCs w:val="32"/>
        </w:rPr>
      </w:pPr>
      <w:r>
        <w:rPr>
          <w:rFonts w:ascii="黑体;SimHei" w:hAnsi="黑体;SimHei" w:cs="仿宋" w:hint="eastAsia" w:eastAsia="黑体;SimHei"/>
          <w:color w:val="000000"/>
          <w:sz w:val="32"/>
          <w:szCs w:val="32"/>
        </w:rPr>
        <w:t>第二十一条</w:t>
      </w:r>
      <w:r>
        <w:rPr>
          <w:rFonts w:ascii="仿宋" w:hAnsi="仿宋" w:cs="仿宋" w:eastAsia="仿宋"/>
          <w:color w:val="000000"/>
          <w:sz w:val="32"/>
          <w:szCs w:val="32"/>
        </w:rPr>
        <w:t xml:space="preserve"> </w:t>
      </w:r>
      <w:r>
        <w:rPr>
          <w:rFonts w:ascii="仿宋" w:hAnsi="仿宋" w:cs="仿宋" w:hint="eastAsia" w:eastAsia="仿宋"/>
          <w:color w:val="000000"/>
          <w:sz w:val="32"/>
          <w:szCs w:val="32"/>
        </w:rPr>
        <w:t xml:space="preserve"> </w:t>
      </w:r>
      <w:r>
        <w:rPr>
          <w:rFonts w:ascii="仿宋_GB2312" w:hAnsi="仿宋_GB2312" w:cs="仿宋" w:hint="eastAsia" w:eastAsia="仿宋_GB2312"/>
          <w:color w:val="000000"/>
          <w:sz w:val="32"/>
          <w:szCs w:val="32"/>
        </w:rPr>
        <w:t>寄递物流经营者应当建立收件、运送托运单和相关电子信息的档案管理制度，除法律、行政法规另有规定的外，信息记录保存期限不少于十八个月。保管期满后，应按照有关规定集中销毁，做好销毁记录，不得随意丢弃。</w:t>
      </w:r>
    </w:p>
    <w:p>
      <w:pPr>
        <w:pStyle w:val="Style15"/>
        <w:shd w:fill="FFFFFF" w:val="clear"/>
        <w:snapToGrid w:val="false"/>
        <w:spacing w:lineRule="exact" w:line="540" w:before="0" w:after="0"/>
        <w:ind w:firstLineChars="200" w:startChars="0" w:start="0" w:endChars="0" w:end="0"/>
        <w:jc w:val="center"/>
        <w:rPr>
          <w:rFonts w:ascii="黑体;SimHei" w:hAnsi="黑体;SimHei" w:eastAsia="黑体;SimHei" w:cs="黑体;SimHei" w:hint="eastAsia"/>
          <w:color w:val="000000"/>
          <w:sz w:val="36"/>
          <w:szCs w:val="36"/>
        </w:rPr>
      </w:pPr>
      <w:r>
        <w:rPr>
          <w:rFonts w:eastAsia="黑体;SimHei" w:cs="黑体;SimHei" w:hint="eastAsia" w:ascii="黑体;SimHei" w:hAnsi="黑体;SimHei"/>
          <w:color w:val="000000"/>
          <w:sz w:val="36"/>
          <w:szCs w:val="36"/>
        </w:rPr>
      </w:r>
    </w:p>
    <w:p>
      <w:pPr>
        <w:pStyle w:val="Style15"/>
        <w:shd w:fill="FFFFFF" w:val="clear"/>
        <w:snapToGrid w:val="false"/>
        <w:spacing w:lineRule="exact" w:line="540" w:before="0" w:after="0"/>
        <w:jc w:val="center"/>
        <w:rPr/>
      </w:pPr>
      <w:r>
        <w:rPr>
          <w:rFonts w:ascii="黑体;SimHei" w:hAnsi="黑体;SimHei" w:cs="黑体;SimHei" w:hint="eastAsia" w:eastAsia="黑体;SimHei"/>
          <w:color w:val="000000"/>
          <w:sz w:val="32"/>
          <w:szCs w:val="32"/>
        </w:rPr>
        <w:t>第三章  监督管理</w:t>
      </w:r>
    </w:p>
    <w:p>
      <w:pPr>
        <w:pStyle w:val="Style15"/>
        <w:shd w:fill="FFFFFF" w:val="clear"/>
        <w:snapToGrid w:val="false"/>
        <w:spacing w:lineRule="exact" w:line="540" w:before="0" w:after="0"/>
        <w:jc w:val="center"/>
        <w:rPr>
          <w:rFonts w:ascii="方正黑体_GBK;Arial Unicode MS" w:hAnsi="方正黑体_GBK;Arial Unicode MS" w:eastAsia="方正黑体_GBK;Arial Unicode MS" w:cs="黑体;SimHei" w:hint="eastAsia"/>
          <w:color w:val="000000"/>
          <w:sz w:val="36"/>
          <w:szCs w:val="36"/>
        </w:rPr>
      </w:pPr>
      <w:r>
        <w:rPr>
          <w:rFonts w:eastAsia="方正黑体_GBK;Arial Unicode MS" w:cs="黑体;SimHei" w:hint="eastAsia" w:ascii="方正黑体_GBK;Arial Unicode MS" w:hAnsi="方正黑体_GBK;Arial Unicode MS"/>
          <w:color w:val="000000"/>
          <w:sz w:val="36"/>
          <w:szCs w:val="36"/>
        </w:rPr>
      </w:r>
    </w:p>
    <w:p>
      <w:pPr>
        <w:pStyle w:val="Style15"/>
        <w:shd w:fill="FFFFFF" w:val="clear"/>
        <w:snapToGrid w:val="false"/>
        <w:spacing w:lineRule="exact" w:line="540" w:before="0" w:after="0"/>
        <w:ind w:firstLineChars="200" w:startChars="0" w:start="0" w:endChars="0" w:end="0"/>
        <w:rPr>
          <w:rFonts w:ascii="仿宋_GB2312" w:hAnsi="仿宋_GB2312" w:eastAsia="仿宋_GB2312" w:cs="仿宋"/>
          <w:color w:val="000000"/>
          <w:sz w:val="32"/>
          <w:szCs w:val="32"/>
        </w:rPr>
      </w:pPr>
      <w:r>
        <w:rPr>
          <w:rFonts w:ascii="黑体;SimHei" w:hAnsi="黑体;SimHei" w:cs="仿宋" w:hint="eastAsia" w:eastAsia="黑体;SimHei"/>
          <w:color w:val="000000"/>
          <w:sz w:val="32"/>
          <w:szCs w:val="32"/>
        </w:rPr>
        <w:t xml:space="preserve">第二十二条  </w:t>
      </w:r>
      <w:r>
        <w:rPr>
          <w:rFonts w:ascii="仿宋_GB2312" w:hAnsi="仿宋_GB2312" w:cs="仿宋" w:hint="eastAsia" w:eastAsia="仿宋_GB2312"/>
          <w:color w:val="000000"/>
          <w:sz w:val="32"/>
          <w:szCs w:val="32"/>
        </w:rPr>
        <w:t>寄递物流管理机构应当定期对寄递物流经营者落实实名收寄、收寄验视、过机安检制度和治安防范措施等情况开展监督检查。</w:t>
      </w:r>
    </w:p>
    <w:p>
      <w:pPr>
        <w:pStyle w:val="Style15"/>
        <w:shd w:fill="FFFFFF" w:val="clear"/>
        <w:snapToGrid w:val="false"/>
        <w:spacing w:lineRule="exact" w:line="540" w:before="0" w:after="0"/>
        <w:ind w:firstLineChars="200" w:startChars="0" w:start="0" w:endChars="0" w:end="0"/>
        <w:rPr/>
      </w:pPr>
      <w:r>
        <w:rPr>
          <w:rFonts w:ascii="黑体;SimHei" w:hAnsi="黑体;SimHei" w:cs="仿宋" w:hint="eastAsia" w:eastAsia="黑体;SimHei"/>
          <w:color w:val="000000"/>
          <w:sz w:val="32"/>
          <w:szCs w:val="32"/>
        </w:rPr>
        <w:t>第二十三条</w:t>
      </w:r>
      <w:r>
        <w:rPr>
          <w:rFonts w:ascii="仿宋" w:hAnsi="仿宋" w:cs="仿宋" w:eastAsia="仿宋"/>
          <w:color w:val="000000"/>
          <w:sz w:val="32"/>
          <w:szCs w:val="32"/>
        </w:rPr>
        <w:t xml:space="preserve"> </w:t>
      </w:r>
      <w:r>
        <w:rPr>
          <w:rFonts w:ascii="仿宋" w:hAnsi="仿宋" w:cs="仿宋" w:hint="eastAsia" w:eastAsia="仿宋"/>
          <w:color w:val="000000"/>
          <w:sz w:val="32"/>
          <w:szCs w:val="32"/>
        </w:rPr>
        <w:t xml:space="preserve"> </w:t>
      </w:r>
      <w:r>
        <w:rPr>
          <w:rFonts w:ascii="仿宋_GB2312" w:hAnsi="仿宋_GB2312" w:cs="仿宋" w:hint="eastAsia" w:eastAsia="仿宋_GB2312"/>
          <w:color w:val="000000"/>
          <w:sz w:val="32"/>
          <w:szCs w:val="32"/>
        </w:rPr>
        <w:t>寄递物流管理机构应当建立寄递物流经营者目录，根据规定的标准评定寄递物流经营者安全等级。</w:t>
      </w:r>
    </w:p>
    <w:p>
      <w:pPr>
        <w:pStyle w:val="Style15"/>
        <w:shd w:fill="FFFFFF" w:val="clear"/>
        <w:snapToGrid w:val="false"/>
        <w:spacing w:lineRule="exact" w:line="540" w:before="0" w:after="0"/>
        <w:ind w:firstLineChars="200" w:startChars="0" w:start="0" w:endChars="0" w:end="0"/>
        <w:rPr>
          <w:rFonts w:ascii="仿宋_GB2312" w:hAnsi="仿宋_GB2312" w:eastAsia="仿宋_GB2312" w:cs="仿宋"/>
          <w:color w:val="000000"/>
          <w:sz w:val="32"/>
          <w:szCs w:val="32"/>
        </w:rPr>
      </w:pPr>
      <w:r>
        <w:rPr>
          <w:rFonts w:ascii="仿宋_GB2312" w:hAnsi="仿宋_GB2312" w:cs="仿宋" w:hint="eastAsia" w:eastAsia="仿宋_GB2312"/>
          <w:color w:val="000000"/>
          <w:sz w:val="32"/>
          <w:szCs w:val="32"/>
        </w:rPr>
        <w:t>安全管理等级标准由寄递物流管理机构会同交通运输主管部门、道路运输管理机构、邮政管理部门、公安机关等相关部门制定。</w:t>
      </w:r>
    </w:p>
    <w:p>
      <w:pPr>
        <w:pStyle w:val="Style15"/>
        <w:shd w:fill="FFFFFF" w:val="clear"/>
        <w:snapToGrid w:val="false"/>
        <w:spacing w:lineRule="exact" w:line="540" w:before="0" w:after="0"/>
        <w:ind w:firstLineChars="200" w:startChars="0" w:start="0" w:endChars="0" w:end="0"/>
        <w:rPr/>
      </w:pPr>
      <w:r>
        <w:rPr>
          <w:rFonts w:ascii="黑体;SimHei" w:hAnsi="黑体;SimHei" w:cs="仿宋" w:hint="eastAsia" w:eastAsia="黑体;SimHei"/>
          <w:color w:val="000000"/>
          <w:sz w:val="32"/>
          <w:szCs w:val="32"/>
        </w:rPr>
        <w:t>第二十四条</w:t>
      </w:r>
      <w:r>
        <w:rPr>
          <w:rFonts w:ascii="仿宋" w:hAnsi="仿宋" w:cs="仿宋" w:eastAsia="仿宋"/>
          <w:color w:val="000000"/>
          <w:sz w:val="32"/>
          <w:szCs w:val="32"/>
        </w:rPr>
        <w:t xml:space="preserve"> </w:t>
      </w:r>
      <w:r>
        <w:rPr>
          <w:rFonts w:ascii="仿宋" w:hAnsi="仿宋" w:cs="仿宋" w:hint="eastAsia" w:eastAsia="仿宋"/>
          <w:color w:val="000000"/>
          <w:sz w:val="32"/>
          <w:szCs w:val="32"/>
        </w:rPr>
        <w:t xml:space="preserve"> </w:t>
      </w:r>
      <w:r>
        <w:rPr>
          <w:rFonts w:ascii="仿宋_GB2312" w:hAnsi="仿宋_GB2312" w:cs="仿宋" w:hint="eastAsia" w:eastAsia="仿宋_GB2312"/>
          <w:color w:val="000000"/>
          <w:sz w:val="32"/>
          <w:szCs w:val="32"/>
        </w:rPr>
        <w:t>寄递物流管理机构应当建立寄递物流经营者安全异常名单，将安全评级中不合格的寄递物流经营者列入寄递物流经营安全异常名单，通过新闻媒体或者行业网站对外公布。</w:t>
      </w:r>
    </w:p>
    <w:p>
      <w:pPr>
        <w:pStyle w:val="Style15"/>
        <w:shd w:fill="FFFFFF" w:val="clear"/>
        <w:snapToGrid w:val="false"/>
        <w:spacing w:lineRule="exact" w:line="540" w:before="0" w:after="0"/>
        <w:ind w:firstLineChars="200" w:startChars="0" w:start="0" w:endChars="0" w:end="0"/>
        <w:rPr>
          <w:rFonts w:ascii="仿宋_GB2312" w:hAnsi="仿宋_GB2312" w:eastAsia="仿宋_GB2312" w:cs="仿宋"/>
          <w:color w:val="000000"/>
          <w:sz w:val="32"/>
          <w:szCs w:val="32"/>
        </w:rPr>
      </w:pPr>
      <w:r>
        <w:rPr>
          <w:rFonts w:ascii="黑体;SimHei" w:hAnsi="黑体;SimHei" w:cs="仿宋" w:hint="eastAsia" w:eastAsia="黑体;SimHei"/>
          <w:color w:val="000000"/>
          <w:sz w:val="32"/>
          <w:szCs w:val="32"/>
        </w:rPr>
        <w:t xml:space="preserve">第二十五条  </w:t>
      </w:r>
      <w:r>
        <w:rPr>
          <w:rFonts w:ascii="仿宋_GB2312" w:hAnsi="仿宋_GB2312" w:cs="仿宋" w:hint="eastAsia" w:eastAsia="仿宋_GB2312"/>
          <w:color w:val="000000"/>
          <w:sz w:val="32"/>
          <w:szCs w:val="32"/>
        </w:rPr>
        <w:t>寄递物流管理机构应当定期组织召开联席会议，互通信息，统筹协调寄递物流安全管理工作。</w:t>
      </w:r>
    </w:p>
    <w:p>
      <w:pPr>
        <w:pStyle w:val="Style15"/>
        <w:shd w:fill="FFFFFF" w:val="clear"/>
        <w:snapToGrid w:val="false"/>
        <w:spacing w:lineRule="exact" w:line="540" w:before="0" w:after="0"/>
        <w:ind w:firstLineChars="200" w:startChars="0" w:start="0" w:endChars="0" w:end="0"/>
        <w:rPr>
          <w:rFonts w:ascii="仿宋" w:hAnsi="仿宋" w:eastAsia="仿宋" w:cs="仿宋" w:hint="eastAsia"/>
          <w:color w:val="000000"/>
          <w:sz w:val="32"/>
          <w:szCs w:val="32"/>
        </w:rPr>
      </w:pPr>
      <w:r>
        <w:rPr>
          <w:rFonts w:ascii="黑体;SimHei" w:hAnsi="黑体;SimHei" w:cs="仿宋" w:hint="eastAsia" w:eastAsia="黑体;SimHei"/>
          <w:color w:val="000000"/>
          <w:sz w:val="32"/>
          <w:szCs w:val="32"/>
        </w:rPr>
        <w:t>第二十六条</w:t>
      </w:r>
      <w:r>
        <w:rPr>
          <w:rFonts w:ascii="黑体;SimHei" w:hAnsi="黑体;SimHei" w:cs="仿宋" w:eastAsia="黑体;SimHei"/>
          <w:color w:val="000000"/>
          <w:sz w:val="32"/>
          <w:szCs w:val="32"/>
        </w:rPr>
        <w:t xml:space="preserve"> </w:t>
      </w:r>
      <w:r>
        <w:rPr>
          <w:rFonts w:ascii="黑体;SimHei" w:hAnsi="黑体;SimHei" w:cs="仿宋" w:hint="eastAsia" w:eastAsia="黑体;SimHei"/>
          <w:color w:val="000000"/>
          <w:sz w:val="32"/>
          <w:szCs w:val="32"/>
        </w:rPr>
        <w:t xml:space="preserve"> </w:t>
      </w:r>
      <w:r>
        <w:rPr>
          <w:rFonts w:ascii="仿宋_GB2312" w:hAnsi="仿宋_GB2312" w:cs="仿宋" w:hint="eastAsia" w:eastAsia="仿宋_GB2312"/>
          <w:color w:val="000000"/>
          <w:sz w:val="32"/>
          <w:szCs w:val="32"/>
        </w:rPr>
        <w:t>任何单位和个人有权举报违反寄递物流安全管理的行为，市、区（县）人民政府应给予奖励或表彰。</w:t>
      </w:r>
    </w:p>
    <w:p>
      <w:pPr>
        <w:pStyle w:val="Style15"/>
        <w:shd w:fill="FFFFFF" w:val="clear"/>
        <w:snapToGrid w:val="false"/>
        <w:spacing w:lineRule="exact" w:line="540" w:before="0" w:after="0"/>
        <w:ind w:firstLineChars="200" w:startChars="0" w:start="0" w:endChars="0" w:end="0"/>
        <w:jc w:val="center"/>
        <w:rPr>
          <w:rFonts w:ascii="黑体;SimHei" w:hAnsi="黑体;SimHei" w:eastAsia="黑体;SimHei" w:cs="黑体;SimHei" w:hint="eastAsia"/>
          <w:color w:val="000000"/>
          <w:sz w:val="36"/>
          <w:szCs w:val="36"/>
        </w:rPr>
      </w:pPr>
      <w:r>
        <w:rPr>
          <w:rFonts w:eastAsia="黑体;SimHei" w:cs="黑体;SimHei" w:hint="eastAsia" w:ascii="黑体;SimHei" w:hAnsi="黑体;SimHei"/>
          <w:color w:val="000000"/>
          <w:sz w:val="36"/>
          <w:szCs w:val="36"/>
        </w:rPr>
      </w:r>
    </w:p>
    <w:p>
      <w:pPr>
        <w:pStyle w:val="Style15"/>
        <w:shd w:fill="FFFFFF" w:val="clear"/>
        <w:snapToGrid w:val="false"/>
        <w:spacing w:lineRule="exact" w:line="540" w:before="0" w:after="0"/>
        <w:jc w:val="center"/>
        <w:rPr/>
      </w:pPr>
      <w:r>
        <w:rPr>
          <w:rFonts w:ascii="黑体;SimHei" w:hAnsi="黑体;SimHei" w:cs="黑体;SimHei" w:hint="eastAsia" w:eastAsia="黑体;SimHei"/>
          <w:color w:val="000000"/>
          <w:sz w:val="32"/>
          <w:szCs w:val="32"/>
        </w:rPr>
        <w:t>第四章  法律责任</w:t>
      </w:r>
    </w:p>
    <w:p>
      <w:pPr>
        <w:pStyle w:val="Style15"/>
        <w:shd w:fill="FFFFFF" w:val="clear"/>
        <w:snapToGrid w:val="false"/>
        <w:spacing w:lineRule="exact" w:line="540" w:before="0" w:after="0"/>
        <w:jc w:val="center"/>
        <w:rPr>
          <w:rFonts w:ascii="方正黑体_GBK;Arial Unicode MS" w:hAnsi="方正黑体_GBK;Arial Unicode MS" w:eastAsia="方正黑体_GBK;Arial Unicode MS" w:cs="黑体;SimHei" w:hint="eastAsia"/>
          <w:color w:val="000000"/>
          <w:sz w:val="36"/>
          <w:szCs w:val="36"/>
        </w:rPr>
      </w:pPr>
      <w:r>
        <w:rPr>
          <w:rFonts w:eastAsia="方正黑体_GBK;Arial Unicode MS" w:cs="黑体;SimHei" w:hint="eastAsia" w:ascii="方正黑体_GBK;Arial Unicode MS" w:hAnsi="方正黑体_GBK;Arial Unicode MS"/>
          <w:color w:val="000000"/>
          <w:sz w:val="36"/>
          <w:szCs w:val="36"/>
        </w:rPr>
      </w:r>
    </w:p>
    <w:p>
      <w:pPr>
        <w:pStyle w:val="Style15"/>
        <w:shd w:fill="FFFFFF" w:val="clear"/>
        <w:snapToGrid w:val="false"/>
        <w:spacing w:lineRule="exact" w:line="540" w:before="0" w:after="0"/>
        <w:ind w:firstLineChars="200" w:startChars="0" w:start="0" w:endChars="0" w:end="0"/>
        <w:rPr>
          <w:rFonts w:ascii="仿宋_GB2312" w:hAnsi="仿宋_GB2312" w:eastAsia="仿宋_GB2312" w:cs="仿宋"/>
          <w:color w:val="000000"/>
          <w:sz w:val="32"/>
          <w:szCs w:val="32"/>
        </w:rPr>
      </w:pPr>
      <w:r>
        <w:rPr>
          <w:rFonts w:ascii="黑体;SimHei" w:hAnsi="黑体;SimHei" w:cs="仿宋" w:hint="eastAsia" w:eastAsia="黑体;SimHei"/>
          <w:color w:val="000000"/>
          <w:sz w:val="32"/>
          <w:szCs w:val="32"/>
        </w:rPr>
        <w:t>第二十七条</w:t>
      </w:r>
      <w:r>
        <w:rPr>
          <w:rFonts w:ascii="仿宋" w:hAnsi="仿宋" w:cs="仿宋" w:eastAsia="仿宋"/>
          <w:color w:val="000000"/>
          <w:sz w:val="32"/>
          <w:szCs w:val="32"/>
        </w:rPr>
        <w:t xml:space="preserve"> </w:t>
      </w:r>
      <w:r>
        <w:rPr>
          <w:rFonts w:ascii="仿宋" w:hAnsi="仿宋" w:cs="仿宋" w:hint="eastAsia" w:eastAsia="仿宋"/>
          <w:color w:val="000000"/>
          <w:sz w:val="32"/>
          <w:szCs w:val="32"/>
        </w:rPr>
        <w:t xml:space="preserve"> </w:t>
      </w:r>
      <w:r>
        <w:rPr>
          <w:rFonts w:ascii="仿宋_GB2312" w:hAnsi="仿宋_GB2312" w:cs="仿宋" w:hint="eastAsia" w:eastAsia="仿宋_GB2312"/>
          <w:color w:val="000000"/>
          <w:sz w:val="32"/>
          <w:szCs w:val="32"/>
        </w:rPr>
        <w:t>寄递物流经营者有下列情形之一的，由寄递物流管理机构责令限期改正；逾期未改正的，处二千元以上一万元以下的罚款：</w:t>
      </w:r>
    </w:p>
    <w:p>
      <w:pPr>
        <w:pStyle w:val="Style15"/>
        <w:shd w:fill="FFFFFF" w:val="clear"/>
        <w:snapToGrid w:val="false"/>
        <w:spacing w:lineRule="exact" w:line="540" w:before="0" w:after="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（一）未在营业网点、处理中心、分拨中心以明显方式公示禁止寄递和限制寄递物品目录、收寄验视制度、实名登记制度、安全检查操作规程、过机安检制度、突发事件应急处理规定和安全标识；</w:t>
      </w:r>
    </w:p>
    <w:p>
      <w:pPr>
        <w:pStyle w:val="Style15"/>
        <w:shd w:fill="FFFFFF" w:val="clear"/>
        <w:snapToGrid w:val="false"/>
        <w:spacing w:lineRule="exact" w:line="540" w:before="0" w:after="0"/>
        <w:ind w:firstLineChars="200" w:startChars="0" w:start="0" w:endChars="0" w:end="0"/>
        <w:rPr>
          <w:rFonts w:ascii="仿宋_GB2312" w:hAnsi="仿宋_GB2312" w:eastAsia="仿宋_GB2312" w:cs="仿宋"/>
          <w:color w:val="000000"/>
          <w:sz w:val="32"/>
          <w:szCs w:val="32"/>
        </w:rPr>
      </w:pPr>
      <w:r>
        <w:rPr>
          <w:rFonts w:ascii="仿宋_GB2312" w:hAnsi="仿宋_GB2312" w:cs="仿宋" w:hint="eastAsia" w:eastAsia="仿宋_GB2312"/>
          <w:color w:val="000000"/>
          <w:sz w:val="32"/>
          <w:szCs w:val="32"/>
        </w:rPr>
        <w:t>（二）未安装监控设备或监控设备损坏未按期整改的；</w:t>
      </w:r>
    </w:p>
    <w:p>
      <w:pPr>
        <w:pStyle w:val="Style15"/>
        <w:shd w:fill="FFFFFF" w:val="clear"/>
        <w:snapToGrid w:val="false"/>
        <w:spacing w:lineRule="exact" w:line="540" w:before="0" w:after="0"/>
        <w:ind w:firstLineChars="200" w:startChars="0" w:start="0" w:endChars="0" w:end="0"/>
        <w:rPr>
          <w:rFonts w:ascii="仿宋_GB2312" w:hAnsi="仿宋_GB2312" w:eastAsia="仿宋_GB2312" w:cs="仿宋"/>
          <w:color w:val="000000"/>
          <w:sz w:val="32"/>
          <w:szCs w:val="32"/>
        </w:rPr>
      </w:pPr>
      <w:r>
        <w:rPr>
          <w:rFonts w:ascii="仿宋_GB2312" w:hAnsi="仿宋_GB2312" w:cs="仿宋" w:hint="eastAsia" w:eastAsia="仿宋_GB2312"/>
          <w:color w:val="000000"/>
          <w:sz w:val="32"/>
          <w:szCs w:val="32"/>
        </w:rPr>
        <w:t>（三）监控设备未二十四小时运转，或者监控资料保存时间少于九十天的；</w:t>
      </w:r>
    </w:p>
    <w:p>
      <w:pPr>
        <w:pStyle w:val="Style15"/>
        <w:shd w:fill="FFFFFF" w:val="clear"/>
        <w:snapToGrid w:val="false"/>
        <w:spacing w:lineRule="exact" w:line="540" w:before="0" w:after="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（四）未建立收件、运送托运单和相关电子信息档案管理制度的；</w:t>
      </w:r>
    </w:p>
    <w:p>
      <w:pPr>
        <w:pStyle w:val="Style15"/>
        <w:shd w:fill="FFFFFF" w:val="clear"/>
        <w:snapToGrid w:val="false"/>
        <w:spacing w:lineRule="exact" w:line="540" w:before="0" w:after="0"/>
        <w:ind w:firstLineChars="200" w:startChars="0" w:start="0" w:endChars="0" w:end="0"/>
        <w:rPr/>
      </w:pPr>
      <w:r>
        <w:rPr>
          <w:rFonts w:ascii="仿宋_GB2312" w:hAnsi="仿宋_GB2312" w:cs="仿宋" w:hint="eastAsia" w:eastAsia="仿宋_GB2312"/>
          <w:color w:val="000000"/>
          <w:sz w:val="32"/>
          <w:szCs w:val="32"/>
        </w:rPr>
        <w:t>（五）未及时向寄递物流管理机构报告违反寄递物流安全管理行为的。</w:t>
      </w:r>
    </w:p>
    <w:p>
      <w:pPr>
        <w:pStyle w:val="Style15"/>
        <w:shd w:fill="FFFFFF" w:val="clear"/>
        <w:snapToGrid w:val="false"/>
        <w:spacing w:lineRule="exact" w:line="540" w:before="0" w:after="0"/>
        <w:ind w:firstLineChars="200" w:startChars="0" w:start="0" w:endChars="0" w:end="0"/>
        <w:rPr>
          <w:rFonts w:ascii="仿宋" w:hAnsi="仿宋" w:eastAsia="仿宋" w:cs="仿宋" w:hint="eastAsia"/>
          <w:color w:val="000000"/>
          <w:sz w:val="32"/>
          <w:szCs w:val="32"/>
        </w:rPr>
      </w:pPr>
      <w:r>
        <w:rPr>
          <w:rFonts w:ascii="黑体;SimHei" w:hAnsi="黑体;SimHei" w:cs="仿宋" w:hint="eastAsia" w:eastAsia="黑体;SimHei"/>
          <w:color w:val="000000"/>
          <w:sz w:val="32"/>
          <w:szCs w:val="32"/>
        </w:rPr>
        <w:t>第二十八条</w:t>
      </w:r>
      <w:r>
        <w:rPr>
          <w:rFonts w:ascii="仿宋" w:hAnsi="仿宋" w:cs="仿宋" w:eastAsia="仿宋"/>
          <w:color w:val="000000"/>
          <w:sz w:val="32"/>
          <w:szCs w:val="32"/>
        </w:rPr>
        <w:t xml:space="preserve"> </w:t>
      </w:r>
      <w:r>
        <w:rPr>
          <w:rFonts w:ascii="仿宋" w:hAnsi="仿宋" w:cs="仿宋" w:hint="eastAsia" w:eastAsia="仿宋"/>
          <w:color w:val="000000"/>
          <w:sz w:val="32"/>
          <w:szCs w:val="32"/>
        </w:rPr>
        <w:t xml:space="preserve"> </w:t>
      </w:r>
      <w:r>
        <w:rPr>
          <w:rFonts w:ascii="仿宋_GB2312" w:hAnsi="仿宋_GB2312" w:cs="仿宋" w:hint="eastAsia" w:eastAsia="仿宋_GB2312"/>
          <w:color w:val="000000"/>
          <w:sz w:val="32"/>
          <w:szCs w:val="32"/>
        </w:rPr>
        <w:t>违反本条例规定，寄递物流经营者对收件物品未进行非侵入式查验或未执行收寄验视制度的，由寄递物流管理机构处十万元以上三十万元以下罚款，并对其直接负责的主管人员和其他直接责任人员处十万元以下罚款。</w:t>
      </w:r>
    </w:p>
    <w:p>
      <w:pPr>
        <w:pStyle w:val="Style15"/>
        <w:shd w:fill="FFFFFF" w:val="clear"/>
        <w:snapToGrid w:val="false"/>
        <w:spacing w:lineRule="exact" w:line="540" w:before="0" w:after="0"/>
        <w:ind w:firstLineChars="200" w:startChars="0" w:start="0" w:endChars="0" w:end="0"/>
        <w:rPr/>
      </w:pPr>
      <w:r>
        <w:rPr>
          <w:rFonts w:ascii="黑体;SimHei" w:hAnsi="黑体;SimHei" w:cs="仿宋" w:hint="eastAsia" w:eastAsia="黑体;SimHei"/>
          <w:color w:val="000000"/>
          <w:sz w:val="32"/>
          <w:szCs w:val="32"/>
        </w:rPr>
        <w:t>第二十九条</w:t>
      </w:r>
      <w:r>
        <w:rPr>
          <w:rFonts w:ascii="仿宋" w:hAnsi="仿宋" w:cs="仿宋" w:eastAsia="仿宋"/>
          <w:color w:val="000000"/>
          <w:sz w:val="32"/>
          <w:szCs w:val="32"/>
        </w:rPr>
        <w:t xml:space="preserve"> </w:t>
      </w:r>
      <w:r>
        <w:rPr>
          <w:rFonts w:ascii="仿宋" w:hAnsi="仿宋" w:cs="仿宋" w:hint="eastAsia" w:eastAsia="仿宋"/>
          <w:color w:val="000000"/>
          <w:sz w:val="32"/>
          <w:szCs w:val="32"/>
        </w:rPr>
        <w:t xml:space="preserve"> 违</w:t>
      </w:r>
      <w:r>
        <w:rPr>
          <w:rFonts w:ascii="仿宋_GB2312" w:hAnsi="仿宋_GB2312" w:cs="仿宋" w:hint="eastAsia" w:eastAsia="仿宋_GB2312"/>
          <w:color w:val="000000"/>
          <w:sz w:val="32"/>
          <w:szCs w:val="32"/>
        </w:rPr>
        <w:t>反本条例规定，有关法律、法规已有处罚规定的，从其规定。</w:t>
      </w:r>
    </w:p>
    <w:p>
      <w:pPr>
        <w:pStyle w:val="Style15"/>
        <w:shd w:fill="FFFFFF" w:val="clear"/>
        <w:snapToGrid w:val="false"/>
        <w:spacing w:lineRule="exact" w:line="540" w:before="0" w:after="0"/>
        <w:ind w:firstLineChars="200" w:startChars="0" w:start="0" w:endChars="0" w:end="0"/>
        <w:rPr>
          <w:rFonts w:ascii="仿宋_GB2312" w:hAnsi="仿宋_GB2312" w:eastAsia="仿宋_GB2312" w:cs="仿宋"/>
          <w:color w:val="000000"/>
          <w:sz w:val="32"/>
          <w:szCs w:val="32"/>
        </w:rPr>
      </w:pPr>
      <w:r>
        <w:rPr>
          <w:rFonts w:ascii="黑体;SimHei" w:hAnsi="黑体;SimHei" w:cs="仿宋" w:hint="eastAsia" w:eastAsia="黑体;SimHei"/>
          <w:color w:val="000000"/>
          <w:sz w:val="32"/>
          <w:szCs w:val="32"/>
        </w:rPr>
        <w:t xml:space="preserve">第三十条  </w:t>
      </w:r>
      <w:r>
        <w:rPr>
          <w:rFonts w:ascii="仿宋_GB2312" w:hAnsi="仿宋_GB2312" w:cs="仿宋" w:hint="eastAsia" w:eastAsia="仿宋_GB2312"/>
          <w:color w:val="000000"/>
          <w:sz w:val="32"/>
          <w:szCs w:val="32"/>
        </w:rPr>
        <w:t>寄递物流管理机构工作人员在工作中玩忽职守，滥用职权，徇私舞弊的，由寄递物流管理机构给予处理；构成犯罪的，依法追究刑事责任。</w:t>
      </w:r>
    </w:p>
    <w:p>
      <w:pPr>
        <w:pStyle w:val="Style15"/>
        <w:shd w:fill="FFFFFF" w:val="clear"/>
        <w:snapToGrid w:val="false"/>
        <w:spacing w:lineRule="exact" w:line="540" w:before="0" w:after="0"/>
        <w:ind w:firstLineChars="200" w:startChars="0" w:start="0" w:endChars="0" w:end="0"/>
        <w:rPr/>
      </w:pPr>
      <w:r>
        <w:rPr>
          <w:rFonts w:ascii="黑体;SimHei" w:hAnsi="黑体;SimHei" w:cs="仿宋" w:hint="eastAsia" w:eastAsia="黑体;SimHei"/>
          <w:color w:val="000000"/>
          <w:sz w:val="32"/>
          <w:szCs w:val="32"/>
        </w:rPr>
        <w:t>第三十一条</w:t>
      </w:r>
      <w:r>
        <w:rPr>
          <w:rFonts w:ascii="黑体;SimHei" w:hAnsi="黑体;SimHei" w:cs="仿宋" w:eastAsia="黑体;SimHei"/>
          <w:color w:val="000000"/>
          <w:sz w:val="32"/>
          <w:szCs w:val="32"/>
        </w:rPr>
        <w:t xml:space="preserve"> </w:t>
      </w:r>
      <w:r>
        <w:rPr>
          <w:rFonts w:ascii="黑体;SimHei" w:hAnsi="黑体;SimHei" w:cs="仿宋" w:hint="eastAsia" w:eastAsia="黑体;SimHei"/>
          <w:color w:val="000000"/>
          <w:sz w:val="32"/>
          <w:szCs w:val="32"/>
        </w:rPr>
        <w:t xml:space="preserve"> </w:t>
      </w:r>
      <w:r>
        <w:rPr>
          <w:rFonts w:ascii="仿宋_GB2312" w:hAnsi="仿宋_GB2312" w:cs="仿宋" w:hint="eastAsia" w:eastAsia="仿宋_GB2312"/>
          <w:color w:val="000000"/>
          <w:sz w:val="32"/>
          <w:szCs w:val="32"/>
        </w:rPr>
        <w:t>有关主管部门及其工作人员有下列情形之一的，由其所在单位或上级主管部门依法追究有关责任人的责任；构成犯罪的，依法追究刑事责任：</w:t>
      </w:r>
    </w:p>
    <w:p>
      <w:pPr>
        <w:pStyle w:val="Style15"/>
        <w:shd w:fill="FFFFFF" w:val="clear"/>
        <w:snapToGrid w:val="false"/>
        <w:spacing w:lineRule="exact" w:line="540" w:before="0" w:after="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（一）执行安全监管制度不严，本辖区的寄递物流安全监管基础薄弱，造成严重后果的；</w:t>
      </w:r>
    </w:p>
    <w:p>
      <w:pPr>
        <w:pStyle w:val="Style15"/>
        <w:shd w:fill="FFFFFF" w:val="clear"/>
        <w:snapToGrid w:val="false"/>
        <w:spacing w:lineRule="exact" w:line="540" w:before="0" w:after="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（二）未履行法定职责指导督促寄递物流经营者建立落实安全责任制和收寄验视、实名收寄、过机安检制度，造成严重后果的；</w:t>
      </w:r>
    </w:p>
    <w:p>
      <w:pPr>
        <w:pStyle w:val="Style15"/>
        <w:shd w:fill="FFFFFF" w:val="clear"/>
        <w:snapToGrid w:val="false"/>
        <w:spacing w:lineRule="exact" w:line="540" w:before="0" w:after="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 xml:space="preserve">（三）未及时发现寄递物流经营者存在重大安全隐患，或发现后未及时采取措施，造成严重后果的；    </w:t>
      </w:r>
    </w:p>
    <w:p>
      <w:pPr>
        <w:pStyle w:val="Style15"/>
        <w:shd w:fill="FFFFFF" w:val="clear"/>
        <w:snapToGrid w:val="false"/>
        <w:spacing w:lineRule="exact" w:line="540" w:before="0" w:after="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（四）未依法对寄递物流中存在的违法行为进行处理的；</w:t>
      </w:r>
    </w:p>
    <w:p>
      <w:pPr>
        <w:pStyle w:val="Style15"/>
        <w:shd w:fill="FFFFFF" w:val="clear"/>
        <w:snapToGrid w:val="false"/>
        <w:spacing w:lineRule="exact" w:line="540" w:before="0" w:after="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（五）法律法规规定的其他情形。</w:t>
      </w:r>
    </w:p>
    <w:p>
      <w:pPr>
        <w:pStyle w:val="Style15"/>
        <w:shd w:fill="FFFFFF" w:val="clear"/>
        <w:snapToGrid w:val="false"/>
        <w:spacing w:lineRule="exact" w:line="540" w:before="0" w:after="0"/>
        <w:ind w:firstLineChars="200" w:startChars="0" w:start="0" w:endChars="0" w:end="0"/>
        <w:rPr>
          <w:rFonts w:ascii="黑体;SimHei" w:hAnsi="黑体;SimHei" w:eastAsia="黑体;SimHei" w:cs="仿宋"/>
          <w:color w:val="000000"/>
          <w:sz w:val="32"/>
          <w:szCs w:val="32"/>
        </w:rPr>
      </w:pPr>
      <w:r>
        <w:rPr>
          <w:rFonts w:ascii="黑体;SimHei" w:hAnsi="黑体;SimHei" w:cs="仿宋" w:hint="eastAsia" w:eastAsia="黑体;SimHei"/>
          <w:color w:val="000000"/>
          <w:sz w:val="32"/>
          <w:szCs w:val="32"/>
        </w:rPr>
        <w:t xml:space="preserve">第三十二条  </w:t>
      </w:r>
      <w:r>
        <w:rPr>
          <w:rFonts w:ascii="仿宋_GB2312" w:hAnsi="仿宋_GB2312" w:cs="仿宋" w:hint="eastAsia" w:eastAsia="仿宋_GB2312"/>
          <w:color w:val="000000"/>
          <w:sz w:val="32"/>
          <w:szCs w:val="32"/>
        </w:rPr>
        <w:t>本条例自</w:t>
      </w:r>
      <w:r>
        <w:rPr>
          <w:rFonts w:eastAsia="仿宋_GB2312" w:cs="仿宋" w:ascii="仿宋_GB2312" w:hAnsi="仿宋_GB2312"/>
          <w:color w:val="000000"/>
          <w:sz w:val="32"/>
          <w:szCs w:val="32"/>
        </w:rPr>
        <w:t>2018</w:t>
      </w:r>
      <w:r>
        <w:rPr>
          <w:rFonts w:ascii="仿宋_GB2312" w:hAnsi="仿宋_GB2312" w:cs="仿宋" w:eastAsia="仿宋_GB2312"/>
          <w:color w:val="000000"/>
          <w:sz w:val="32"/>
          <w:szCs w:val="32"/>
        </w:rPr>
        <w:t>年</w:t>
      </w:r>
      <w:r>
        <w:rPr>
          <w:rFonts w:eastAsia="仿宋_GB2312" w:cs="仿宋" w:ascii="仿宋_GB2312" w:hAnsi="仿宋_GB2312"/>
          <w:color w:val="000000"/>
          <w:sz w:val="32"/>
          <w:szCs w:val="32"/>
        </w:rPr>
        <w:t>6</w:t>
      </w:r>
      <w:r>
        <w:rPr>
          <w:rFonts w:ascii="仿宋_GB2312" w:hAnsi="仿宋_GB2312" w:cs="仿宋" w:eastAsia="仿宋_GB2312"/>
          <w:color w:val="000000"/>
          <w:sz w:val="32"/>
          <w:szCs w:val="32"/>
        </w:rPr>
        <w:t>月</w:t>
      </w:r>
      <w:r>
        <w:rPr>
          <w:rFonts w:eastAsia="仿宋_GB2312" w:cs="仿宋" w:ascii="仿宋_GB2312" w:hAnsi="仿宋_GB2312"/>
          <w:color w:val="000000"/>
          <w:sz w:val="32"/>
          <w:szCs w:val="32"/>
        </w:rPr>
        <w:t>1</w:t>
      </w:r>
      <w:r>
        <w:rPr>
          <w:rFonts w:ascii="仿宋_GB2312" w:hAnsi="仿宋_GB2312" w:cs="仿宋" w:eastAsia="仿宋_GB2312"/>
          <w:color w:val="000000"/>
          <w:sz w:val="32"/>
          <w:szCs w:val="32"/>
        </w:rPr>
        <w:t>日起施行</w:t>
      </w:r>
      <w:r>
        <w:rPr>
          <w:rFonts w:ascii="仿宋_GB2312" w:hAnsi="仿宋_GB2312" w:cs="仿宋" w:hint="eastAsia" w:eastAsia="仿宋_GB2312"/>
          <w:color w:val="000000"/>
          <w:sz w:val="32"/>
          <w:szCs w:val="32"/>
        </w:rPr>
        <w:t>。</w:t>
      </w:r>
    </w:p>
    <w:p>
      <w:pPr>
        <w:pStyle w:val="Normal"/>
        <w:rPr>
          <w:rFonts w:ascii="黑体;SimHei" w:hAnsi="黑体;SimHei" w:eastAsia="黑体;SimHei" w:cs="仿宋"/>
          <w:color w:val="000000"/>
          <w:sz w:val="32"/>
          <w:szCs w:val="32"/>
        </w:rPr>
      </w:pPr>
      <w:r>
        <w:rPr>
          <w:rFonts w:eastAsia="黑体;SimHei" w:cs="仿宋" w:ascii="黑体;SimHei" w:hAnsi="黑体;SimHei"/>
          <w:color w:val="000000"/>
          <w:sz w:val="32"/>
          <w:szCs w:val="32"/>
        </w:rPr>
      </w:r>
    </w:p>
    <w:p>
      <w:pPr>
        <w:pStyle w:val="Normal"/>
        <w:rPr>
          <w:color w:val="000000"/>
        </w:rPr>
      </w:pPr>
      <w:r>
        <w:rPr>
          <w:color w:val="000000"/>
        </w:rPr>
      </w:r>
    </w:p>
    <w:p>
      <w:pPr>
        <w:pStyle w:val="Normal"/>
        <w:rPr>
          <w:color w:val="000000"/>
        </w:rPr>
      </w:pPr>
      <w:r>
        <w:rPr>
          <w:color w:val="000000"/>
        </w:rPr>
      </w:r>
    </w:p>
    <w:p>
      <w:pPr>
        <w:pStyle w:val="Normal"/>
        <w:rPr>
          <w:rFonts w:hint="eastAsia"/>
          <w:color w:val="000000"/>
        </w:rPr>
      </w:pPr>
      <w:r>
        <w:rPr>
          <w:rFonts w:hint="eastAsia"/>
          <w:color w:val="000000"/>
        </w:rPr>
      </w:r>
    </w:p>
    <w:sectPr>
      <w:footerReference w:type="default" r:id="rId2"/>
      <w:type w:val="nextPage"/>
      <w:pgSz w:w="11906" w:h="16838"/>
      <w:pgMar w:left="1588" w:right="1474" w:gutter="0" w:header="0" w:top="2098" w:footer="1644" w:bottom="1985"/>
      <w:pgNumType w:fmt="decimal"/>
      <w:formProt w:val="false"/>
      <w:textDirection w:val="lrTb"/>
      <w:docGrid w:type="lines" w:linePitch="57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仿宋_GB2312">
    <w:charset w:val="86"/>
    <w:family w:val="modern"/>
    <w:pitch w:val="default"/>
  </w:font>
  <w:font w:name="黑体">
    <w:altName w:val="SimHei"/>
    <w:charset w:val="86"/>
    <w:family w:val="modern"/>
    <w:pitch w:val="default"/>
  </w:font>
  <w:font w:name="方正黑体_GBK">
    <w:altName w:val="Arial Unicode MS"/>
    <w:charset w:val="86"/>
    <w:family w:val="script"/>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rFonts w:hint="eastAsia"/>
      </w:rPr>
    </w:pPr>
    <w:r>
      <w:rPr>
        <w:rFonts w:hint="eastAsia"/>
      </w:rPr>
      <w:t xml:space="preserve"> </w:t>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445135"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445135" cy="604520"/>
                      </a:xfrm>
                      <a:prstGeom prst="rect"/>
                      <a:solidFill>
                        <a:srgbClr val="FFFFFF">
                          <a:alpha val="0"/>
                        </a:srgbClr>
                      </a:solidFill>
                    </wps:spPr>
                    <wps:txbx>
                      <w:txbxContent>
                        <w:p>
                          <w:pPr>
                            <w:pStyle w:val="Footer"/>
                            <w:tabs>
                              <w:tab w:val="left" w:pos="720" w:leader="none"/>
                              <w:tab w:val="left" w:pos="1050" w:leader="none"/>
                            </w:tabs>
                            <w:ind w:firstLineChars="100" w:startChars="0" w:start="0" w:endChars="0" w:end="0"/>
                            <w:jc w:val="end"/>
                            <w:rPr>
                              <w:rStyle w:val="PageNumber"/>
                              <w:rFonts w:hint="eastAsia"/>
                              <w:sz w:val="28"/>
                              <w:szCs w:val="28"/>
                            </w:rPr>
                          </w:pPr>
                          <w:r>
                            <w:rPr>
                              <w:rFonts w:hint="eastAsia"/>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35.05pt;height:47.6pt;mso-wrap-distance-left:0pt;mso-wrap-distance-right:0pt;mso-wrap-distance-top:0pt;mso-wrap-distance-bottom:0pt;margin-top:0.05pt;mso-position-vertical-relative:text;margin-left:407.15pt;mso-position-horizontal:outside;mso-position-horizontal-relative:margin">
              <v:fill opacity="0f"/>
              <v:textbox inset="0in,0in,0in,0in">
                <w:txbxContent>
                  <w:p>
                    <w:pPr>
                      <w:pStyle w:val="Footer"/>
                      <w:tabs>
                        <w:tab w:val="left" w:pos="720" w:leader="none"/>
                        <w:tab w:val="left" w:pos="1050" w:leader="none"/>
                      </w:tabs>
                      <w:ind w:firstLineChars="100" w:startChars="0" w:start="0" w:endChars="0" w:end="0"/>
                      <w:jc w:val="end"/>
                      <w:rPr>
                        <w:rStyle w:val="PageNumber"/>
                        <w:rFonts w:hint="eastAsia"/>
                        <w:sz w:val="28"/>
                        <w:szCs w:val="28"/>
                      </w:rPr>
                    </w:pPr>
                    <w:r>
                      <w:rPr>
                        <w:rFonts w:hint="eastAsia"/>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r>
                      <w:rPr>
                        <w:rFonts w:hint="eastAsia"/>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Style14">
    <w:name w:val="默认段落字体"/>
    <w:qFormat/>
    <w:rPr/>
  </w:style>
  <w:style w:type="character" w:styleId="PageNumber">
    <w:name w:val="page number"/>
    <w:basedOn w:val="Style14"/>
    <w:rPr/>
  </w:style>
  <w:style w:type="character" w:styleId="Strong">
    <w:name w:val="Strong"/>
    <w:qFormat/>
    <w:rPr>
      <w:rFonts w:eastAsia="仿宋_GB2312" w:cs="Times New Roman"/>
      <w:b/>
      <w:bCs/>
      <w:sz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131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2018-04-19T11:25:00Z</dcterms:created>
  <dc:creator>User</dc:creator>
  <dc:description/>
  <cp:keywords/>
  <dc:language>en-US</dc:language>
  <cp:lastModifiedBy>Z</cp:lastModifiedBy>
  <cp:lastPrinted>2018-04-20T11:01:00Z</cp:lastPrinted>
  <dcterms:modified xsi:type="dcterms:W3CDTF">2018-11-22T12:42:00Z</dcterms:modified>
  <cp:revision>68</cp:revision>
  <dc:subject/>
  <dc:title>乌鲁木齐市寄递物流安全管理条例</dc:title>
</cp:coreProperties>
</file>