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bidi w:val="0"/>
        <w:snapToGrid w:val="false"/>
        <w:spacing w:lineRule="exact" w:line="560"/>
        <w:ind w:firstLineChars="0" w:firstLine="0" w:startChars="0" w:start="0" w:endChars="0" w:end="0"/>
        <w:jc w:val="center"/>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bidi w:val="0"/>
        <w:snapToGrid w:val="false"/>
        <w:spacing w:lineRule="exact" w:line="560"/>
        <w:ind w:firstLineChars="0" w:firstLine="0" w:startChars="0" w:start="0" w:endChars="0" w:end="0"/>
        <w:jc w:val="center"/>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bidi w:val="0"/>
        <w:snapToGrid w:val="false"/>
        <w:spacing w:lineRule="exact" w:line="56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伊犁哈萨克自治州制定单行条例程序规定</w:t>
      </w:r>
    </w:p>
    <w:p>
      <w:pPr>
        <w:pStyle w:val="Normal"/>
        <w:keepNext w:val="false"/>
        <w:keepLines w:val="false"/>
        <w:pageBreakBefore w:val="false"/>
        <w:widowControl w:val="false"/>
        <w:kinsoku w:val="true"/>
        <w:overflowPunct w:val="true"/>
        <w:bidi w:val="0"/>
        <w:snapToGrid w:val="false"/>
        <w:spacing w:lineRule="exact" w:line="560"/>
        <w:ind w:firstLineChars="0" w:firstLine="0" w:startChars="0" w:start="0" w:endChars="0" w:end="0"/>
        <w:jc w:val="center"/>
        <w:textAlignment w:val="auto"/>
        <w:rPr>
          <w:rFonts w:ascii="宋体" w:hAnsi="宋体" w:eastAsia="宋体" w:cs="宋体" w:hint="eastAsia"/>
          <w:sz w:val="32"/>
          <w:szCs w:val="44"/>
        </w:rPr>
      </w:pPr>
      <w:r>
        <w:rPr>
          <w:rFonts w:eastAsia="宋体" w:cs="宋体" w:hint="eastAsia" w:ascii="宋体" w:hAnsi="宋体"/>
          <w:sz w:val="32"/>
          <w:szCs w:val="44"/>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200" w:endChars="200"/>
        <w:jc w:val="center"/>
        <w:textAlignment w:val="auto"/>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日伊犁哈萨克自治州第十一届人民代表大会第二次会议通过  </w:t>
      </w:r>
      <w:r>
        <w:rPr>
          <w:rFonts w:eastAsia="楷体_GB2312" w:hint="eastAsia" w:ascii="楷体_GB2312" w:hAnsi="楷体_GB2312"/>
          <w:sz w:val="32"/>
          <w:szCs w:val="32"/>
        </w:rPr>
        <w:t>2</w:t>
      </w:r>
      <w:r>
        <w:rPr>
          <w:rFonts w:eastAsia="楷体_GB2312" w:ascii="楷体_GB2312" w:hAnsi="楷体_GB2312"/>
          <w:sz w:val="32"/>
          <w:szCs w:val="32"/>
        </w:rPr>
        <w:t>004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日新疆维吾尔自治区第十届人民代表大会常务委员会第九次会议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200" w:endChars="200"/>
        <w:jc w:val="center"/>
        <w:textAlignment w:val="auto"/>
        <w:rPr>
          <w:rFonts w:ascii="楷体_GB2312" w:hAnsi="楷体_GB2312" w:eastAsia="楷体_GB2312" w:hint="eastAsia"/>
          <w:sz w:val="32"/>
          <w:szCs w:val="32"/>
        </w:rPr>
      </w:pPr>
      <w:r>
        <w:rPr>
          <w:rFonts w:ascii="楷体_GB2312" w:hAnsi="楷体_GB2312" w:hint="eastAsia" w:eastAsia="楷体_GB2312"/>
          <w:sz w:val="32"/>
          <w:szCs w:val="32"/>
        </w:rPr>
        <w:t>批准）</w:t>
      </w:r>
    </w:p>
    <w:p>
      <w:pPr>
        <w:pStyle w:val="Normal"/>
        <w:keepNext w:val="false"/>
        <w:keepLines w:val="false"/>
        <w:pageBreakBefore w:val="false"/>
        <w:widowControl w:val="false"/>
        <w:kinsoku w:val="true"/>
        <w:overflowPunct w:val="true"/>
        <w:bidi w:val="0"/>
        <w:snapToGrid w:val="false"/>
        <w:spacing w:lineRule="exact" w:line="5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numPr>
          <w:ilvl w:val="0"/>
          <w:numId w:val="0"/>
        </w:numPr>
        <w:kinsoku w:val="true"/>
        <w:overflowPunct w:val="true"/>
        <w:bidi w:val="0"/>
        <w:snapToGrid w:val="false"/>
        <w:spacing w:lineRule="exact" w:line="560"/>
        <w:ind w:hanging="0" w:start="0"/>
        <w:jc w:val="center"/>
        <w:textAlignment w:val="auto"/>
        <w:rPr>
          <w:rFonts w:ascii="黑体" w:hAnsi="黑体" w:eastAsia="黑体" w:cs="黑体" w:hint="eastAsia"/>
          <w:sz w:val="32"/>
        </w:rPr>
      </w:pPr>
      <w:r>
        <w:rPr>
          <w:rFonts w:ascii="黑体" w:hAnsi="黑体" w:cs="黑体" w:hint="eastAsia" w:eastAsia="黑体"/>
          <w:sz w:val="32"/>
        </w:rPr>
        <w:t>第一章  总则</w:t>
      </w:r>
    </w:p>
    <w:p>
      <w:pPr>
        <w:pStyle w:val="Normal"/>
        <w:keepNext w:val="false"/>
        <w:keepLines w:val="false"/>
        <w:pageBreakBefore w:val="false"/>
        <w:widowControl w:val="false"/>
        <w:numPr>
          <w:ilvl w:val="0"/>
          <w:numId w:val="0"/>
        </w:numPr>
        <w:kinsoku w:val="true"/>
        <w:overflowPunct w:val="true"/>
        <w:bidi w:val="0"/>
        <w:snapToGrid w:val="false"/>
        <w:spacing w:lineRule="exact" w:line="560"/>
        <w:ind w:hanging="0" w:start="0"/>
        <w:jc w:val="both"/>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第一条</w:t>
      </w:r>
      <w:r>
        <w:rPr>
          <w:rFonts w:ascii="仿宋_GB2312" w:hAnsi="仿宋_GB2312" w:hint="eastAsia" w:eastAsia="仿宋_GB2312"/>
          <w:sz w:val="32"/>
        </w:rPr>
        <w:t>　为了规范伊犁哈萨克自治州（以下简称自治州）制定单行条例程序，提高立法质量，保障和促进自治州的经济发展和社会稳定，推进依法治州，根据《中华人民共和国民族区域自治法》、</w:t>
      </w:r>
      <w:r>
        <w:rPr>
          <w:rFonts w:hint="eastAsia" w:eastAsia="仿宋_GB2312"/>
          <w:sz w:val="32"/>
        </w:rPr>
        <w:t>《中华人民共和国地方各级人民代表大会和地方各级人民政府组织法》</w:t>
      </w:r>
      <w:r>
        <w:rPr>
          <w:rFonts w:ascii="仿宋_GB2312" w:hAnsi="仿宋_GB2312" w:hint="eastAsia" w:eastAsia="仿宋_GB2312"/>
          <w:sz w:val="32"/>
        </w:rPr>
        <w:t>和《中华人民共和国立法法》，结合自治州实际，制定本规定。</w:t>
      </w:r>
    </w:p>
    <w:p>
      <w:pPr>
        <w:pStyle w:val="Style15"/>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 xml:space="preserve">第二条 </w:t>
      </w:r>
      <w:r>
        <w:rPr>
          <w:rFonts w:ascii="仿宋_GB2312" w:hAnsi="仿宋_GB2312" w:hint="eastAsia" w:eastAsia="仿宋_GB2312"/>
          <w:sz w:val="32"/>
        </w:rPr>
        <w:t xml:space="preserve"> 制定单行条例应当遵循宪法、法律确立的基本原则，维护祖国统一、民族团结、社会稳定，促进经济发展、各民族共同繁荣和社会进步。</w:t>
      </w:r>
    </w:p>
    <w:p>
      <w:pPr>
        <w:pStyle w:val="Style15"/>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仿宋_GB2312" w:hAnsi="仿宋_GB2312" w:hint="eastAsia" w:eastAsia="仿宋_GB2312"/>
          <w:sz w:val="32"/>
        </w:rPr>
        <w:t>单行条例依照本地民族的政治、经济、文化的特点，依照本地民族的政治、经济和文化特点，可以就下列事项做出规定：</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一</w:t>
      </w:r>
      <w:r>
        <w:rPr>
          <w:rFonts w:eastAsia="仿宋_GB2312" w:hint="eastAsia" w:ascii="仿宋_GB2312" w:hAnsi="仿宋_GB2312"/>
          <w:sz w:val="32"/>
        </w:rPr>
        <w:t>)</w:t>
      </w:r>
      <w:r>
        <w:rPr>
          <w:rFonts w:ascii="仿宋_GB2312" w:hAnsi="仿宋_GB2312" w:hint="eastAsia" w:eastAsia="仿宋_GB2312"/>
          <w:sz w:val="32"/>
        </w:rPr>
        <w:t>促进经济繁荣、实现可持续发展方面的事项；</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二</w:t>
      </w:r>
      <w:r>
        <w:rPr>
          <w:rFonts w:eastAsia="仿宋_GB2312" w:hint="eastAsia" w:ascii="仿宋_GB2312" w:hAnsi="仿宋_GB2312"/>
          <w:sz w:val="32"/>
        </w:rPr>
        <w:t>)</w:t>
      </w:r>
      <w:r>
        <w:rPr>
          <w:rFonts w:ascii="仿宋_GB2312" w:hAnsi="仿宋_GB2312" w:hint="eastAsia" w:eastAsia="仿宋_GB2312"/>
          <w:sz w:val="32"/>
        </w:rPr>
        <w:t>文化遗产保护利用方面的事项；</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三</w:t>
      </w:r>
      <w:r>
        <w:rPr>
          <w:rFonts w:eastAsia="仿宋_GB2312" w:hint="eastAsia" w:ascii="仿宋_GB2312" w:hAnsi="仿宋_GB2312"/>
          <w:sz w:val="32"/>
        </w:rPr>
        <w:t>)</w:t>
      </w:r>
      <w:r>
        <w:rPr>
          <w:rFonts w:ascii="仿宋_GB2312" w:hAnsi="仿宋_GB2312" w:hint="eastAsia" w:eastAsia="仿宋_GB2312"/>
          <w:sz w:val="32"/>
        </w:rPr>
        <w:t>为保障少数民族宗教信仰自由、保持或改革风俗习惯需要做出规定的事项；</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eastAsia="仿宋_GB2312"/>
          <w:sz w:val="32"/>
        </w:rPr>
      </w:pPr>
      <w:r>
        <w:rPr>
          <w:rFonts w:eastAsia="仿宋_GB2312" w:hint="eastAsia" w:ascii="仿宋_GB2312" w:hAnsi="仿宋_GB2312"/>
          <w:sz w:val="32"/>
        </w:rPr>
        <w:t>(</w:t>
      </w:r>
      <w:r>
        <w:rPr>
          <w:rFonts w:ascii="仿宋_GB2312" w:hAnsi="仿宋_GB2312" w:hint="eastAsia" w:eastAsia="仿宋_GB2312"/>
          <w:sz w:val="32"/>
        </w:rPr>
        <w:t>四</w:t>
      </w:r>
      <w:r>
        <w:rPr>
          <w:rFonts w:eastAsia="仿宋_GB2312" w:hint="eastAsia" w:ascii="仿宋_GB2312" w:hAnsi="仿宋_GB2312"/>
          <w:sz w:val="32"/>
        </w:rPr>
        <w:t>)</w:t>
      </w:r>
      <w:r>
        <w:rPr>
          <w:rFonts w:ascii="仿宋_GB2312" w:hAnsi="仿宋_GB2312" w:hint="eastAsia" w:eastAsia="仿宋_GB2312"/>
          <w:sz w:val="32"/>
        </w:rPr>
        <w:t xml:space="preserve">加强教育、促进科技进步、提高民族素质方面的事项； </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五</w:t>
      </w:r>
      <w:r>
        <w:rPr>
          <w:rFonts w:eastAsia="仿宋_GB2312" w:hint="eastAsia" w:ascii="仿宋_GB2312" w:hAnsi="仿宋_GB2312"/>
          <w:sz w:val="32"/>
        </w:rPr>
        <w:t>)</w:t>
      </w:r>
      <w:r>
        <w:rPr>
          <w:rFonts w:ascii="仿宋_GB2312" w:hAnsi="仿宋_GB2312" w:hint="eastAsia" w:eastAsia="仿宋_GB2312"/>
          <w:sz w:val="32"/>
        </w:rPr>
        <w:t>加强民族团结、维护社会稳定方面的事项；</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六</w:t>
      </w:r>
      <w:r>
        <w:rPr>
          <w:rFonts w:eastAsia="仿宋_GB2312" w:hint="eastAsia" w:ascii="仿宋_GB2312" w:hAnsi="仿宋_GB2312"/>
          <w:sz w:val="32"/>
        </w:rPr>
        <w:t>)</w:t>
      </w:r>
      <w:r>
        <w:rPr>
          <w:rFonts w:ascii="仿宋_GB2312" w:hAnsi="仿宋_GB2312" w:hint="eastAsia" w:eastAsia="仿宋_GB2312"/>
          <w:sz w:val="32"/>
        </w:rPr>
        <w:t xml:space="preserve">有关法律、法规授权自治地方制定变通或补充规定的事项； </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七</w:t>
      </w:r>
      <w:r>
        <w:rPr>
          <w:rFonts w:eastAsia="仿宋_GB2312" w:hint="eastAsia" w:ascii="仿宋_GB2312" w:hAnsi="仿宋_GB2312"/>
          <w:sz w:val="32"/>
        </w:rPr>
        <w:t>)</w:t>
      </w:r>
      <w:r>
        <w:rPr>
          <w:rFonts w:ascii="仿宋_GB2312" w:hAnsi="仿宋_GB2312" w:hint="eastAsia" w:eastAsia="仿宋_GB2312"/>
          <w:sz w:val="32"/>
        </w:rPr>
        <w:t>其它需要制定单行条例的事项。</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eastAsia="仿宋_GB2312" w:hint="eastAsia"/>
          <w:sz w:val="32"/>
        </w:rPr>
      </w:pPr>
      <w:r>
        <w:rPr>
          <w:rFonts w:ascii="黑体" w:hAnsi="黑体" w:hint="eastAsia" w:eastAsia="黑体"/>
          <w:sz w:val="32"/>
        </w:rPr>
        <w:t>第三条</w:t>
      </w:r>
      <w:r>
        <w:rPr>
          <w:rFonts w:ascii="仿宋_GB2312" w:hAnsi="仿宋_GB2312" w:hint="eastAsia" w:eastAsia="仿宋_GB2312"/>
          <w:sz w:val="32"/>
        </w:rPr>
        <w:t xml:space="preserve">  </w:t>
      </w:r>
      <w:r>
        <w:rPr>
          <w:rFonts w:hint="eastAsia" w:eastAsia="仿宋_GB2312"/>
          <w:sz w:val="32"/>
        </w:rPr>
        <w:t>单行条例由自治州人民代表大会审议通过，报新疆维吾尔自治区人民代表大会常务委员会批准后生效。</w:t>
      </w:r>
    </w:p>
    <w:p>
      <w:pPr>
        <w:pStyle w:val="Normal"/>
        <w:keepNext w:val="false"/>
        <w:keepLines w:val="false"/>
        <w:pageBreakBefore w:val="false"/>
        <w:widowControl w:val="false"/>
        <w:kinsoku w:val="true"/>
        <w:overflowPunct w:val="true"/>
        <w:bidi w:val="0"/>
        <w:snapToGrid w:val="false"/>
        <w:spacing w:lineRule="exact" w:line="560"/>
        <w:ind w:firstLineChars="0" w:firstLine="0" w:startChars="0" w:start="0" w:endChars="0" w:end="0"/>
        <w:textAlignment w:val="auto"/>
        <w:rPr>
          <w:rFonts w:eastAsia="仿宋_GB2312" w:hint="eastAsia"/>
          <w:sz w:val="32"/>
        </w:rPr>
      </w:pPr>
      <w:r>
        <w:rPr>
          <w:rFonts w:eastAsia="仿宋_GB2312" w:hint="eastAsia"/>
          <w:sz w:val="32"/>
        </w:rPr>
      </w:r>
    </w:p>
    <w:p>
      <w:pPr>
        <w:pStyle w:val="Normal"/>
        <w:keepNext w:val="false"/>
        <w:keepLines w:val="false"/>
        <w:pageBreakBefore w:val="false"/>
        <w:widowControl w:val="false"/>
        <w:numPr>
          <w:ilvl w:val="0"/>
          <w:numId w:val="0"/>
        </w:numPr>
        <w:kinsoku w:val="true"/>
        <w:overflowPunct w:val="true"/>
        <w:bidi w:val="0"/>
        <w:snapToGrid w:val="false"/>
        <w:spacing w:lineRule="exact" w:line="560"/>
        <w:ind w:hanging="0" w:start="0"/>
        <w:jc w:val="center"/>
        <w:textAlignment w:val="auto"/>
        <w:rPr>
          <w:rFonts w:ascii="黑体" w:hAnsi="黑体" w:eastAsia="黑体" w:cs="黑体" w:hint="eastAsia"/>
          <w:sz w:val="32"/>
        </w:rPr>
      </w:pPr>
      <w:r>
        <w:rPr>
          <w:rFonts w:ascii="黑体" w:hAnsi="黑体" w:cs="黑体" w:hint="eastAsia" w:eastAsia="黑体"/>
          <w:sz w:val="32"/>
        </w:rPr>
        <w:t>第二章  自治州人民代表大会制定单行条例程序</w:t>
      </w:r>
    </w:p>
    <w:p>
      <w:pPr>
        <w:pStyle w:val="Normal"/>
        <w:keepNext w:val="false"/>
        <w:keepLines w:val="false"/>
        <w:pageBreakBefore w:val="false"/>
        <w:widowControl w:val="false"/>
        <w:kinsoku w:val="true"/>
        <w:overflowPunct w:val="true"/>
        <w:bidi w:val="0"/>
        <w:snapToGrid w:val="false"/>
        <w:spacing w:lineRule="exact" w:line="560"/>
        <w:ind w:firstLineChars="0" w:firstLine="0" w:startChars="0" w:start="0" w:endChars="0" w:end="0"/>
        <w:textAlignment w:val="auto"/>
        <w:rPr>
          <w:rFonts w:ascii="仿宋_GB2312" w:hAnsi="仿宋_GB2312" w:eastAsia="仿宋_GB2312" w:hint="eastAsia"/>
          <w:sz w:val="32"/>
        </w:rPr>
      </w:pPr>
      <w:r>
        <w:rPr>
          <w:rFonts w:ascii="仿宋_GB2312" w:hAnsi="仿宋_GB2312" w:hint="eastAsia" w:eastAsia="仿宋_GB2312"/>
          <w:sz w:val="32"/>
        </w:rPr>
        <w:t>　　</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第四条</w:t>
      </w:r>
      <w:r>
        <w:rPr>
          <w:rFonts w:ascii="仿宋_GB2312" w:hAnsi="仿宋_GB2312" w:hint="eastAsia" w:eastAsia="仿宋_GB2312"/>
          <w:sz w:val="32"/>
        </w:rPr>
        <w:t>　自治州人民代表大会主席团可以向人民代表大会提出制定单行条例案，由自治州人民代表大会会议审议。</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仿宋_GB2312" w:hAnsi="仿宋_GB2312" w:hint="eastAsia" w:eastAsia="仿宋_GB2312"/>
          <w:sz w:val="32"/>
        </w:rPr>
        <w:t>自治州人民代表大会常务委员会</w:t>
      </w:r>
      <w:r>
        <w:rPr>
          <w:rFonts w:eastAsia="仿宋_GB2312" w:hint="eastAsia" w:ascii="仿宋_GB2312" w:hAnsi="仿宋_GB2312"/>
          <w:sz w:val="32"/>
        </w:rPr>
        <w:t>(</w:t>
      </w:r>
      <w:r>
        <w:rPr>
          <w:rFonts w:ascii="仿宋_GB2312" w:hAnsi="仿宋_GB2312" w:hint="eastAsia" w:eastAsia="仿宋_GB2312"/>
          <w:sz w:val="32"/>
        </w:rPr>
        <w:t>以下简称常务委员会</w:t>
      </w:r>
      <w:r>
        <w:rPr>
          <w:rFonts w:eastAsia="仿宋_GB2312" w:hint="eastAsia" w:ascii="仿宋_GB2312" w:hAnsi="仿宋_GB2312"/>
          <w:sz w:val="32"/>
        </w:rPr>
        <w:t>)</w:t>
      </w:r>
      <w:r>
        <w:rPr>
          <w:rFonts w:ascii="仿宋_GB2312" w:hAnsi="仿宋_GB2312" w:hint="eastAsia" w:eastAsia="仿宋_GB2312"/>
          <w:sz w:val="32"/>
        </w:rPr>
        <w:t>、自治州人民政府、自治区高级人民法院自治州分院、自治州人民检察院，可以向自治州人民代表大会提出制定单行条例案，由主席团决定列入会议议程。</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仿宋_GB2312" w:hAnsi="仿宋_GB2312" w:hint="eastAsia" w:eastAsia="仿宋_GB2312"/>
          <w:sz w:val="32"/>
        </w:rPr>
        <w:t>一个代表团或者十名以上的代表联名，可以向自治州人民代表大会提出制定单行条例案，由主席团决定是否列入会议议程。</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第五条</w:t>
      </w:r>
      <w:r>
        <w:rPr>
          <w:rFonts w:ascii="仿宋_GB2312" w:hAnsi="仿宋_GB2312" w:hint="eastAsia" w:eastAsia="仿宋_GB2312"/>
          <w:sz w:val="32"/>
        </w:rPr>
        <w:t>　向自治州人民代表大会提出的单行条例案，在自治州人民代表大会闭会期间，可以先向常务委员会提出，经常务委员会会议依照</w:t>
      </w:r>
      <w:r>
        <w:rPr>
          <w:rFonts w:hint="eastAsia" w:eastAsia="仿宋_GB2312"/>
          <w:sz w:val="32"/>
        </w:rPr>
        <w:t>本规定第三章规定的</w:t>
      </w:r>
      <w:r>
        <w:rPr>
          <w:rFonts w:ascii="仿宋_GB2312" w:hAnsi="仿宋_GB2312" w:hint="eastAsia" w:eastAsia="仿宋_GB2312"/>
          <w:sz w:val="32"/>
        </w:rPr>
        <w:t>程序审议后，决定提请自治州人民代表大会审议。</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第六条</w:t>
      </w:r>
      <w:r>
        <w:rPr>
          <w:rFonts w:ascii="仿宋_GB2312" w:hAnsi="仿宋_GB2312" w:hint="eastAsia" w:eastAsia="仿宋_GB2312"/>
          <w:sz w:val="32"/>
        </w:rPr>
        <w:t>　列入自治州人民代表大会会议议程的单行条例案，在大会全体会议听取提案人的说明后，由各代表团进行审议。</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第七条</w:t>
      </w:r>
      <w:r>
        <w:rPr>
          <w:rFonts w:ascii="仿宋_GB2312" w:hAnsi="仿宋_GB2312" w:hint="eastAsia" w:eastAsia="仿宋_GB2312"/>
          <w:sz w:val="32"/>
        </w:rPr>
        <w:t xml:space="preserve">  列入自治州人民代表大会会议议程的单行条例案，在交付表决前提案人要求撤回的，应当说明理由，经主席团同意，并向大会报告，对该</w:t>
      </w:r>
      <w:r>
        <w:rPr>
          <w:rFonts w:hint="eastAsia" w:eastAsia="仿宋_GB2312"/>
          <w:sz w:val="32"/>
        </w:rPr>
        <w:t>单行条例</w:t>
      </w:r>
      <w:r>
        <w:rPr>
          <w:rFonts w:ascii="仿宋_GB2312" w:hAnsi="仿宋_GB2312" w:hint="eastAsia" w:eastAsia="仿宋_GB2312"/>
          <w:sz w:val="32"/>
        </w:rPr>
        <w:t>案的审议即行终止。</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第八条</w:t>
      </w:r>
      <w:r>
        <w:rPr>
          <w:rFonts w:ascii="仿宋_GB2312" w:hAnsi="仿宋_GB2312" w:hint="eastAsia" w:eastAsia="仿宋_GB2312"/>
          <w:sz w:val="32"/>
        </w:rPr>
        <w:t>　</w:t>
      </w:r>
      <w:r>
        <w:rPr>
          <w:rFonts w:hint="eastAsia" w:eastAsia="仿宋_GB2312"/>
          <w:sz w:val="32"/>
        </w:rPr>
        <w:t>单行条例</w:t>
      </w:r>
      <w:r>
        <w:rPr>
          <w:rFonts w:ascii="仿宋_GB2312" w:hAnsi="仿宋_GB2312" w:hint="eastAsia" w:eastAsia="仿宋_GB2312"/>
          <w:sz w:val="32"/>
        </w:rPr>
        <w:t>案在审议中有重大问题需要进一步研究的，经主席团提出，由大会全体会议决定，可以授权常务委员会根据代表的意见进一步审议，提出修改方案，提请自治州人民代表大会下次会议审议。</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第九条</w:t>
      </w:r>
      <w:r>
        <w:rPr>
          <w:rFonts w:ascii="仿宋_GB2312" w:hAnsi="仿宋_GB2312" w:hint="eastAsia" w:eastAsia="仿宋_GB2312"/>
          <w:sz w:val="32"/>
        </w:rPr>
        <w:t>　</w:t>
      </w:r>
      <w:r>
        <w:rPr>
          <w:rFonts w:hint="eastAsia" w:eastAsia="仿宋_GB2312"/>
          <w:sz w:val="32"/>
        </w:rPr>
        <w:t>单行条例</w:t>
      </w:r>
      <w:r>
        <w:rPr>
          <w:rFonts w:ascii="仿宋_GB2312" w:hAnsi="仿宋_GB2312" w:hint="eastAsia" w:eastAsia="仿宋_GB2312"/>
          <w:sz w:val="32"/>
        </w:rPr>
        <w:t>草案由自治州人民代表大会</w:t>
      </w:r>
      <w:r>
        <w:rPr>
          <w:rFonts w:hint="eastAsia" w:eastAsia="仿宋_GB2312"/>
          <w:sz w:val="32"/>
        </w:rPr>
        <w:t>法制委员会</w:t>
      </w:r>
      <w:r>
        <w:rPr>
          <w:rFonts w:ascii="仿宋_GB2312" w:hAnsi="仿宋_GB2312" w:hint="eastAsia" w:eastAsia="仿宋_GB2312"/>
          <w:sz w:val="32"/>
        </w:rPr>
        <w:t>根据各代表团的审议意见提出审议结果的报告和</w:t>
      </w:r>
      <w:r>
        <w:rPr>
          <w:rFonts w:hint="eastAsia" w:eastAsia="仿宋_GB2312"/>
          <w:sz w:val="32"/>
        </w:rPr>
        <w:t>单行条例</w:t>
      </w:r>
      <w:r>
        <w:rPr>
          <w:rFonts w:ascii="仿宋_GB2312" w:hAnsi="仿宋_GB2312" w:hint="eastAsia" w:eastAsia="仿宋_GB2312"/>
          <w:sz w:val="32"/>
        </w:rPr>
        <w:t>草案修改稿，由主席团将修改稿提请大会全体会议表决，并由全体代表的过半数通过。</w:t>
      </w:r>
    </w:p>
    <w:p>
      <w:pPr>
        <w:pStyle w:val="Style15"/>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第十条</w:t>
      </w:r>
      <w:r>
        <w:rPr>
          <w:rFonts w:ascii="仿宋_GB2312" w:hAnsi="仿宋_GB2312" w:hint="eastAsia" w:eastAsia="仿宋_GB2312"/>
          <w:sz w:val="32"/>
        </w:rPr>
        <w:t xml:space="preserve">  代表大会审议通过的单行条例，由常务委员会在两个月内报新疆维吾尔自治区人民代表大会常务委员会，经新疆维吾尔自治区人民代表大会常务委员会批准后，由常务委员会在十五日内发布公告予以公布。公告上应注明通过机关、通过时间和批准机关、批准时间，并在《伊犁日报》上分别以哈萨克文、汉文、维吾尔文全文刊登。</w:t>
      </w:r>
    </w:p>
    <w:p>
      <w:pPr>
        <w:pStyle w:val="Style15"/>
        <w:keepNext w:val="false"/>
        <w:keepLines w:val="false"/>
        <w:pageBreakBefore w:val="false"/>
        <w:widowControl w:val="false"/>
        <w:kinsoku w:val="true"/>
        <w:overflowPunct w:val="true"/>
        <w:bidi w:val="0"/>
        <w:snapToGrid w:val="false"/>
        <w:spacing w:lineRule="exact" w:line="560"/>
        <w:ind w:firstLineChars="0" w:firstLine="0" w:startChars="0" w:start="0" w:endChars="0" w:end="0"/>
        <w:textAlignment w:val="auto"/>
        <w:rPr>
          <w:rFonts w:ascii="仿宋_GB2312" w:hAnsi="仿宋_GB2312" w:eastAsia="仿宋_GB2312" w:hint="eastAsia"/>
          <w:sz w:val="32"/>
        </w:rPr>
      </w:pPr>
      <w:r>
        <w:rPr>
          <w:rFonts w:eastAsia="仿宋_GB2312" w:hint="eastAsia" w:ascii="仿宋_GB2312" w:hAnsi="仿宋_GB2312"/>
          <w:sz w:val="32"/>
        </w:rPr>
      </w:r>
    </w:p>
    <w:p>
      <w:pPr>
        <w:pStyle w:val="Normal"/>
        <w:keepNext w:val="false"/>
        <w:keepLines w:val="false"/>
        <w:pageBreakBefore w:val="false"/>
        <w:widowControl w:val="false"/>
        <w:numPr>
          <w:ilvl w:val="0"/>
          <w:numId w:val="0"/>
        </w:numPr>
        <w:kinsoku w:val="true"/>
        <w:overflowPunct w:val="true"/>
        <w:bidi w:val="0"/>
        <w:snapToGrid w:val="false"/>
        <w:spacing w:lineRule="exact" w:line="560"/>
        <w:ind w:hanging="0" w:start="0"/>
        <w:jc w:val="center"/>
        <w:textAlignment w:val="auto"/>
        <w:rPr>
          <w:rFonts w:ascii="黑体" w:hAnsi="黑体" w:eastAsia="黑体" w:cs="黑体" w:hint="eastAsia"/>
          <w:sz w:val="32"/>
        </w:rPr>
      </w:pPr>
      <w:r>
        <w:rPr>
          <w:rFonts w:ascii="黑体" w:hAnsi="黑体" w:cs="黑体" w:hint="eastAsia" w:eastAsia="黑体"/>
          <w:sz w:val="32"/>
        </w:rPr>
        <w:t>第三章  常务委员会审议单行条例案的程序</w:t>
      </w:r>
    </w:p>
    <w:p>
      <w:pPr>
        <w:pStyle w:val="Style15"/>
        <w:keepNext w:val="false"/>
        <w:keepLines w:val="false"/>
        <w:pageBreakBefore w:val="false"/>
        <w:widowControl w:val="false"/>
        <w:kinsoku w:val="true"/>
        <w:overflowPunct w:val="true"/>
        <w:bidi w:val="0"/>
        <w:snapToGrid w:val="false"/>
        <w:spacing w:lineRule="exact" w:line="560"/>
        <w:ind w:firstLineChars="0" w:firstLine="0" w:startChars="0" w:start="0" w:endChars="0" w:end="0"/>
        <w:textAlignment w:val="auto"/>
        <w:rPr>
          <w:rFonts w:ascii="黑体" w:hAnsi="黑体" w:eastAsia="黑体" w:cs="黑体" w:hint="eastAsia"/>
          <w:sz w:val="32"/>
        </w:rPr>
      </w:pPr>
      <w:r>
        <w:rPr>
          <w:rFonts w:eastAsia="黑体" w:cs="黑体" w:hint="eastAsia" w:ascii="黑体" w:hAnsi="黑体"/>
          <w:sz w:val="32"/>
        </w:rPr>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 xml:space="preserve">第十一条 </w:t>
      </w:r>
      <w:r>
        <w:rPr>
          <w:rFonts w:ascii="仿宋_GB2312" w:hAnsi="仿宋_GB2312" w:hint="eastAsia" w:eastAsia="仿宋_GB2312"/>
          <w:sz w:val="32"/>
        </w:rPr>
        <w:t xml:space="preserve"> 单行条例案由常务委员会主任会议研究决定是否列入常务委员会会议议程。经常务委员会主任会议研究决定列入常务委员会会议议程后，由常务委员会有关的工作委员会负责下列事宜：</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一</w:t>
      </w:r>
      <w:r>
        <w:rPr>
          <w:rFonts w:eastAsia="仿宋_GB2312" w:hint="eastAsia" w:ascii="仿宋_GB2312" w:hAnsi="仿宋_GB2312"/>
          <w:sz w:val="32"/>
        </w:rPr>
        <w:t>)</w:t>
      </w:r>
      <w:r>
        <w:rPr>
          <w:rFonts w:ascii="仿宋_GB2312" w:hAnsi="仿宋_GB2312" w:hint="eastAsia" w:eastAsia="仿宋_GB2312"/>
          <w:sz w:val="32"/>
        </w:rPr>
        <w:t>组织起草或者修改单行条例草案；</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二</w:t>
      </w:r>
      <w:r>
        <w:rPr>
          <w:rFonts w:eastAsia="仿宋_GB2312" w:hint="eastAsia" w:ascii="仿宋_GB2312" w:hAnsi="仿宋_GB2312"/>
          <w:sz w:val="32"/>
        </w:rPr>
        <w:t>)</w:t>
      </w:r>
      <w:r>
        <w:rPr>
          <w:rFonts w:ascii="仿宋_GB2312" w:hAnsi="仿宋_GB2312" w:hint="eastAsia" w:eastAsia="仿宋_GB2312"/>
          <w:sz w:val="32"/>
        </w:rPr>
        <w:t>调研和协调单行条例草案起草、修改过程中的重大问题；</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三</w:t>
      </w:r>
      <w:r>
        <w:rPr>
          <w:rFonts w:eastAsia="仿宋_GB2312" w:hint="eastAsia" w:ascii="仿宋_GB2312" w:hAnsi="仿宋_GB2312"/>
          <w:sz w:val="32"/>
        </w:rPr>
        <w:t xml:space="preserve">) </w:t>
      </w:r>
      <w:r>
        <w:rPr>
          <w:rFonts w:ascii="仿宋_GB2312" w:hAnsi="仿宋_GB2312" w:hint="eastAsia" w:eastAsia="仿宋_GB2312"/>
          <w:sz w:val="32"/>
        </w:rPr>
        <w:t>采取座谈会、论证会、听证会等多种形式征求各方面对单行条例草案的意见；</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四</w:t>
      </w:r>
      <w:r>
        <w:rPr>
          <w:rFonts w:eastAsia="仿宋_GB2312" w:hint="eastAsia" w:ascii="仿宋_GB2312" w:hAnsi="仿宋_GB2312"/>
          <w:sz w:val="32"/>
        </w:rPr>
        <w:t>)</w:t>
      </w:r>
      <w:r>
        <w:rPr>
          <w:rFonts w:ascii="仿宋_GB2312" w:hAnsi="仿宋_GB2312" w:hint="eastAsia" w:eastAsia="仿宋_GB2312"/>
          <w:sz w:val="32"/>
        </w:rPr>
        <w:t>向法制委员会提出单行条例草案。</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仿宋_GB2312" w:hAnsi="仿宋_GB2312" w:hint="eastAsia" w:eastAsia="仿宋_GB2312"/>
          <w:sz w:val="32"/>
        </w:rPr>
        <w:t>单行条例草案由法制委员会进行审查，并向常务委员会提出单行条例草案及其说明。</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第十二条</w:t>
      </w:r>
      <w:r>
        <w:rPr>
          <w:rFonts w:ascii="仿宋_GB2312" w:hAnsi="仿宋_GB2312" w:hint="eastAsia" w:eastAsia="仿宋_GB2312"/>
          <w:sz w:val="32"/>
        </w:rPr>
        <w:t xml:space="preserve">  提请常务委员会会议审议的</w:t>
      </w:r>
      <w:r>
        <w:rPr>
          <w:rFonts w:hint="eastAsia" w:eastAsia="仿宋_GB2312"/>
          <w:sz w:val="32"/>
        </w:rPr>
        <w:t>单行条例</w:t>
      </w:r>
      <w:r>
        <w:rPr>
          <w:rFonts w:ascii="仿宋_GB2312" w:hAnsi="仿宋_GB2312" w:hint="eastAsia" w:eastAsia="仿宋_GB2312"/>
          <w:sz w:val="32"/>
        </w:rPr>
        <w:t>案，应当在会议举行的七日前将</w:t>
      </w:r>
      <w:r>
        <w:rPr>
          <w:rFonts w:hint="eastAsia" w:eastAsia="仿宋_GB2312"/>
          <w:sz w:val="32"/>
        </w:rPr>
        <w:t>单行条例</w:t>
      </w:r>
      <w:r>
        <w:rPr>
          <w:rFonts w:ascii="仿宋_GB2312" w:hAnsi="仿宋_GB2312" w:hint="eastAsia" w:eastAsia="仿宋_GB2312"/>
          <w:sz w:val="32"/>
        </w:rPr>
        <w:t>草案及有关资料发给常务委员会组成人员。常务委员会组成人员应当对</w:t>
      </w:r>
      <w:r>
        <w:rPr>
          <w:rFonts w:hint="eastAsia" w:eastAsia="仿宋_GB2312"/>
          <w:sz w:val="32"/>
        </w:rPr>
        <w:t>单行条例草</w:t>
      </w:r>
      <w:r>
        <w:rPr>
          <w:rFonts w:ascii="仿宋_GB2312" w:hAnsi="仿宋_GB2312" w:hint="eastAsia" w:eastAsia="仿宋_GB2312"/>
          <w:sz w:val="32"/>
        </w:rPr>
        <w:t>案进行研究，准备审议意见。</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第十三条</w:t>
      </w:r>
      <w:r>
        <w:rPr>
          <w:rFonts w:ascii="仿宋_GB2312" w:hAnsi="仿宋_GB2312" w:hint="eastAsia" w:eastAsia="仿宋_GB2312"/>
          <w:sz w:val="32"/>
        </w:rPr>
        <w:t xml:space="preserve">  常务委员会会议审议</w:t>
      </w:r>
      <w:r>
        <w:rPr>
          <w:rFonts w:hint="eastAsia" w:eastAsia="仿宋_GB2312"/>
          <w:sz w:val="32"/>
        </w:rPr>
        <w:t>单行条例</w:t>
      </w:r>
      <w:r>
        <w:rPr>
          <w:rFonts w:ascii="仿宋_GB2312" w:hAnsi="仿宋_GB2312" w:hint="eastAsia" w:eastAsia="仿宋_GB2312"/>
          <w:sz w:val="32"/>
        </w:rPr>
        <w:t>案时，在全体会议上听取法制委员会关于单行条例草案的说明，并由分组会议进行审议。</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sz w:val="32"/>
        </w:rPr>
      </w:pPr>
      <w:r>
        <w:rPr>
          <w:rFonts w:ascii="黑体" w:hAnsi="黑体" w:hint="eastAsia" w:eastAsia="黑体"/>
          <w:sz w:val="32"/>
        </w:rPr>
        <w:t>第十四条</w:t>
      </w:r>
      <w:r>
        <w:rPr>
          <w:rFonts w:ascii="仿宋_GB2312" w:hAnsi="仿宋_GB2312" w:hint="eastAsia" w:eastAsia="仿宋_GB2312"/>
          <w:sz w:val="32"/>
        </w:rPr>
        <w:t xml:space="preserve">  列入常务委员会会议议程的</w:t>
      </w:r>
      <w:r>
        <w:rPr>
          <w:rFonts w:hint="eastAsia" w:eastAsia="仿宋_GB2312"/>
          <w:sz w:val="32"/>
        </w:rPr>
        <w:t>单行条例案</w:t>
      </w:r>
      <w:r>
        <w:rPr>
          <w:rFonts w:ascii="仿宋_GB2312" w:hAnsi="仿宋_GB2312" w:hint="eastAsia" w:eastAsia="仿宋_GB2312"/>
          <w:sz w:val="32"/>
        </w:rPr>
        <w:t>，经常务委员会会议审议认为可以交付自治州人民代表大会审议即做出交付自治州人民代表大会审议的决定；经常务委员会会议审议后，仍有重大问题需要进一步研究的，经主任会议决定，可以经第二次常务委员会会议审议。</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 xml:space="preserve">第十五条 </w:t>
      </w:r>
      <w:r>
        <w:rPr>
          <w:rFonts w:ascii="仿宋_GB2312" w:hAnsi="仿宋_GB2312" w:hint="eastAsia" w:eastAsia="仿宋_GB2312"/>
          <w:sz w:val="32"/>
        </w:rPr>
        <w:t>常务委员会会议审议单行条例案时，经主任会议决定，公民可以到会旁听，具体旁听办法由主任会议确定。</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第十六条</w:t>
      </w:r>
      <w:r>
        <w:rPr>
          <w:rFonts w:ascii="仿宋_GB2312" w:hAnsi="仿宋_GB2312" w:hint="eastAsia" w:eastAsia="仿宋_GB2312"/>
          <w:sz w:val="32"/>
        </w:rPr>
        <w:t xml:space="preserve"> 列入常务委员会会议议程的单行条例案，经主任会议决定，可以将单行条例草案用哈萨克文、汉文、维吾尔文在《伊犁日报》及其他媒体上公布 ，征求意见。</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第十七条</w:t>
      </w:r>
      <w:r>
        <w:rPr>
          <w:rFonts w:ascii="仿宋_GB2312" w:hAnsi="仿宋_GB2312" w:hint="eastAsia" w:eastAsia="仿宋_GB2312"/>
          <w:sz w:val="32"/>
        </w:rPr>
        <w:t xml:space="preserve"> 列入常务委员会会议审议的单行条例案，因存在较大意见分歧搁置满两年的，或者因暂不交付自治州人民代表大会表决经过两年没有再次列入常务委员会会议议程审议的，由主任会议向常务委员会报告，该单行条例案终止审议。</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宋体" w:hAnsi="宋体" w:eastAsia="宋体" w:cs="宋体" w:hint="eastAsia"/>
          <w:sz w:val="32"/>
        </w:rPr>
      </w:pPr>
      <w:r>
        <w:rPr>
          <w:rFonts w:eastAsia="宋体" w:cs="宋体" w:hint="eastAsia"/>
          <w:sz w:val="32"/>
        </w:rPr>
      </w:r>
    </w:p>
    <w:p>
      <w:pPr>
        <w:pStyle w:val="Normal"/>
        <w:keepNext w:val="false"/>
        <w:keepLines w:val="false"/>
        <w:pageBreakBefore w:val="false"/>
        <w:widowControl w:val="false"/>
        <w:numPr>
          <w:ilvl w:val="0"/>
          <w:numId w:val="0"/>
        </w:numPr>
        <w:kinsoku w:val="true"/>
        <w:overflowPunct w:val="true"/>
        <w:bidi w:val="0"/>
        <w:snapToGrid w:val="false"/>
        <w:spacing w:lineRule="exact" w:line="560"/>
        <w:ind w:hanging="0" w:start="0"/>
        <w:jc w:val="center"/>
        <w:textAlignment w:val="auto"/>
        <w:rPr>
          <w:rFonts w:ascii="黑体" w:hAnsi="黑体" w:eastAsia="黑体" w:cs="黑体" w:hint="eastAsia"/>
          <w:sz w:val="32"/>
        </w:rPr>
      </w:pPr>
      <w:r>
        <w:rPr>
          <w:rFonts w:ascii="黑体" w:hAnsi="黑体" w:cs="黑体" w:hint="eastAsia" w:eastAsia="黑体"/>
          <w:sz w:val="32"/>
        </w:rPr>
        <w:t>第四章  其他规定</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黑体" w:hAnsi="黑体" w:eastAsia="黑体" w:cs="黑体" w:hint="eastAsia"/>
          <w:sz w:val="32"/>
        </w:rPr>
      </w:pPr>
      <w:r>
        <w:rPr>
          <w:rFonts w:eastAsia="黑体" w:cs="黑体" w:hint="eastAsia" w:ascii="黑体" w:hAnsi="黑体"/>
          <w:sz w:val="32"/>
        </w:rPr>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 xml:space="preserve">第十八条   </w:t>
      </w:r>
      <w:r>
        <w:rPr>
          <w:rFonts w:ascii="仿宋_GB2312" w:hAnsi="仿宋_GB2312" w:hint="eastAsia" w:eastAsia="仿宋_GB2312"/>
          <w:sz w:val="32"/>
        </w:rPr>
        <w:t>常务委员会根据自治州政治、经济和社会发展的实际需要，制订单行条例的立法规划和年度立法计划。</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仿宋_GB2312" w:hAnsi="仿宋_GB2312" w:hint="eastAsia" w:eastAsia="仿宋_GB2312"/>
          <w:sz w:val="32"/>
        </w:rPr>
        <w:t>立法规划和年度立法计划，由自治州人民政府、自治区高级人民法院自治州分院、自治州人民检察院，常务委员会各工作委员会提出建议，由常务委员会法制工作委员会综合协调、拟订草案，报常务委员会主任会议决定。</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仿宋_GB2312" w:hAnsi="仿宋_GB2312" w:hint="eastAsia" w:eastAsia="仿宋_GB2312"/>
          <w:sz w:val="32"/>
        </w:rPr>
        <w:t>立法规划、年度立法计划需要调整的，由常务委员会主任会议决定。</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仿宋_GB2312" w:hAnsi="仿宋_GB2312" w:hint="eastAsia" w:eastAsia="仿宋_GB2312"/>
          <w:sz w:val="32"/>
        </w:rPr>
        <w:t>常务委员会的立法规划和年度立法计划及调整意见，报新疆维吾尔自治区人民代表大会常务委员会。</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 xml:space="preserve">第十九条  </w:t>
      </w:r>
      <w:r>
        <w:rPr>
          <w:rFonts w:ascii="仿宋_GB2312" w:hAnsi="仿宋_GB2312" w:hint="eastAsia" w:eastAsia="仿宋_GB2312"/>
          <w:sz w:val="32"/>
        </w:rPr>
        <w:t>向自治州人民代表大会及其常务委员会提出单行条例案，应当包括条例草案及其说明；说明应当包括制定单行条例的必要性、起草过程、主要内容以及重要问题的协调处理情况等。</w:t>
      </w:r>
    </w:p>
    <w:p>
      <w:pPr>
        <w:pStyle w:val="Style15"/>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textAlignment w:val="auto"/>
        <w:rPr>
          <w:rFonts w:ascii="仿宋_GB2312" w:hAnsi="仿宋_GB2312" w:eastAsia="仿宋_GB2312" w:hint="eastAsia"/>
          <w:sz w:val="32"/>
        </w:rPr>
      </w:pPr>
      <w:r>
        <w:rPr>
          <w:rFonts w:ascii="黑体" w:hAnsi="黑体" w:hint="eastAsia" w:eastAsia="黑体"/>
          <w:sz w:val="32"/>
        </w:rPr>
        <w:t xml:space="preserve">第二十条  </w:t>
      </w:r>
      <w:r>
        <w:rPr>
          <w:rFonts w:ascii="仿宋_GB2312" w:hAnsi="仿宋_GB2312" w:hint="eastAsia" w:eastAsia="仿宋_GB2312"/>
          <w:sz w:val="32"/>
        </w:rPr>
        <w:t>自治州人民代表大会及其常务委员会会议审议单行条例案时，提案人或报请机关应当听取意见，回答询问。</w:t>
      </w:r>
    </w:p>
    <w:p>
      <w:pPr>
        <w:pStyle w:val="Style15"/>
        <w:keepNext w:val="false"/>
        <w:keepLines w:val="false"/>
        <w:pageBreakBefore w:val="false"/>
        <w:widowControl w:val="false"/>
        <w:kinsoku w:val="true"/>
        <w:overflowPunct w:val="true"/>
        <w:bidi w:val="0"/>
        <w:snapToGrid w:val="false"/>
        <w:spacing w:lineRule="exact" w:line="560"/>
        <w:ind w:firstLineChars="0" w:firstLine="0" w:startChars="0" w:start="0" w:endChars="0" w:end="0"/>
        <w:textAlignment w:val="auto"/>
        <w:rPr>
          <w:rFonts w:ascii="宋体" w:hAnsi="宋体" w:eastAsia="宋体" w:cs="宋体" w:hint="eastAsia"/>
          <w:sz w:val="32"/>
        </w:rPr>
      </w:pPr>
      <w:r>
        <w:rPr>
          <w:rFonts w:eastAsia="宋体" w:cs="宋体" w:hint="eastAsia"/>
          <w:sz w:val="32"/>
        </w:rPr>
      </w:r>
    </w:p>
    <w:p>
      <w:pPr>
        <w:pStyle w:val="Normal"/>
        <w:keepNext w:val="false"/>
        <w:keepLines w:val="false"/>
        <w:pageBreakBefore w:val="false"/>
        <w:widowControl w:val="false"/>
        <w:numPr>
          <w:ilvl w:val="0"/>
          <w:numId w:val="0"/>
        </w:numPr>
        <w:kinsoku w:val="true"/>
        <w:overflowPunct w:val="true"/>
        <w:bidi w:val="0"/>
        <w:snapToGrid w:val="false"/>
        <w:spacing w:lineRule="exact" w:line="560"/>
        <w:ind w:hanging="0" w:start="0"/>
        <w:jc w:val="center"/>
        <w:textAlignment w:val="auto"/>
        <w:rPr>
          <w:rFonts w:ascii="黑体" w:hAnsi="黑体" w:eastAsia="黑体" w:cs="黑体" w:hint="eastAsia"/>
          <w:sz w:val="32"/>
        </w:rPr>
      </w:pPr>
      <w:r>
        <w:rPr>
          <w:rFonts w:ascii="黑体" w:hAnsi="黑体" w:cs="黑体" w:hint="eastAsia" w:eastAsia="黑体"/>
          <w:sz w:val="32"/>
        </w:rPr>
        <w:t>第五章  附则</w:t>
      </w:r>
    </w:p>
    <w:p>
      <w:pPr>
        <w:pStyle w:val="Normal"/>
        <w:keepNext w:val="false"/>
        <w:keepLines w:val="false"/>
        <w:pageBreakBefore w:val="false"/>
        <w:widowControl w:val="false"/>
        <w:kinsoku w:val="true"/>
        <w:overflowPunct w:val="true"/>
        <w:bidi w:val="0"/>
        <w:snapToGrid w:val="false"/>
        <w:spacing w:lineRule="exact" w:line="560"/>
        <w:ind w:firstLineChars="0" w:firstLine="0" w:startChars="0" w:start="0" w:endChars="0" w:end="0"/>
        <w:textAlignment w:val="auto"/>
        <w:rPr>
          <w:rFonts w:ascii="黑体" w:hAnsi="黑体" w:eastAsia="黑体" w:cs="黑体" w:hint="eastAsia"/>
          <w:sz w:val="32"/>
        </w:rPr>
      </w:pPr>
      <w:r>
        <w:rPr>
          <w:rFonts w:eastAsia="黑体" w:cs="黑体" w:hint="eastAsia" w:ascii="黑体" w:hAnsi="黑体"/>
          <w:sz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黑体" w:hAnsi="黑体" w:eastAsia="黑体" w:hint="eastAsia"/>
          <w:sz w:val="32"/>
        </w:rPr>
      </w:pPr>
      <w:r>
        <w:rPr>
          <w:rFonts w:ascii="黑体" w:hAnsi="黑体" w:hint="eastAsia" w:eastAsia="黑体"/>
          <w:sz w:val="32"/>
        </w:rPr>
        <w:t>第二十一条</w:t>
      </w:r>
      <w:r>
        <w:rPr>
          <w:rFonts w:hint="eastAsia"/>
          <w:sz w:val="32"/>
        </w:rPr>
        <w:t>　</w:t>
      </w:r>
      <w:r>
        <w:rPr>
          <w:rFonts w:hint="eastAsia" w:eastAsia="仿宋_GB2312"/>
          <w:sz w:val="32"/>
        </w:rPr>
        <w:t>自治州单行条例的修改和废止适用本规定。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pPr>
      <w:r>
        <w:rPr>
          <w:rFonts w:ascii="黑体" w:hAnsi="黑体" w:hint="eastAsia" w:eastAsia="黑体"/>
          <w:sz w:val="32"/>
        </w:rPr>
        <w:t>第二十二条</w:t>
      </w:r>
      <w:r>
        <w:rPr>
          <w:rFonts w:ascii="仿宋_GB2312" w:hAnsi="仿宋_GB2312" w:hint="eastAsia" w:eastAsia="仿宋_GB2312"/>
          <w:sz w:val="32"/>
        </w:rPr>
        <w:t xml:space="preserve">  本规定自发布之日起施行。</w:t>
      </w:r>
    </w:p>
    <w:sectPr>
      <w:footerReference w:type="default" r:id="rId2"/>
      <w:type w:val="nextPage"/>
      <w:pgSz w:w="11906" w:h="16838"/>
      <w:pgMar w:left="1587" w:right="1587" w:gutter="0" w:header="0" w:top="2154" w:footer="992" w:bottom="2154"/>
      <w:pgNumType w:fmt="decimal"/>
      <w:formProt w:val="false"/>
      <w:textDirection w:val="lrTb"/>
      <w:docGrid w:type="linesAndChars" w:linePitch="56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autoSpaceDE w:val="false"/>
      <w:jc w:val="start"/>
    </w:pPr>
    <w:rPr>
      <w:rFonts w:ascii="宋体" w:hAnsi="宋体" w:cs="Courier New"/>
      <w:kern w:val="0"/>
      <w:szCs w:val="20"/>
      <w:lang w:val="zh-CN"/>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2018-12-24T12:45:00Z</dcterms:created>
  <dc:creator>w</dc:creator>
  <dc:description/>
  <dc:language>en-US</dc:language>
  <cp:lastModifiedBy>Administrator</cp:lastModifiedBy>
  <dcterms:modified xsi:type="dcterms:W3CDTF">2019-01-02T15:19:03Z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