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700"/>
        <w:jc w:val="center"/>
        <w:rPr>
          <w:rFonts w:ascii="宋体;SimSun" w:hAnsi="宋体;SimSun" w:cs="宋体;SimSun" w:hint="eastAsia"/>
          <w:color w:val="000000"/>
          <w:sz w:val="32"/>
          <w:szCs w:val="32"/>
        </w:rPr>
      </w:pPr>
      <w:r>
        <w:rPr>
          <w:rFonts w:cs="宋体;SimSun" w:hint="eastAsia" w:ascii="宋体;SimSun" w:hAnsi="宋体;SimSun"/>
          <w:color w:val="000000"/>
          <w:sz w:val="32"/>
          <w:szCs w:val="32"/>
        </w:rPr>
      </w:r>
    </w:p>
    <w:p>
      <w:pPr>
        <w:pStyle w:val="Normal"/>
        <w:spacing w:lineRule="exact" w:line="700"/>
        <w:jc w:val="center"/>
        <w:rPr>
          <w:rFonts w:ascii="宋体;SimSun" w:hAnsi="宋体;SimSun" w:cs="宋体;SimSun" w:hint="eastAsia"/>
          <w:color w:val="000000"/>
          <w:sz w:val="32"/>
          <w:szCs w:val="32"/>
        </w:rPr>
      </w:pPr>
      <w:r>
        <w:rPr>
          <w:rFonts w:cs="宋体;SimSun" w:hint="eastAsia" w:ascii="宋体;SimSun" w:hAnsi="宋体;SimSun"/>
          <w:color w:val="000000"/>
          <w:sz w:val="32"/>
          <w:szCs w:val="32"/>
        </w:rPr>
      </w:r>
    </w:p>
    <w:p>
      <w:pPr>
        <w:pStyle w:val="Normal"/>
        <w:spacing w:lineRule="exact" w:line="700"/>
        <w:jc w:val="center"/>
        <w:rPr/>
      </w:pPr>
      <w:r>
        <w:rPr>
          <w:rFonts w:ascii="宋体;SimSun" w:hAnsi="宋体;SimSun" w:cs="宋体;SimSun" w:hint="eastAsia"/>
          <w:color w:val="000000"/>
          <w:sz w:val="44"/>
          <w:szCs w:val="44"/>
        </w:rPr>
        <w:t>新疆维吾尔</w:t>
      </w:r>
      <w:r>
        <w:rPr>
          <w:rFonts w:ascii="宋体;SimSun" w:hAnsi="宋体;SimSun" w:cs="宋体;SimSun" w:hint="eastAsia"/>
          <w:bCs/>
          <w:color w:val="000000"/>
          <w:sz w:val="44"/>
          <w:szCs w:val="44"/>
        </w:rPr>
        <w:t>自治区人民代表大会</w:t>
      </w:r>
      <w:r>
        <w:rPr>
          <w:rFonts w:ascii="宋体;SimSun" w:hAnsi="宋体;SimSun" w:cs="宋体;SimSun" w:hint="eastAsia"/>
          <w:color w:val="000000"/>
          <w:sz w:val="44"/>
          <w:szCs w:val="44"/>
        </w:rPr>
        <w:t>常务委员会</w:t>
      </w:r>
    </w:p>
    <w:p>
      <w:pPr>
        <w:pStyle w:val="Normal"/>
        <w:spacing w:lineRule="exact" w:line="700"/>
        <w:jc w:val="center"/>
        <w:rPr/>
      </w:pPr>
      <w:r>
        <w:rPr>
          <w:rFonts w:ascii="宋体;SimSun" w:hAnsi="宋体;SimSun" w:cs="宋体;SimSun" w:hint="eastAsia"/>
          <w:color w:val="000000"/>
          <w:spacing w:val="-20"/>
          <w:sz w:val="44"/>
          <w:szCs w:val="44"/>
        </w:rPr>
        <w:t>关于确定</w:t>
      </w:r>
      <w:r>
        <w:rPr>
          <w:rFonts w:ascii="宋体;SimSun" w:hAnsi="宋体;SimSun" w:cs="宋体;SimSun" w:hint="eastAsia"/>
          <w:spacing w:val="-20"/>
          <w:sz w:val="44"/>
          <w:szCs w:val="44"/>
        </w:rPr>
        <w:t>巴音郭楞蒙古</w:t>
      </w:r>
      <w:r>
        <w:rPr>
          <w:rFonts w:ascii="宋体;SimSun" w:hAnsi="宋体;SimSun" w:cs="宋体;SimSun" w:hint="eastAsia"/>
          <w:color w:val="000000"/>
          <w:spacing w:val="-20"/>
          <w:sz w:val="44"/>
          <w:szCs w:val="44"/>
        </w:rPr>
        <w:t>自治州</w:t>
      </w:r>
      <w:r>
        <w:rPr>
          <w:rFonts w:ascii="宋体;SimSun" w:hAnsi="宋体;SimSun" w:cs="宋体;SimSun" w:hint="eastAsia"/>
          <w:bCs/>
          <w:color w:val="000000"/>
          <w:spacing w:val="-20"/>
          <w:sz w:val="44"/>
          <w:szCs w:val="44"/>
        </w:rPr>
        <w:t>人民代表大会</w:t>
      </w:r>
    </w:p>
    <w:p>
      <w:pPr>
        <w:pStyle w:val="Normal"/>
        <w:spacing w:lineRule="exact" w:line="700"/>
        <w:jc w:val="center"/>
        <w:rPr/>
      </w:pPr>
      <w:r>
        <w:rPr>
          <w:rFonts w:ascii="宋体;SimSun" w:hAnsi="宋体;SimSun" w:cs="宋体;SimSun" w:hint="eastAsia"/>
          <w:bCs/>
          <w:color w:val="000000"/>
          <w:spacing w:val="-20"/>
          <w:sz w:val="44"/>
          <w:szCs w:val="44"/>
        </w:rPr>
        <w:t>及其</w:t>
      </w:r>
      <w:r>
        <w:rPr>
          <w:rFonts w:ascii="宋体;SimSun" w:hAnsi="宋体;SimSun" w:cs="宋体;SimSun" w:hint="eastAsia"/>
          <w:color w:val="000000"/>
          <w:spacing w:val="-20"/>
          <w:sz w:val="44"/>
          <w:szCs w:val="44"/>
        </w:rPr>
        <w:t>常务委员会开始制定地方性法规</w:t>
      </w:r>
    </w:p>
    <w:p>
      <w:pPr>
        <w:pStyle w:val="Normal"/>
        <w:spacing w:lineRule="exact" w:line="700"/>
        <w:jc w:val="center"/>
        <w:rPr>
          <w:rFonts w:ascii="宋体;SimSun" w:hAnsi="宋体;SimSun" w:cs="宋体;SimSun" w:hint="eastAsia"/>
          <w:color w:val="000000"/>
          <w:spacing w:val="-20"/>
          <w:sz w:val="44"/>
          <w:szCs w:val="44"/>
        </w:rPr>
      </w:pPr>
      <w:r>
        <w:rPr>
          <w:rFonts w:ascii="宋体;SimSun" w:hAnsi="宋体;SimSun" w:cs="宋体;SimSun" w:hint="eastAsia"/>
          <w:color w:val="000000"/>
          <w:spacing w:val="-20"/>
          <w:sz w:val="44"/>
          <w:szCs w:val="44"/>
        </w:rPr>
        <w:t>的时间的决定</w:t>
      </w:r>
    </w:p>
    <w:p>
      <w:pPr>
        <w:pStyle w:val="Normal"/>
        <w:spacing w:lineRule="exact" w:line="560"/>
        <w:ind w:hangingChars="50" w:startChars="0" w:start="0" w:endChars="0" w:end="0"/>
        <w:rPr/>
      </w:pPr>
      <w:r>
        <w:rPr>
          <w:rFonts w:ascii="楷体_GB2312" w:hAnsi="楷体_GB2312" w:cs="楷体" w:hint="eastAsia" w:eastAsia="楷体_GB2312"/>
          <w:sz w:val="32"/>
          <w:szCs w:val="32"/>
        </w:rPr>
        <w:t>（</w:t>
      </w:r>
      <w:r>
        <w:rPr>
          <w:rFonts w:eastAsia="楷体_GB2312" w:cs="楷体" w:hint="eastAsia" w:ascii="楷体_GB2312" w:hAnsi="楷体_GB2312"/>
          <w:sz w:val="32"/>
          <w:szCs w:val="32"/>
        </w:rPr>
        <w:t>2017</w:t>
      </w:r>
      <w:r>
        <w:rPr>
          <w:rFonts w:ascii="楷体_GB2312" w:hAnsi="楷体_GB2312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_GB2312" w:hAnsi="楷体_GB2312"/>
          <w:sz w:val="32"/>
          <w:szCs w:val="32"/>
        </w:rPr>
        <w:t>9</w:t>
      </w:r>
      <w:r>
        <w:rPr>
          <w:rFonts w:ascii="楷体_GB2312" w:hAnsi="楷体_GB2312" w:cs="楷体" w:hint="eastAsia" w:eastAsia="楷体_GB2312"/>
          <w:sz w:val="32"/>
          <w:szCs w:val="32"/>
        </w:rPr>
        <w:t xml:space="preserve">月 </w:t>
      </w:r>
      <w:r>
        <w:rPr>
          <w:rFonts w:eastAsia="楷体_GB2312" w:cs="楷体" w:hint="eastAsia" w:ascii="楷体_GB2312" w:hAnsi="楷体_GB2312"/>
          <w:sz w:val="32"/>
          <w:szCs w:val="32"/>
        </w:rPr>
        <w:t>27</w:t>
      </w:r>
      <w:r>
        <w:rPr>
          <w:rFonts w:ascii="楷体_GB2312" w:hAnsi="楷体_GB2312" w:cs="楷体" w:hint="eastAsia" w:eastAsia="楷体_GB2312"/>
          <w:sz w:val="32"/>
          <w:szCs w:val="32"/>
        </w:rPr>
        <w:t>日新疆维吾尔自治区第十二届人民代表大会</w:t>
      </w:r>
    </w:p>
    <w:p>
      <w:pPr>
        <w:pStyle w:val="Normal"/>
        <w:spacing w:lineRule="exact" w:line="560"/>
        <w:ind w:firstLineChars="650" w:startChars="76" w:endChars="0" w:end="0"/>
        <w:rPr>
          <w:rFonts w:ascii="楷体_GB2312" w:hAnsi="楷体_GB2312" w:eastAsia="楷体_GB2312" w:cs="楷体" w:hint="eastAsia"/>
          <w:sz w:val="32"/>
          <w:szCs w:val="32"/>
        </w:rPr>
      </w:pPr>
      <w:r>
        <w:rPr>
          <w:rFonts w:ascii="楷体_GB2312" w:hAnsi="楷体_GB2312" w:cs="楷体" w:hint="eastAsia" w:eastAsia="楷体_GB2312"/>
          <w:sz w:val="32"/>
          <w:szCs w:val="32"/>
        </w:rPr>
        <w:t>常务委员会第三十二次会议通过）</w:t>
      </w:r>
    </w:p>
    <w:p>
      <w:pPr>
        <w:pStyle w:val="Normal"/>
        <w:spacing w:lineRule="exact" w:line="560"/>
        <w:ind w:start="1443" w:end="0"/>
        <w:rPr>
          <w:rFonts w:ascii="楷体_GB2312" w:hAnsi="楷体_GB2312" w:eastAsia="楷体_GB2312" w:cs="方正小标宋简体" w:hint="eastAsia"/>
          <w:color w:val="000000"/>
          <w:sz w:val="32"/>
          <w:szCs w:val="32"/>
        </w:rPr>
      </w:pPr>
      <w:r>
        <w:rPr>
          <w:rFonts w:eastAsia="楷体_GB2312" w:cs="方正小标宋简体" w:hint="eastAsia" w:ascii="楷体_GB2312" w:hAnsi="楷体_GB2312"/>
          <w:color w:val="000000"/>
          <w:sz w:val="32"/>
          <w:szCs w:val="32"/>
        </w:rPr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Times New Roman" w:hAnsi="Times New Roman" w:cs="Times New Roman" w:eastAsia="仿宋_GB2312"/>
          <w:sz w:val="32"/>
          <w:szCs w:val="32"/>
        </w:rPr>
        <w:t>根据《中华人民共和国立法法》的有关规定，</w:t>
      </w:r>
      <w:r>
        <w:rPr>
          <w:rFonts w:ascii="Times New Roman" w:hAnsi="Times New Roman" w:cs="Times New Roman" w:eastAsia="仿宋_GB2312"/>
          <w:bCs/>
          <w:sz w:val="32"/>
          <w:szCs w:val="32"/>
        </w:rPr>
        <w:t>新疆维吾尔自治区</w:t>
      </w:r>
      <w:r>
        <w:rPr>
          <w:rFonts w:ascii="Times New Roman" w:hAnsi="Times New Roman" w:cs="Times New Roman" w:eastAsia="仿宋_GB2312"/>
          <w:sz w:val="32"/>
          <w:szCs w:val="32"/>
        </w:rPr>
        <w:t>十二届人民代表大会常务委</w:t>
      </w:r>
      <w:r>
        <w:rPr>
          <w:rFonts w:ascii="仿宋_GB2312" w:hAnsi="仿宋_GB2312" w:cs="Times New Roman" w:hint="eastAsia" w:eastAsia="仿宋_GB2312"/>
          <w:sz w:val="32"/>
          <w:szCs w:val="32"/>
        </w:rPr>
        <w:t>员会第</w:t>
      </w:r>
      <w:r>
        <w:rPr>
          <w:rFonts w:ascii="仿宋_GB2312" w:hAnsi="仿宋_GB2312" w:cs="楷体" w:hint="eastAsia" w:eastAsia="仿宋_GB2312"/>
          <w:sz w:val="32"/>
          <w:szCs w:val="32"/>
        </w:rPr>
        <w:t>三十二</w:t>
      </w:r>
      <w:r>
        <w:rPr>
          <w:rFonts w:ascii="仿宋_GB2312" w:hAnsi="仿宋_GB2312" w:cs="Times New Roman" w:hint="eastAsia" w:eastAsia="仿宋_GB2312"/>
          <w:sz w:val="32"/>
          <w:szCs w:val="32"/>
        </w:rPr>
        <w:t>次会议决</w:t>
      </w:r>
      <w:r>
        <w:rPr>
          <w:rFonts w:ascii="Times New Roman" w:hAnsi="Times New Roman" w:cs="Times New Roman" w:eastAsia="仿宋_GB2312"/>
          <w:sz w:val="32"/>
          <w:szCs w:val="32"/>
        </w:rPr>
        <w:t>定，</w:t>
      </w:r>
      <w:r>
        <w:rPr>
          <w:rFonts w:ascii="仿宋_GB2312" w:hAnsi="仿宋_GB2312" w:cs="宋体;SimSun" w:hint="eastAsia" w:eastAsia="仿宋_GB2312"/>
          <w:sz w:val="32"/>
          <w:szCs w:val="32"/>
        </w:rPr>
        <w:t>巴音郭楞蒙古</w:t>
      </w:r>
      <w:r>
        <w:rPr>
          <w:rFonts w:ascii="仿宋_GB2312" w:hAnsi="仿宋_GB2312" w:cs="Times New Roman" w:hint="eastAsia" w:eastAsia="仿宋_GB2312"/>
          <w:sz w:val="32"/>
          <w:szCs w:val="32"/>
        </w:rPr>
        <w:t>自治州人民代表大会及其常务委员会自</w:t>
      </w:r>
      <w:r>
        <w:rPr>
          <w:rFonts w:ascii="Times New Roman" w:hAnsi="Times New Roman" w:cs="Times New Roman" w:eastAsia="仿宋_GB2312"/>
          <w:sz w:val="32"/>
          <w:szCs w:val="32"/>
        </w:rPr>
        <w:t>本决定公布之日起，可以</w:t>
      </w:r>
      <w:r>
        <w:rPr>
          <w:rFonts w:ascii="Times New Roman" w:hAnsi="Times New Roman" w:cs="Times New Roman" w:hint="eastAsia" w:eastAsia="仿宋_GB2312"/>
          <w:sz w:val="32"/>
          <w:szCs w:val="32"/>
        </w:rPr>
        <w:t>开始</w:t>
      </w:r>
      <w:r>
        <w:rPr>
          <w:rFonts w:ascii="Times New Roman" w:hAnsi="Times New Roman" w:cs="Times New Roman" w:eastAsia="仿宋_GB2312"/>
          <w:sz w:val="32"/>
          <w:szCs w:val="32"/>
        </w:rPr>
        <w:t>制定地方性法规。</w:t>
      </w:r>
    </w:p>
    <w:p>
      <w:pPr>
        <w:pStyle w:val="Normal"/>
        <w:shd w:fill="FFFFFF" w:val="clear"/>
        <w:spacing w:lineRule="exact" w:line="560"/>
        <w:ind w:firstLine="629" w:end="0"/>
        <w:rPr>
          <w:rFonts w:ascii="Times New Roman" w:hAnsi="Times New Roman" w:eastAsia="仿宋_GB2312" w:cs="Times New Roman"/>
          <w:sz w:val="32"/>
          <w:szCs w:val="32"/>
          <w:shd w:fill="FFFFFF" w:val="clear"/>
        </w:rPr>
      </w:pPr>
      <w:r>
        <w:rPr>
          <w:rFonts w:ascii="Times New Roman" w:hAnsi="Times New Roman" w:cs="Times New Roman" w:eastAsia="仿宋_GB2312"/>
          <w:sz w:val="32"/>
          <w:szCs w:val="32"/>
          <w:lang w:val="zh-CN"/>
        </w:rPr>
        <w:t>本决定自公布之日起施行。</w:t>
      </w:r>
    </w:p>
    <w:p>
      <w:pPr>
        <w:pStyle w:val="Normal"/>
        <w:spacing w:lineRule="exact" w:line="560"/>
        <w:rPr>
          <w:rFonts w:ascii="Times New Roman" w:hAnsi="Times New Roman" w:eastAsia="仿宋_GB2312" w:cs="Times New Roman"/>
          <w:sz w:val="32"/>
          <w:szCs w:val="32"/>
          <w:shd w:fill="FFFFFF" w:val="clear"/>
        </w:rPr>
      </w:pPr>
      <w:r>
        <w:rPr>
          <w:rFonts w:eastAsia="仿宋_GB2312" w:cs="Times New Roman" w:ascii="Times New Roman" w:hAnsi="Times New Roman"/>
          <w:sz w:val="32"/>
          <w:szCs w:val="32"/>
          <w:shd w:fill="FFFFFF" w:val="clear"/>
        </w:rPr>
      </w:r>
    </w:p>
    <w:p>
      <w:pPr>
        <w:pStyle w:val="Normal"/>
        <w:spacing w:lineRule="exact" w:line="600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eastAsia="仿宋_GB2312" w:cs="Times New Roman" w:ascii="Times New Roman" w:hAnsi="Times New Roman"/>
          <w:color w:val="000000"/>
          <w:sz w:val="32"/>
          <w:szCs w:val="32"/>
        </w:rPr>
      </w:r>
    </w:p>
    <w:p>
      <w:pPr>
        <w:pStyle w:val="Normal"/>
        <w:spacing w:lineRule="exact" w:line="600"/>
        <w:ind w:firstLineChars="200" w:startChars="0" w:start="0" w:endChars="0" w:end="0"/>
        <w:rPr>
          <w:rFonts w:ascii="仿宋_GB2312" w:hAnsi="仿宋_GB2312" w:eastAsia="仿宋_GB2312" w:cs="仿宋" w:hint="eastAsia"/>
          <w:color w:val="000000"/>
          <w:sz w:val="32"/>
          <w:szCs w:val="32"/>
        </w:rPr>
      </w:pPr>
      <w:r>
        <w:rPr>
          <w:rFonts w:eastAsia="仿宋_GB2312" w:cs="仿宋" w:hint="eastAsia" w:ascii="仿宋_GB2312" w:hAnsi="仿宋_GB2312"/>
          <w:color w:val="000000"/>
          <w:sz w:val="32"/>
          <w:szCs w:val="32"/>
        </w:rPr>
      </w:r>
    </w:p>
    <w:p>
      <w:pPr>
        <w:pStyle w:val="Normal"/>
        <w:spacing w:lineRule="exact" w:line="600"/>
        <w:ind w:firstLineChars="200" w:startChars="0" w:start="0" w:endChars="0" w:end="0"/>
        <w:rPr>
          <w:rFonts w:ascii="仿宋_GB2312" w:hAnsi="仿宋_GB2312" w:eastAsia="仿宋_GB2312" w:cs="仿宋" w:hint="eastAsia"/>
          <w:color w:val="000000"/>
          <w:sz w:val="32"/>
          <w:szCs w:val="32"/>
        </w:rPr>
      </w:pPr>
      <w:r>
        <w:rPr>
          <w:rFonts w:eastAsia="仿宋_GB2312" w:cs="仿宋" w:hint="eastAsia" w:ascii="仿宋_GB2312" w:hAnsi="仿宋_GB2312"/>
          <w:color w:val="000000"/>
          <w:sz w:val="32"/>
          <w:szCs w:val="32"/>
        </w:rPr>
      </w:r>
    </w:p>
    <w:sectPr>
      <w:type w:val="nextPage"/>
      <w:pgSz w:w="11906" w:h="16838"/>
      <w:pgMar w:left="1418" w:right="1418" w:gutter="0" w:header="0" w:top="204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character" w:styleId="Char2">
    <w:name w:val="页脚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2017-09-27T15:50:00Z</dcterms:created>
  <dc:creator>Administrator</dc:creator>
  <dc:description/>
  <cp:keywords/>
  <dc:language>en-US</dc:language>
  <cp:lastModifiedBy>Z</cp:lastModifiedBy>
  <cp:lastPrinted>2016-05-12T14:37:00Z</cp:lastPrinted>
  <dcterms:modified xsi:type="dcterms:W3CDTF">2020-04-29T17:51:00Z</dcterms:modified>
  <cp:revision>4</cp:revision>
  <dc:subject/>
  <dc:title>新疆维吾尔自治区人民代表大会常务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