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exact" w:line="560"/>
        <w:jc w:val="center"/>
        <w:rPr>
          <w:rFonts w:ascii="仿宋" w:hAnsi="仿宋" w:eastAsia="仿宋" w:cs="仿宋" w:hint="eastAsia"/>
          <w:color w:val="000000"/>
          <w:spacing w:val="-20"/>
          <w:kern w:val="0"/>
          <w:sz w:val="44"/>
          <w:szCs w:val="44"/>
        </w:rPr>
      </w:pPr>
      <w:r>
        <w:rPr>
          <w:rFonts w:eastAsia="仿宋" w:cs="仿宋" w:hint="eastAsia" w:ascii="仿宋" w:hAnsi="仿宋"/>
          <w:color w:val="000000"/>
          <w:spacing w:val="-20"/>
          <w:kern w:val="0"/>
          <w:sz w:val="44"/>
          <w:szCs w:val="44"/>
        </w:rPr>
      </w:r>
    </w:p>
    <w:p>
      <w:pPr>
        <w:pStyle w:val="Normal"/>
        <w:widowControl/>
        <w:shd w:fill="FFFFFF" w:val="clear"/>
        <w:spacing w:lineRule="exact" w:line="560"/>
        <w:jc w:val="center"/>
        <w:rPr>
          <w:rFonts w:ascii="仿宋" w:hAnsi="仿宋" w:eastAsia="仿宋" w:cs="仿宋" w:hint="eastAsia"/>
          <w:color w:val="000000"/>
          <w:spacing w:val="-20"/>
          <w:kern w:val="0"/>
          <w:sz w:val="44"/>
          <w:szCs w:val="44"/>
        </w:rPr>
      </w:pPr>
      <w:r>
        <w:rPr>
          <w:rFonts w:eastAsia="仿宋" w:cs="仿宋" w:hint="eastAsia" w:ascii="仿宋" w:hAnsi="仿宋"/>
          <w:color w:val="000000"/>
          <w:spacing w:val="-20"/>
          <w:kern w:val="0"/>
          <w:sz w:val="44"/>
          <w:szCs w:val="44"/>
        </w:rPr>
      </w:r>
    </w:p>
    <w:p>
      <w:pPr>
        <w:pStyle w:val="Normal"/>
        <w:widowControl/>
        <w:shd w:fill="FFFFFF" w:val="clear"/>
        <w:spacing w:lineRule="exact" w:line="560"/>
        <w:jc w:val="center"/>
        <w:rPr>
          <w:rFonts w:ascii="宋体;SimSun" w:hAnsi="宋体;SimSun" w:cs="宋体;SimSun"/>
          <w:color w:val="000000"/>
          <w:spacing w:val="-20"/>
          <w:kern w:val="0"/>
          <w:sz w:val="44"/>
          <w:szCs w:val="44"/>
        </w:rPr>
      </w:pPr>
      <w:r>
        <w:rPr>
          <w:rFonts w:ascii="宋体;SimSun" w:hAnsi="宋体;SimSun" w:cs="宋体;SimSun"/>
          <w:color w:val="000000"/>
          <w:spacing w:val="-20"/>
          <w:kern w:val="0"/>
          <w:sz w:val="44"/>
          <w:szCs w:val="44"/>
        </w:rPr>
        <w:t>博尔塔拉蒙古自治州语言文字工作管理条例</w:t>
      </w:r>
    </w:p>
    <w:p>
      <w:pPr>
        <w:pStyle w:val="Normal"/>
        <w:widowControl/>
        <w:shd w:fill="FFFFFF" w:val="clear"/>
        <w:spacing w:lineRule="exact" w:line="560"/>
        <w:rPr>
          <w:rFonts w:ascii="方正楷体_GBK" w:hAnsi="方正楷体_GBK" w:eastAsia="方正楷体_GBK" w:cs="方正仿宋_GBK" w:hint="eastAsia"/>
          <w:color w:val="000000"/>
          <w:spacing w:val="-20"/>
          <w:w w:val="120"/>
          <w:kern w:val="0"/>
          <w:sz w:val="32"/>
          <w:szCs w:val="32"/>
        </w:rPr>
      </w:pPr>
      <w:r>
        <w:rPr>
          <w:rFonts w:eastAsia="方正楷体_GBK" w:cs="方正仿宋_GBK" w:hint="eastAsia" w:ascii="方正楷体_GBK" w:hAnsi="方正楷体_GBK"/>
          <w:color w:val="000000"/>
          <w:spacing w:val="-20"/>
          <w:w w:val="120"/>
          <w:kern w:val="0"/>
          <w:sz w:val="32"/>
          <w:szCs w:val="32"/>
        </w:rPr>
      </w:r>
    </w:p>
    <w:p>
      <w:pPr>
        <w:pStyle w:val="Normal"/>
        <w:widowControl/>
        <w:shd w:fill="FFFFFF" w:val="clear"/>
        <w:spacing w:lineRule="exact" w:line="560"/>
        <w:ind w:firstLineChars="0" w:firstLine="0" w:startChars="337" w:endChars="296"/>
        <w:jc w:val="center"/>
        <w:rPr>
          <w:rFonts w:ascii="楷体_GB2312" w:hAnsi="楷体_GB2312" w:eastAsia="楷体_GB2312" w:cs="楷体" w:hint="eastAsia"/>
          <w:sz w:val="32"/>
          <w:szCs w:val="32"/>
        </w:rPr>
      </w:pPr>
      <w:r>
        <w:rPr>
          <w:rFonts w:ascii="楷体_GB2312" w:hAnsi="楷体_GB2312" w:cs="楷体" w:hint="eastAsia" w:eastAsia="楷体_GB2312"/>
          <w:w w:val="120"/>
          <w:sz w:val="32"/>
          <w:szCs w:val="32"/>
        </w:rPr>
        <w:t>（</w:t>
      </w:r>
      <w:r>
        <w:rPr>
          <w:rFonts w:eastAsia="楷体_GB2312" w:cs="楷体" w:hint="eastAsia" w:ascii="楷体_GB2312" w:hAnsi="楷体_GB2312"/>
          <w:sz w:val="32"/>
          <w:szCs w:val="32"/>
        </w:rPr>
        <w:t>2016</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10</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17</w:t>
      </w:r>
      <w:r>
        <w:rPr>
          <w:rFonts w:ascii="楷体_GB2312" w:hAnsi="楷体_GB2312" w:cs="楷体" w:hint="eastAsia" w:eastAsia="楷体_GB2312"/>
          <w:sz w:val="32"/>
          <w:szCs w:val="32"/>
        </w:rPr>
        <w:t xml:space="preserve">日博尔塔拉蒙古自治州第十三届人民代表大会常务委员会第三十一次会议通过  </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5</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27</w:t>
      </w:r>
      <w:r>
        <w:rPr>
          <w:rFonts w:ascii="楷体_GB2312" w:hAnsi="楷体_GB2312" w:cs="楷体" w:hint="eastAsia" w:eastAsia="楷体_GB2312"/>
          <w:sz w:val="32"/>
          <w:szCs w:val="32"/>
        </w:rPr>
        <w:t>日新疆维吾尔自治区第十二届人民代表大会</w:t>
      </w:r>
    </w:p>
    <w:p>
      <w:pPr>
        <w:pStyle w:val="Normal"/>
        <w:widowControl/>
        <w:shd w:fill="FFFFFF" w:val="clear"/>
        <w:spacing w:lineRule="exact" w:line="560"/>
        <w:ind w:firstLineChars="0" w:firstLine="0" w:startChars="337" w:endChars="296"/>
        <w:jc w:val="center"/>
        <w:rPr>
          <w:rFonts w:ascii="楷体_GB2312" w:hAnsi="楷体_GB2312" w:eastAsia="楷体_GB2312" w:cs="楷体" w:hint="eastAsia"/>
          <w:sz w:val="32"/>
          <w:szCs w:val="32"/>
        </w:rPr>
      </w:pPr>
      <w:r>
        <w:rPr>
          <w:rFonts w:ascii="楷体_GB2312" w:hAnsi="楷体_GB2312" w:cs="楷体" w:hint="eastAsia" w:eastAsia="楷体_GB2312"/>
          <w:sz w:val="32"/>
          <w:szCs w:val="32"/>
        </w:rPr>
        <w:t>常务委员会第二十九次会议批准</w:t>
      </w:r>
      <w:r>
        <w:rPr>
          <w:rFonts w:ascii="楷体_GB2312" w:hAnsi="楷体_GB2312" w:cs="楷体" w:hint="eastAsia" w:eastAsia="楷体_GB2312"/>
          <w:w w:val="120"/>
          <w:sz w:val="32"/>
          <w:szCs w:val="32"/>
        </w:rPr>
        <w:t>）</w:t>
      </w:r>
    </w:p>
    <w:p>
      <w:pPr>
        <w:pStyle w:val="Normal"/>
        <w:spacing w:lineRule="auto" w:line="360"/>
        <w:jc w:val="center"/>
        <w:rPr>
          <w:rFonts w:ascii="楷体_GB2312" w:hAnsi="楷体_GB2312" w:eastAsia="楷体_GB2312" w:cs="Arial" w:hint="eastAsia"/>
          <w:sz w:val="32"/>
          <w:szCs w:val="32"/>
          <w:lang w:bidi="ar"/>
        </w:rPr>
      </w:pPr>
      <w:r>
        <w:rPr>
          <w:rFonts w:eastAsia="楷体_GB2312" w:cs="Arial" w:hint="eastAsia" w:ascii="楷体_GB2312" w:hAnsi="楷体_GB2312"/>
          <w:sz w:val="32"/>
          <w:szCs w:val="32"/>
          <w:lang w:bidi="ar"/>
        </w:rPr>
      </w:r>
    </w:p>
    <w:p>
      <w:pPr>
        <w:pStyle w:val="Normal"/>
        <w:spacing w:lineRule="auto" w:line="360"/>
        <w:jc w:val="center"/>
        <w:rPr>
          <w:rFonts w:ascii="楷体_GB2312" w:hAnsi="楷体_GB2312" w:eastAsia="楷体_GB2312" w:cs="Arial" w:hint="eastAsia"/>
          <w:sz w:val="32"/>
          <w:szCs w:val="32"/>
          <w:lang w:bidi="ar"/>
        </w:rPr>
      </w:pPr>
      <w:r>
        <w:rPr>
          <w:rFonts w:ascii="楷体_GB2312" w:hAnsi="楷体_GB2312" w:cs="Arial" w:hint="eastAsia" w:eastAsia="楷体_GB2312"/>
          <w:sz w:val="32"/>
          <w:szCs w:val="32"/>
          <w:lang w:bidi="ar"/>
        </w:rPr>
        <w:t>目    录</w:t>
      </w:r>
    </w:p>
    <w:p>
      <w:pPr>
        <w:pStyle w:val="Normal"/>
        <w:spacing w:lineRule="auto" w:line="360"/>
        <w:ind w:firstLineChars="0" w:firstLine="0" w:startChars="304" w:endChars="0" w:end="0"/>
        <w:rPr>
          <w:rFonts w:eastAsia="仿宋_GB2312"/>
          <w:w w:val="90"/>
          <w:sz w:val="32"/>
          <w:szCs w:val="32"/>
        </w:rPr>
      </w:pP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"http://law.npc.gov.cn:87/page/secondbrw.cbs?rid=54&amp;order=643&amp;result=c:%5Ctemp%5Ctbs%5CH1176DE.tmp&amp;page=allindex&amp;f=&amp;field=&amp;transword=++%CC%F5%C0%FD&amp;dkall=1&amp;OpenCondition=FULLTEXT='(%23%CA%B1%D0%A7%D0%D4=*)+AND+(%CC%F5%C0%FD/FLD=%B1%EA%CC%E2)'" \l "1%231"</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第一章　总  则</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 w:val="32"/>
          <w:szCs w:val="32"/>
          <w:lang w:bidi="ar"/>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"http://law.npc.gov.cn:87/page/secondbrw.cbs?rid=54&amp;order=643&amp;result=c:%5Ctemp%5Ctbs%5CH1176DE.tmp&amp;page=allindex&amp;f=&amp;field=&amp;transword=++%CC%F5%C0%FD&amp;dkall=1&amp;OpenCondition=FULLTEXT='(%23%CA%B1%D0%A7%D0%D4=*)+AND+(%CC%F5%C0%FD/FLD=%B1%EA%CC%E2)'" \l "2%232"</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第二章　管</w:t>
      </w:r>
      <w:r>
        <w:rPr>
          <w:rStyle w:val="Hyperlink"/>
          <w:rFonts w:ascii="楷体_GB2312" w:hAnsi="楷体_GB2312" w:cs="Arial" w:hint="eastAsia" w:eastAsia="楷体_GB2312"/>
          <w:color w:val="000000"/>
          <w:sz w:val="32"/>
          <w:szCs w:val="32"/>
        </w:rPr>
        <w:fldChar w:fldCharType="end"/>
      </w:r>
      <w:r>
        <w:rPr>
          <w:rFonts w:ascii="楷体_GB2312" w:hAnsi="楷体_GB2312" w:cs="Arial" w:hint="eastAsia" w:eastAsia="楷体_GB2312"/>
          <w:sz w:val="32"/>
          <w:szCs w:val="32"/>
          <w:lang w:bidi="ar"/>
        </w:rPr>
        <w:t>理职责</w:t>
      </w:r>
      <w:r>
        <w:rPr>
          <w:rFonts w:eastAsia="楷体_GB2312" w:cs="Arial" w:hint="eastAsia" w:ascii="楷体_GB2312" w:hAnsi="楷体_GB2312"/>
          <w:sz w:val="32"/>
          <w:szCs w:val="32"/>
          <w:lang w:bidi="ar"/>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"http://law.npc.gov.cn:87/page/secondbrw.cbs?rid=54&amp;order=643&amp;result=c:%5Ctemp%5Ctbs%5CH1176DE.tmp&amp;page=allindex&amp;f=&amp;field=&amp;transword=++%CC%F5%C0%FD&amp;dkall=1&amp;OpenCondition=FULLTEXT='(%23%CA%B1%D0%A7%D0%D4=*)+AND+(%CC%F5%C0%FD/FLD=%B1%EA%CC%E2)'" \l "3%233"</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第三章　规</w:t>
      </w:r>
      <w:r>
        <w:rPr>
          <w:rStyle w:val="Hyperlink"/>
          <w:rFonts w:ascii="楷体_GB2312" w:hAnsi="楷体_GB2312" w:cs="Arial" w:hint="eastAsia" w:eastAsia="楷体_GB2312"/>
          <w:color w:val="000000"/>
          <w:sz w:val="32"/>
          <w:szCs w:val="32"/>
        </w:rPr>
        <w:fldChar w:fldCharType="end"/>
      </w:r>
      <w:r>
        <w:rPr>
          <w:rFonts w:ascii="楷体_GB2312" w:hAnsi="楷体_GB2312" w:cs="Arial" w:hint="eastAsia" w:eastAsia="楷体_GB2312"/>
          <w:sz w:val="32"/>
          <w:szCs w:val="32"/>
          <w:lang w:bidi="ar"/>
        </w:rPr>
        <w:t>范使用</w:t>
      </w:r>
      <w:r>
        <w:rPr>
          <w:rFonts w:eastAsia="楷体_GB2312" w:cs="Arial" w:hint="eastAsia" w:ascii="楷体_GB2312" w:hAnsi="楷体_GB2312"/>
          <w:sz w:val="32"/>
          <w:szCs w:val="32"/>
          <w:lang w:bidi="ar"/>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"http://law.npc.gov.cn:87/page/secondbrw.cbs?rid=54&amp;order=643&amp;result=c:%5Ctemp%5Ctbs%5CH1176DE.tmp&amp;page=allindex&amp;f=&amp;field=&amp;transword=++%CC%F5%C0%FD&amp;dkall=1&amp;OpenCondition=FULLTEXT='(%23%CA%B1%D0%A7%D0%D4=*)+AND+(%CC%F5%C0%FD/FLD=%B1%EA%CC%E2)'" \l "4%234"</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第四章　法律责任</w:t>
      </w:r>
      <w:r>
        <w:rPr>
          <w:rStyle w:val="Hyperlink"/>
          <w:rFonts w:ascii="楷体_GB2312" w:hAnsi="楷体_GB2312" w:cs="Arial" w:hint="eastAsia" w:eastAsia="楷体_GB2312"/>
          <w:color w:val="000000"/>
          <w:sz w:val="32"/>
          <w:szCs w:val="32"/>
        </w:rPr>
        <w:fldChar w:fldCharType="end"/>
      </w:r>
      <w:r>
        <w:rPr>
          <w:rFonts w:eastAsia="楷体_GB2312" w:cs="Arial" w:hint="eastAsia" w:ascii="楷体_GB2312" w:hAnsi="楷体_GB2312"/>
          <w:sz w:val="32"/>
          <w:szCs w:val="32"/>
          <w:lang w:bidi="ar"/>
        </w:rPr>
        <w:br/>
      </w:r>
      <w:r>
        <w:fldChar w:fldCharType="begin"/>
      </w:r>
      <w:r>
        <w:rPr>
          <w:rStyle w:val="Hyperlink"/>
          <w:rFonts w:ascii="楷体_GB2312" w:hAnsi="楷体_GB2312" w:cs="Arial" w:hint="eastAsia" w:eastAsia="楷体_GB2312"/>
          <w:color w:val="000000"/>
          <w:sz w:val="32"/>
          <w:szCs w:val="32"/>
        </w:rPr>
        <w:instrText xml:space="preserve"> HYPERLINK "http://law.npc.gov.cn:87/page/secondbrw.cbs?rid=54&amp;order=643&amp;result=c:%5Ctemp%5Ctbs%5CH1176DE.tmp&amp;page=allindex&amp;f=&amp;field=&amp;transword=++%CC%F5%C0%FD&amp;dkall=1&amp;OpenCondition=FULLTEXT='(%23%CA%B1%D0%A7%D0%D4=*)+AND+(%CC%F5%C0%FD/FLD=%B1%EA%CC%E2)'" \l "5%235"</w:instrText>
      </w:r>
      <w:r>
        <w:rPr>
          <w:rStyle w:val="Hyperlink"/>
          <w:rFonts w:ascii="楷体_GB2312" w:hAnsi="楷体_GB2312" w:cs="Arial" w:hint="eastAsia" w:eastAsia="楷体_GB2312"/>
          <w:color w:val="000000"/>
          <w:sz w:val="32"/>
          <w:szCs w:val="32"/>
        </w:rPr>
        <w:fldChar w:fldCharType="separate"/>
      </w:r>
      <w:r>
        <w:rPr>
          <w:rStyle w:val="Hyperlink"/>
          <w:rFonts w:ascii="楷体_GB2312" w:hAnsi="楷体_GB2312" w:cs="Arial" w:hint="eastAsia" w:eastAsia="楷体_GB2312"/>
          <w:color w:val="000000"/>
          <w:sz w:val="32"/>
          <w:szCs w:val="32"/>
        </w:rPr>
        <w:t>第五章　附</w:t>
      </w:r>
      <w:r>
        <w:rPr>
          <w:rStyle w:val="Hyperlink"/>
          <w:rFonts w:ascii="楷体_GB2312" w:hAnsi="楷体_GB2312" w:cs="Arial" w:hint="eastAsia" w:eastAsia="楷体_GB2312"/>
          <w:color w:val="000000"/>
          <w:sz w:val="32"/>
          <w:szCs w:val="32"/>
        </w:rPr>
        <w:fldChar w:fldCharType="end"/>
      </w:r>
      <w:r>
        <w:rPr>
          <w:rFonts w:ascii="楷体_GB2312" w:hAnsi="楷体_GB2312" w:cs="Arial" w:hint="eastAsia" w:eastAsia="楷体_GB2312"/>
          <w:sz w:val="32"/>
          <w:szCs w:val="32"/>
          <w:lang w:bidi="ar"/>
        </w:rPr>
        <w:t xml:space="preserve">  则</w:t>
      </w:r>
      <w:r>
        <w:rPr>
          <w:rFonts w:eastAsia="楷体_GB2312" w:cs="Arial" w:hint="eastAsia" w:ascii="楷体_GB2312" w:hAnsi="楷体_GB2312"/>
          <w:szCs w:val="32"/>
          <w:lang w:bidi="ar"/>
        </w:rPr>
        <w:br/>
      </w:r>
    </w:p>
    <w:p>
      <w:pPr>
        <w:pStyle w:val="Normal"/>
        <w:widowControl/>
        <w:shd w:fill="FFFFFF" w:val="clear"/>
        <w:spacing w:lineRule="exact" w:line="560"/>
        <w:ind w:hanging="1290" w:start="1290" w:end="0"/>
        <w:jc w:val="center"/>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kern w:val="0"/>
          <w:sz w:val="32"/>
          <w:szCs w:val="32"/>
        </w:rPr>
        <w:t>第一章  总  则</w:t>
      </w:r>
    </w:p>
    <w:p>
      <w:pPr>
        <w:pStyle w:val="Normal"/>
        <w:widowControl/>
        <w:shd w:fill="FFFFFF" w:val="clear"/>
        <w:spacing w:lineRule="exact" w:line="560"/>
        <w:ind w:firstLine="640" w:end="0"/>
        <w:rPr>
          <w:color w:val="000000"/>
          <w:kern w:val="0"/>
          <w:sz w:val="24"/>
        </w:rPr>
      </w:pPr>
      <w:r>
        <w:rPr>
          <w:rFonts w:eastAsia="方正黑体_GBK"/>
          <w:color w:val="000000"/>
          <w:kern w:val="0"/>
          <w:sz w:val="32"/>
          <w:szCs w:val="32"/>
        </w:rPr>
        <w:t xml:space="preserve">  </w:t>
      </w:r>
    </w:p>
    <w:p>
      <w:pPr>
        <w:pStyle w:val="Normal"/>
        <w:widowControl/>
        <w:shd w:fill="FFFFFF" w:val="clear"/>
        <w:spacing w:lineRule="exact" w:line="560"/>
        <w:ind w:firstLine="640" w:end="0"/>
        <w:rPr>
          <w:rFonts w:ascii="仿宋" w:hAnsi="仿宋" w:eastAsia="仿宋" w:cs="仿宋" w:hint="eastAsia"/>
          <w:color w:val="000000"/>
          <w:kern w:val="0"/>
          <w:sz w:val="32"/>
          <w:szCs w:val="32"/>
        </w:rPr>
      </w:pPr>
      <w:r>
        <w:rPr>
          <w:rFonts w:ascii="黑体;SimHei" w:hAnsi="黑体;SimHei" w:cs="黑体;SimHei" w:hint="eastAsia" w:eastAsia="黑体;SimHei"/>
          <w:color w:val="000000"/>
          <w:kern w:val="0"/>
          <w:sz w:val="32"/>
          <w:szCs w:val="32"/>
        </w:rPr>
        <w:t>第一条</w:t>
      </w:r>
      <w:r>
        <w:rPr>
          <w:rFonts w:ascii="仿宋" w:hAnsi="仿宋" w:cs="仿宋" w:hint="eastAsia" w:eastAsia="仿宋"/>
          <w:color w:val="000000"/>
          <w:kern w:val="0"/>
          <w:sz w:val="32"/>
          <w:szCs w:val="32"/>
        </w:rPr>
        <w:t xml:space="preserve">  </w:t>
      </w:r>
      <w:r>
        <w:rPr>
          <w:rFonts w:ascii="仿宋_GB2312" w:hAnsi="仿宋_GB2312" w:cs="仿宋" w:hint="eastAsia" w:eastAsia="仿宋_GB2312"/>
          <w:color w:val="000000"/>
          <w:kern w:val="0"/>
          <w:sz w:val="32"/>
          <w:szCs w:val="32"/>
        </w:rPr>
        <w:t>为了规范语言文字的使用，加强语言文字工作的监督与管理，促进各民族之间语言文字的学习、交流，根据《中华人民共和国民族区域自治法》《中华人民共和国国家通用语言文字法》《新疆维吾尔自治区语言文字工作条例》等法律法规，结合自治州实际，制定本条例。</w:t>
      </w:r>
    </w:p>
    <w:p>
      <w:pPr>
        <w:pStyle w:val="Normal"/>
        <w:widowControl/>
        <w:shd w:fill="FFFFFF" w:val="clear"/>
        <w:spacing w:lineRule="exact" w:line="560"/>
        <w:ind w:firstLine="640" w:end="0"/>
        <w:rPr>
          <w:rFonts w:ascii="仿宋" w:hAnsi="仿宋" w:eastAsia="仿宋" w:cs="仿宋" w:hint="eastAsia"/>
          <w:color w:val="000000"/>
          <w:kern w:val="0"/>
          <w:sz w:val="32"/>
          <w:szCs w:val="32"/>
        </w:rPr>
      </w:pPr>
      <w:r>
        <w:rPr>
          <w:rFonts w:ascii="黑体;SimHei" w:hAnsi="黑体;SimHei" w:cs="黑体;SimHei" w:hint="eastAsia" w:eastAsia="黑体;SimHei"/>
          <w:color w:val="000000"/>
          <w:kern w:val="0"/>
          <w:sz w:val="32"/>
          <w:szCs w:val="32"/>
        </w:rPr>
        <w:t xml:space="preserve">第二条  </w:t>
      </w:r>
      <w:r>
        <w:rPr>
          <w:rFonts w:ascii="仿宋_GB2312" w:hAnsi="仿宋_GB2312" w:cs="仿宋" w:hint="eastAsia" w:eastAsia="仿宋_GB2312"/>
          <w:color w:val="000000"/>
          <w:kern w:val="0"/>
          <w:sz w:val="32"/>
          <w:szCs w:val="32"/>
        </w:rPr>
        <w:t>自治州行政区域内公民、法人和其他组织在管理、使用各民族语言文字时，应当遵守本条例。</w:t>
      </w:r>
    </w:p>
    <w:p>
      <w:pPr>
        <w:pStyle w:val="Normal"/>
        <w:widowControl/>
        <w:shd w:fill="FFFFFF" w:val="clear"/>
        <w:spacing w:lineRule="exact" w:line="560"/>
        <w:ind w:firstLine="642" w:end="0"/>
        <w:rPr/>
      </w:pPr>
      <w:r>
        <w:rPr>
          <w:rFonts w:ascii="黑体;SimHei" w:hAnsi="黑体;SimHei" w:cs="黑体;SimHei" w:hint="eastAsia" w:eastAsia="黑体;SimHei"/>
          <w:color w:val="000000"/>
          <w:kern w:val="0"/>
          <w:sz w:val="32"/>
          <w:szCs w:val="32"/>
        </w:rPr>
        <w:t>第三条</w:t>
      </w:r>
      <w:r>
        <w:rPr>
          <w:rFonts w:ascii="仿宋" w:hAnsi="仿宋" w:cs="仿宋" w:hint="eastAsia" w:eastAsia="仿宋"/>
          <w:color w:val="000000"/>
          <w:kern w:val="0"/>
          <w:sz w:val="32"/>
          <w:szCs w:val="32"/>
        </w:rPr>
        <w:t xml:space="preserve">  </w:t>
      </w:r>
      <w:r>
        <w:rPr>
          <w:rFonts w:ascii="仿宋_GB2312" w:hAnsi="仿宋_GB2312" w:cs="仿宋" w:hint="eastAsia" w:eastAsia="仿宋_GB2312"/>
          <w:color w:val="000000"/>
          <w:kern w:val="0"/>
          <w:sz w:val="32"/>
          <w:szCs w:val="32"/>
        </w:rPr>
        <w:t>语言文字工作应当坚持各民族语言文字一律平等的原则，依法保障各民族都有使用本民族语言文字的权利。</w:t>
      </w:r>
    </w:p>
    <w:p>
      <w:pPr>
        <w:pStyle w:val="Normal"/>
        <w:widowControl/>
        <w:shd w:fill="FFFFFF" w:val="clear"/>
        <w:spacing w:lineRule="exact" w:line="560"/>
        <w:ind w:firstLine="642"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提倡各民族公民互相学习、使用语言文字，促进各民族之间的交流、交往、交融。</w:t>
      </w:r>
    </w:p>
    <w:p>
      <w:pPr>
        <w:pStyle w:val="Normal"/>
        <w:widowControl/>
        <w:shd w:fill="FFFFFF" w:val="clear"/>
        <w:spacing w:lineRule="exact" w:line="560"/>
        <w:ind w:firstLine="640" w:end="0"/>
        <w:rPr/>
      </w:pPr>
      <w:r>
        <w:rPr>
          <w:rFonts w:ascii="黑体;SimHei" w:hAnsi="黑体;SimHei" w:cs="黑体;SimHei" w:hint="eastAsia" w:eastAsia="黑体;SimHei"/>
          <w:color w:val="000000"/>
          <w:kern w:val="0"/>
          <w:sz w:val="32"/>
          <w:szCs w:val="32"/>
        </w:rPr>
        <w:t>第四条</w:t>
      </w:r>
      <w:r>
        <w:rPr>
          <w:rFonts w:ascii="仿宋" w:hAnsi="仿宋" w:cs="仿宋" w:hint="eastAsia" w:eastAsia="仿宋"/>
          <w:color w:val="000000"/>
          <w:kern w:val="0"/>
          <w:sz w:val="32"/>
          <w:szCs w:val="32"/>
        </w:rPr>
        <w:t xml:space="preserve">  </w:t>
      </w:r>
      <w:r>
        <w:rPr>
          <w:rFonts w:ascii="仿宋_GB2312" w:hAnsi="仿宋_GB2312" w:cs="仿宋" w:hint="eastAsia" w:eastAsia="仿宋_GB2312"/>
          <w:color w:val="000000"/>
          <w:kern w:val="0"/>
          <w:sz w:val="32"/>
          <w:szCs w:val="32"/>
        </w:rPr>
        <w:t>县级以上人民政府应当将语言文字工作纳入国民经济和社会发展规划，经费列入本级财政预算。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县级以上人民政府应当制定语言文字工作考核、奖惩、问责制度，健全政府统筹协调、主管部门负责、有关部门配合、社会各方参与的工作机制。</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县级以上人民政府应当重视语言文字翻译工作，加强语言文字翻译工作的管理与监督，推进语言文字翻译工作规范化、标准化及其健康发展。</w:t>
      </w:r>
    </w:p>
    <w:p>
      <w:pPr>
        <w:pStyle w:val="Normal"/>
        <w:widowControl/>
        <w:shd w:fill="FFFFFF" w:val="clear"/>
        <w:spacing w:lineRule="exact" w:line="560"/>
        <w:ind w:firstLine="640" w:end="0"/>
        <w:rPr/>
      </w:pPr>
      <w:r>
        <w:rPr>
          <w:rFonts w:ascii="黑体;SimHei" w:hAnsi="黑体;SimHei" w:cs="黑体;SimHei" w:hint="eastAsia" w:eastAsia="黑体;SimHei"/>
          <w:color w:val="000000"/>
          <w:kern w:val="0"/>
          <w:sz w:val="32"/>
          <w:szCs w:val="32"/>
        </w:rPr>
        <w:t>第五条</w:t>
      </w:r>
      <w:r>
        <w:rPr>
          <w:rFonts w:ascii="仿宋" w:hAnsi="仿宋" w:cs="仿宋" w:hint="eastAsia" w:eastAsia="仿宋"/>
          <w:color w:val="000000"/>
          <w:kern w:val="0"/>
          <w:sz w:val="32"/>
          <w:szCs w:val="32"/>
        </w:rPr>
        <w:t xml:space="preserve">  </w:t>
      </w:r>
      <w:r>
        <w:rPr>
          <w:rFonts w:ascii="仿宋_GB2312" w:hAnsi="仿宋_GB2312" w:cs="仿宋" w:hint="eastAsia" w:eastAsia="仿宋_GB2312"/>
          <w:color w:val="000000"/>
          <w:kern w:val="0"/>
          <w:sz w:val="32"/>
          <w:szCs w:val="32"/>
        </w:rPr>
        <w:t>自治州民族宗教事务委员会（民族语言文字工作委员会）负责全州语言文字管理工作，指导县（市）民族宗教事务委员会（民族语言文字工作委员会）工作。</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县级以上人民政府教育、卫生计生、文化和新闻出版广电、人力资源和社会保障、工商行政管理、旅游、交通运输、经济和信息化等部门在各自职责范围内负责语言文字管理相关工作。</w:t>
      </w:r>
    </w:p>
    <w:p>
      <w:pPr>
        <w:pStyle w:val="Normal"/>
        <w:widowControl/>
        <w:shd w:fill="FFFFFF" w:val="clear"/>
        <w:spacing w:lineRule="exact" w:line="560"/>
        <w:ind w:firstLine="640" w:end="0"/>
        <w:rPr/>
      </w:pPr>
      <w:r>
        <w:rPr>
          <w:rFonts w:ascii="黑体;SimHei" w:hAnsi="黑体;SimHei" w:cs="黑体;SimHei" w:hint="eastAsia" w:eastAsia="黑体;SimHei"/>
          <w:color w:val="000000"/>
          <w:kern w:val="0"/>
          <w:sz w:val="32"/>
          <w:szCs w:val="32"/>
        </w:rPr>
        <w:t>第六条</w:t>
      </w:r>
      <w:r>
        <w:rPr>
          <w:rFonts w:ascii="仿宋" w:hAnsi="仿宋" w:cs="仿宋" w:hint="eastAsia" w:eastAsia="仿宋"/>
          <w:color w:val="000000"/>
          <w:kern w:val="0"/>
          <w:sz w:val="32"/>
          <w:szCs w:val="32"/>
        </w:rPr>
        <w:t xml:space="preserve">  </w:t>
      </w:r>
      <w:r>
        <w:rPr>
          <w:rFonts w:ascii="仿宋_GB2312" w:hAnsi="仿宋_GB2312" w:cs="仿宋" w:hint="eastAsia" w:eastAsia="仿宋_GB2312"/>
          <w:color w:val="000000"/>
          <w:kern w:val="0"/>
          <w:sz w:val="32"/>
          <w:szCs w:val="32"/>
        </w:rPr>
        <w:t>国家通用语言文字、蒙古语言文字、维吾尔语言文字为自治州通用语言文字。</w:t>
      </w:r>
    </w:p>
    <w:p>
      <w:pPr>
        <w:pStyle w:val="Normal"/>
        <w:widowControl/>
        <w:shd w:fill="FFFFFF" w:val="clear"/>
        <w:spacing w:lineRule="exact" w:line="560"/>
        <w:ind w:firstLine="630" w:end="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p>
      <w:pPr>
        <w:pStyle w:val="Normal"/>
        <w:widowControl/>
        <w:shd w:fill="FFFFFF" w:val="clear"/>
        <w:spacing w:lineRule="exact" w:line="560"/>
        <w:ind w:hanging="1290" w:start="1290" w:end="0"/>
        <w:jc w:val="center"/>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kern w:val="0"/>
          <w:sz w:val="32"/>
          <w:szCs w:val="32"/>
        </w:rPr>
        <w:t>第二章  管理职责</w:t>
      </w:r>
    </w:p>
    <w:p>
      <w:pPr>
        <w:pStyle w:val="Normal"/>
        <w:widowControl/>
        <w:shd w:fill="FFFFFF" w:val="clear"/>
        <w:spacing w:lineRule="exact" w:line="56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 xml:space="preserve">        </w:t>
      </w:r>
    </w:p>
    <w:p>
      <w:pPr>
        <w:pStyle w:val="Normal"/>
        <w:widowControl/>
        <w:shd w:fill="FFFFFF" w:val="clear"/>
        <w:spacing w:lineRule="exact" w:line="560"/>
        <w:ind w:firstLine="627" w:end="0"/>
        <w:rPr/>
      </w:pPr>
      <w:r>
        <w:rPr>
          <w:rFonts w:ascii="黑体;SimHei" w:hAnsi="黑体;SimHei" w:cs="黑体;SimHei" w:hint="eastAsia" w:eastAsia="黑体;SimHei"/>
          <w:color w:val="000000"/>
          <w:kern w:val="0"/>
          <w:sz w:val="32"/>
          <w:szCs w:val="32"/>
        </w:rPr>
        <w:t>第七条</w:t>
      </w:r>
      <w:r>
        <w:rPr>
          <w:rFonts w:ascii="仿宋" w:hAnsi="仿宋" w:cs="仿宋" w:hint="eastAsia" w:eastAsia="仿宋"/>
          <w:color w:val="000000"/>
          <w:kern w:val="0"/>
          <w:sz w:val="32"/>
          <w:szCs w:val="32"/>
        </w:rPr>
        <w:t xml:space="preserve">  </w:t>
      </w:r>
      <w:r>
        <w:rPr>
          <w:rFonts w:ascii="仿宋_GB2312" w:hAnsi="仿宋_GB2312" w:cs="仿宋" w:hint="eastAsia" w:eastAsia="仿宋_GB2312"/>
          <w:color w:val="000000"/>
          <w:kern w:val="0"/>
          <w:sz w:val="32"/>
          <w:szCs w:val="32"/>
        </w:rPr>
        <w:t>县级以上人民政府在开展语言文字工作中应当履行以下职责：</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（一）宣传、贯彻、执行国家、自治区、自治州语言文字法律、法规、政策，保证本条例的实施；</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（二）研究解决语言文字工作中的重大事项；</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（三）制定语言文字发展规划；</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（四）统筹翻译力量，合理配备翻译人员，依法保障翻译人员待遇。在少数民族人口比较集中的乡（镇、场）、街道办事处至少配备一名专职翻译人员；</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（五）给予以蒙古语言文字授课为主的少数民族学校政策、资金等方面的扶持。</w:t>
      </w:r>
    </w:p>
    <w:p>
      <w:pPr>
        <w:pStyle w:val="Normal"/>
        <w:widowControl/>
        <w:shd w:fill="FFFFFF" w:val="clear"/>
        <w:spacing w:lineRule="exact" w:line="560"/>
        <w:ind w:firstLine="627" w:end="0"/>
        <w:rPr/>
      </w:pPr>
      <w:r>
        <w:rPr>
          <w:rFonts w:ascii="黑体;SimHei" w:hAnsi="黑体;SimHei" w:cs="黑体;SimHei" w:hint="eastAsia" w:eastAsia="黑体;SimHei"/>
          <w:color w:val="000000"/>
          <w:kern w:val="0"/>
          <w:sz w:val="32"/>
          <w:szCs w:val="32"/>
        </w:rPr>
        <w:t>第八条</w:t>
      </w:r>
      <w:r>
        <w:rPr>
          <w:rFonts w:ascii="仿宋" w:hAnsi="仿宋" w:cs="仿宋" w:hint="eastAsia" w:eastAsia="仿宋"/>
          <w:color w:val="000000"/>
          <w:kern w:val="0"/>
          <w:sz w:val="32"/>
          <w:szCs w:val="32"/>
        </w:rPr>
        <w:t xml:space="preserve">  </w:t>
      </w:r>
      <w:r>
        <w:rPr>
          <w:rFonts w:ascii="仿宋_GB2312" w:hAnsi="仿宋_GB2312" w:cs="仿宋" w:hint="eastAsia" w:eastAsia="仿宋_GB2312"/>
          <w:color w:val="000000"/>
          <w:kern w:val="0"/>
          <w:sz w:val="32"/>
          <w:szCs w:val="32"/>
        </w:rPr>
        <w:t>县级以上人民政府民族宗教事务委员会（民族语言文字工作委员会）应当履行以下职责</w:t>
      </w:r>
      <w:r>
        <w:rPr>
          <w:rFonts w:eastAsia="仿宋_GB2312" w:cs="仿宋" w:hint="eastAsia" w:ascii="仿宋_GB2312" w:hAnsi="仿宋_GB2312"/>
          <w:color w:val="000000"/>
          <w:kern w:val="0"/>
          <w:sz w:val="32"/>
          <w:szCs w:val="32"/>
        </w:rPr>
        <w:t xml:space="preserve">:  </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（一）管理、监督本行政区域内语言文字的使用和翻译工作；</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（二）加强翻译人才队伍建设，组织开展翻译人员的培训、教育、资质审核和职称评定工作，提高翻译工作水平；</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（三）加强自治州通用语言文字规范化、标准化、信息化建设，实行分类指导，组织实施语言文字正字、正音的培训和测试；</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（四）鼓励各民族之间互学语言文字，会同人社、教育部门制定双语学习工作发展规划和具体措施，承办双语学习表彰奖励事项；</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（五）做好语言文字工作中的材料收集、整理、利用、研究和立卷归档；</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（六）承办涉及语言文字工作的其他事项。</w:t>
      </w:r>
    </w:p>
    <w:p>
      <w:pPr>
        <w:pStyle w:val="Normal"/>
        <w:widowControl/>
        <w:shd w:fill="FFFFFF" w:val="clear"/>
        <w:spacing w:lineRule="exact" w:line="560"/>
        <w:ind w:firstLine="640" w:end="0"/>
        <w:rPr/>
      </w:pPr>
      <w:r>
        <w:rPr>
          <w:rFonts w:ascii="黑体;SimHei" w:hAnsi="黑体;SimHei" w:cs="黑体;SimHei" w:hint="eastAsia" w:eastAsia="黑体;SimHei"/>
          <w:color w:val="000000"/>
          <w:kern w:val="0"/>
          <w:sz w:val="32"/>
          <w:szCs w:val="32"/>
        </w:rPr>
        <w:t>第九条</w:t>
      </w:r>
      <w:r>
        <w:rPr>
          <w:rFonts w:ascii="仿宋" w:hAnsi="仿宋" w:cs="仿宋" w:hint="eastAsia" w:eastAsia="仿宋"/>
          <w:color w:val="000000"/>
          <w:kern w:val="0"/>
          <w:sz w:val="32"/>
          <w:szCs w:val="32"/>
        </w:rPr>
        <w:t xml:space="preserve">  </w:t>
      </w:r>
      <w:r>
        <w:rPr>
          <w:rFonts w:ascii="仿宋_GB2312" w:hAnsi="仿宋_GB2312" w:cs="仿宋" w:hint="eastAsia" w:eastAsia="仿宋_GB2312"/>
          <w:color w:val="000000"/>
          <w:kern w:val="0"/>
          <w:sz w:val="32"/>
          <w:szCs w:val="32"/>
        </w:rPr>
        <w:t>教育行政部门应当加强中小学双语教育，培养双语人才。</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学前和中小学双语教育应当坚持国家通用语言文字和少数民族语言文字教学并行的原则，严格执行自治区双语教育课程设置方案和各学科课程标准。完成义务教育的少数民族学生应当熟练使用国家通用语言文字。</w:t>
      </w:r>
    </w:p>
    <w:p>
      <w:pPr>
        <w:pStyle w:val="Normal"/>
        <w:widowControl/>
        <w:shd w:fill="FFFFFF" w:val="clear"/>
        <w:spacing w:lineRule="exact" w:line="560"/>
        <w:ind w:firstLine="640" w:end="0"/>
        <w:rPr/>
      </w:pPr>
      <w:r>
        <w:rPr>
          <w:rFonts w:ascii="仿宋_GB2312" w:hAnsi="仿宋_GB2312" w:cs="仿宋" w:hint="eastAsia" w:eastAsia="仿宋_GB2312"/>
          <w:color w:val="000000"/>
          <w:kern w:val="0"/>
          <w:sz w:val="32"/>
          <w:szCs w:val="32"/>
        </w:rPr>
        <w:t>在少数民族聚居的地方，可按需适当保留少数民族语言授课普通班。鼓励以国家通用语言文字授课为主的中小学开设少数民族母语课程。</w:t>
      </w:r>
    </w:p>
    <w:p>
      <w:pPr>
        <w:pStyle w:val="Normal"/>
        <w:widowControl/>
        <w:shd w:fill="FFFFFF" w:val="clear"/>
        <w:spacing w:lineRule="exact" w:line="560"/>
        <w:ind w:firstLine="640" w:end="0"/>
        <w:rPr/>
      </w:pPr>
      <w:r>
        <w:rPr>
          <w:rFonts w:ascii="黑体;SimHei" w:hAnsi="黑体;SimHei" w:cs="黑体;SimHei" w:hint="eastAsia" w:eastAsia="黑体;SimHei"/>
          <w:color w:val="000000"/>
          <w:kern w:val="0"/>
          <w:sz w:val="32"/>
          <w:szCs w:val="32"/>
        </w:rPr>
        <w:t>第十条</w:t>
      </w:r>
      <w:r>
        <w:rPr>
          <w:rFonts w:ascii="仿宋" w:hAnsi="仿宋" w:cs="仿宋" w:hint="eastAsia" w:eastAsia="仿宋"/>
          <w:color w:val="000000"/>
          <w:kern w:val="0"/>
          <w:sz w:val="32"/>
          <w:szCs w:val="32"/>
        </w:rPr>
        <w:t xml:space="preserve">  </w:t>
      </w:r>
      <w:r>
        <w:rPr>
          <w:rFonts w:ascii="仿宋_GB2312" w:hAnsi="仿宋_GB2312" w:cs="仿宋" w:hint="eastAsia" w:eastAsia="仿宋_GB2312"/>
          <w:color w:val="000000"/>
          <w:kern w:val="0"/>
          <w:sz w:val="32"/>
          <w:szCs w:val="32"/>
        </w:rPr>
        <w:t>文化和新闻出版广电部门应当加强少数民族语言文字报刊、教材、图书、文化古籍、文艺作品等编译出版工作；应当编播和创作满足公众需求、内容丰富的少数民族节目、影视作品，增加播放次数。</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重视以蒙古语言文字为主的少数民族语言广播、电视、电影事业的发展，保障与少数民族广播电视、报刊、图书出版、网络建设发展相适应的投资和补贴。</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在报刊杂志、电视、广播、网络等媒体上开设双语学习专栏或者少数民族语言文字学习栏目。</w:t>
      </w:r>
    </w:p>
    <w:p>
      <w:pPr>
        <w:pStyle w:val="Normal"/>
        <w:widowControl/>
        <w:shd w:fill="FFFFFF" w:val="clear"/>
        <w:spacing w:lineRule="exact" w:line="560"/>
        <w:ind w:firstLine="627" w:end="0"/>
        <w:rPr/>
      </w:pPr>
      <w:r>
        <w:rPr>
          <w:rFonts w:ascii="黑体;SimHei" w:hAnsi="黑体;SimHei" w:cs="仿宋" w:hint="eastAsia" w:eastAsia="黑体;SimHei"/>
          <w:color w:val="000000"/>
          <w:kern w:val="0"/>
          <w:sz w:val="32"/>
          <w:szCs w:val="32"/>
        </w:rPr>
        <w:t xml:space="preserve">第十一条  </w:t>
      </w:r>
      <w:r>
        <w:rPr>
          <w:rFonts w:ascii="仿宋_GB2312" w:hAnsi="仿宋_GB2312" w:cs="仿宋" w:hint="eastAsia" w:eastAsia="仿宋_GB2312"/>
          <w:color w:val="000000"/>
          <w:kern w:val="0"/>
          <w:sz w:val="32"/>
          <w:szCs w:val="32"/>
        </w:rPr>
        <w:t>机关、团体、企业和事业单位应当培养少数民族语言文字的翻译、编辑、教学、科研和管理人才。根据实际需要配备少数民族语言文字翻译人员。</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第十二条</w:t>
      </w:r>
      <w:r>
        <w:rPr>
          <w:rFonts w:ascii="仿宋_GB2312" w:hAnsi="仿宋_GB2312" w:cs="仿宋" w:hint="eastAsia" w:eastAsia="仿宋_GB2312"/>
          <w:color w:val="000000"/>
          <w:kern w:val="0"/>
          <w:sz w:val="32"/>
          <w:szCs w:val="32"/>
        </w:rPr>
        <w:t xml:space="preserve">  民政、公安、住建、旅游、商业、工商、税务、邮政、通信、铁路、交通、民航、电力、银行、保险、医院等在提供公共服务时，应当规范使用自治州通用语言文字。          </w:t>
      </w:r>
    </w:p>
    <w:p>
      <w:pPr>
        <w:pStyle w:val="Normal"/>
        <w:widowControl/>
        <w:shd w:fill="FFFFFF" w:val="clear"/>
        <w:spacing w:lineRule="exact" w:line="560"/>
        <w:ind w:firstLine="192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p>
    <w:p>
      <w:pPr>
        <w:pStyle w:val="Normal"/>
        <w:widowControl/>
        <w:shd w:fill="FFFFFF" w:val="clear"/>
        <w:spacing w:lineRule="exact" w:line="560"/>
        <w:ind w:hanging="1290" w:start="1290" w:end="0"/>
        <w:jc w:val="center"/>
        <w:rPr>
          <w:rFonts w:ascii="黑体;SimHei" w:hAnsi="黑体;SimHei" w:eastAsia="黑体;SimHei" w:cs="仿宋" w:hint="eastAsia"/>
          <w:color w:val="000000"/>
          <w:kern w:val="0"/>
          <w:sz w:val="32"/>
          <w:szCs w:val="32"/>
        </w:rPr>
      </w:pPr>
      <w:r>
        <w:rPr>
          <w:rFonts w:ascii="黑体;SimHei" w:hAnsi="黑体;SimHei" w:cs="仿宋" w:hint="eastAsia" w:eastAsia="黑体;SimHei"/>
          <w:color w:val="000000"/>
          <w:kern w:val="0"/>
          <w:sz w:val="32"/>
          <w:szCs w:val="32"/>
        </w:rPr>
        <w:t>第三章  规范使用</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第十三条</w:t>
      </w:r>
      <w:r>
        <w:rPr>
          <w:rFonts w:ascii="仿宋_GB2312" w:hAnsi="仿宋_GB2312" w:cs="仿宋" w:hint="eastAsia" w:eastAsia="仿宋_GB2312"/>
          <w:color w:val="000000"/>
          <w:kern w:val="0"/>
          <w:sz w:val="32"/>
          <w:szCs w:val="32"/>
        </w:rPr>
        <w:t xml:space="preserve">  机关、团体、企业和事业单位应当在本部门、本系统、本行业内规范使用自治州通用语言文字。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自治州各民族公民应当学习使用国家通用语言文字和少数民族语言文字。</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第十四条</w:t>
      </w:r>
      <w:r>
        <w:rPr>
          <w:rFonts w:ascii="仿宋_GB2312" w:hAnsi="仿宋_GB2312" w:cs="仿宋" w:hint="eastAsia" w:eastAsia="仿宋_GB2312"/>
          <w:color w:val="000000"/>
          <w:kern w:val="0"/>
          <w:sz w:val="32"/>
          <w:szCs w:val="32"/>
        </w:rPr>
        <w:t xml:space="preserve">  自治州的自治机关执行职务时，应当使用自治州通用语言文字。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执行职务时，蒙古语言文字、维吾尔语言文字与国家通用语言文字具有同等效力。</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法律法规对使用其他少数民族语言文字另有规定的，从其规定。</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第十五条</w:t>
      </w:r>
      <w:r>
        <w:rPr>
          <w:rFonts w:ascii="仿宋_GB2312" w:hAnsi="仿宋_GB2312" w:cs="仿宋" w:hint="eastAsia" w:eastAsia="仿宋_GB2312"/>
          <w:color w:val="000000"/>
          <w:kern w:val="0"/>
          <w:sz w:val="32"/>
          <w:szCs w:val="32"/>
        </w:rPr>
        <w:t xml:space="preserve">  自治州召开一类会议时，应当使用自治州通用语言文字。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自治州行政区域内召开的各种会议，应当为不通晓国家通用语言文字的公民提供翻译。</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自治州行政区域内召开以少数民族公民为主的会议，应当使用少数民族语言文字，同时为不通晓少数民族语言文字的公民提供翻译。</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第十六条</w:t>
      </w:r>
      <w:r>
        <w:rPr>
          <w:rFonts w:ascii="仿宋_GB2312" w:hAnsi="仿宋_GB2312" w:cs="仿宋" w:hint="eastAsia" w:eastAsia="仿宋_GB2312"/>
          <w:color w:val="000000"/>
          <w:kern w:val="0"/>
          <w:sz w:val="32"/>
          <w:szCs w:val="32"/>
        </w:rPr>
        <w:t xml:space="preserve">  乡（镇）以上人民代表大会和村（居）民委员会的换届选举，印制选民证、选民名单、候选人名单、选票、当选证书等文本，在使用国家通用语言文字和蒙古语言文字的同时，根据需要选用其他少数民族语言文字中的一种。</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 xml:space="preserve">第十七条  </w:t>
      </w:r>
      <w:r>
        <w:rPr>
          <w:rFonts w:ascii="仿宋_GB2312" w:hAnsi="仿宋_GB2312" w:cs="仿宋" w:hint="eastAsia" w:eastAsia="仿宋_GB2312"/>
          <w:color w:val="000000"/>
          <w:kern w:val="0"/>
          <w:sz w:val="32"/>
          <w:szCs w:val="32"/>
        </w:rPr>
        <w:t>人民法院、人民检察院应当使用自治州通用语言文字办理案件，对不通晓自治州通用语言文字的诉讼参与人，应当为其提供翻译。</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法律文书应当根据实际需要使用自治州通用的一种或者几种文字。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公开发布的法律文书、公告、布告应当使用本条例规定的语言文字。</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第十八条</w:t>
      </w:r>
      <w:r>
        <w:rPr>
          <w:rFonts w:ascii="仿宋_GB2312" w:hAnsi="仿宋_GB2312" w:cs="仿宋" w:hint="eastAsia" w:eastAsia="仿宋_GB2312"/>
          <w:color w:val="000000"/>
          <w:kern w:val="0"/>
          <w:sz w:val="32"/>
          <w:szCs w:val="32"/>
        </w:rPr>
        <w:t xml:space="preserve">  有下列情形之一的，应当在使用规范国家通用语言文字、蒙古语言文字的同时，根据需要选用其他通用语言文字。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（一）单位名称、门牌、印章、证件、公文和印有单位名称的信笺、信封等用字；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（二）公共场所、公用设施以及公共服务行业的名称牌、指示牌、标识牌、招牌、说明书、宣传材料等用字；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（三）公益广告等用字；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（四）自治州行政区域内地名用字，县（市、管理委员会）和乡（镇、场）、村（队）界线上设立的界桩用字；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（五）铁路、公路、民航站名等用字；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（六）其他社会用字。</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第十九条</w:t>
      </w:r>
      <w:r>
        <w:rPr>
          <w:rFonts w:ascii="仿宋_GB2312" w:hAnsi="仿宋_GB2312" w:cs="仿宋" w:hint="eastAsia" w:eastAsia="仿宋_GB2312"/>
          <w:color w:val="000000"/>
          <w:kern w:val="0"/>
          <w:sz w:val="32"/>
          <w:szCs w:val="32"/>
        </w:rPr>
        <w:t xml:space="preserve">  自治州行政区域内通用文字同时使用时，应当按照下列顺序排列。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汉文和蒙古文并用时，上下排列的，蒙古文在上、汉文在下；左右排列的，蒙古文在左、汉文在右；环形排列的，蒙古文在外环、汉文在内环，或者蒙古文在左半环、汉文在右半环。</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汉文和维吾尔文字并用时，上下排列的，维吾尔文在上、汉文在下；左右排列的，维吾尔文在右、汉文在左；环形排列的，维吾尔文在外环、汉文在内环，或者维吾尔文在右半环、汉文在左半环。</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汉文、蒙古文、维吾尔文三种文字并用时，上下排列的，蒙古文在上、维吾尔文在下、汉文居中，或者蒙古文在左上、维吾尔文在右上、汉文在下；左右排列的，蒙古文在左、维吾尔文在右、汉文居中。</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公章的刻制，蒙古文在左、汉文在右，或者蒙古文在外环、汉文在内环。</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同时使用自治州通用文字时，应当使用规范、大小相称、翻译和书写准确，比例为</w:t>
      </w:r>
      <w:r>
        <w:rPr>
          <w:rFonts w:eastAsia="仿宋_GB2312" w:cs="仿宋" w:hint="eastAsia" w:ascii="仿宋_GB2312" w:hAnsi="仿宋_GB2312"/>
          <w:color w:val="000000"/>
          <w:kern w:val="0"/>
          <w:sz w:val="32"/>
          <w:szCs w:val="32"/>
        </w:rPr>
        <w:t>1:1</w:t>
      </w:r>
      <w:r>
        <w:rPr>
          <w:rFonts w:ascii="仿宋_GB2312" w:hAnsi="仿宋_GB2312" w:cs="仿宋" w:hint="eastAsia" w:eastAsia="仿宋_GB2312"/>
          <w:color w:val="000000"/>
          <w:kern w:val="0"/>
          <w:sz w:val="32"/>
          <w:szCs w:val="32"/>
        </w:rPr>
        <w:t>。</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第二十条</w:t>
      </w:r>
      <w:r>
        <w:rPr>
          <w:rFonts w:ascii="仿宋_GB2312" w:hAnsi="仿宋_GB2312" w:cs="仿宋" w:hint="eastAsia" w:eastAsia="仿宋_GB2312"/>
          <w:color w:val="000000"/>
          <w:kern w:val="0"/>
          <w:sz w:val="32"/>
          <w:szCs w:val="32"/>
        </w:rPr>
        <w:t xml:space="preserve">  机关、团体、企业和事业单位，应当使用经自治区语言文字管理机构审定并公布的正字法、正音法、名词术语、人名、地名，执行有关语言文字的规定。</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凡以少数民族语言称谓的人名、地名的国家通用语言文字译写，应当根据自治区有关规定执行。</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上级部门未规定蒙古语言文字人名、地名音译标准的，由自治州人民政府民族宗教事务委员会（民族语言文字工作委员会）负责制定。  </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第二十一条</w:t>
      </w:r>
      <w:r>
        <w:rPr>
          <w:rFonts w:ascii="仿宋_GB2312" w:hAnsi="仿宋_GB2312" w:cs="仿宋" w:hint="eastAsia" w:eastAsia="仿宋_GB2312"/>
          <w:color w:val="000000"/>
          <w:kern w:val="0"/>
          <w:sz w:val="32"/>
          <w:szCs w:val="32"/>
        </w:rPr>
        <w:t xml:space="preserve">  机关、团体、企业和事业单位在制作名称标牌时，应当将文字式样送语言文字管理部门翻译，或者经语言文字管理部门核对后再进行制作。制作印章时，应当持语言文字管理部门核对后的材料到公安部门备案。  </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第二十二条</w:t>
      </w:r>
      <w:r>
        <w:rPr>
          <w:rFonts w:ascii="仿宋_GB2312" w:hAnsi="仿宋_GB2312" w:cs="仿宋" w:hint="eastAsia" w:eastAsia="仿宋_GB2312"/>
          <w:color w:val="000000"/>
          <w:kern w:val="0"/>
          <w:sz w:val="32"/>
          <w:szCs w:val="32"/>
        </w:rPr>
        <w:t xml:space="preserve">  从事语言文字翻译、广告牌匾制作的组织、个人应当执行本条例有关语言文字的规定，接受当地语言文字管理部门的监督管理。</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第二十三条</w:t>
      </w:r>
      <w:r>
        <w:rPr>
          <w:rFonts w:ascii="仿宋_GB2312" w:hAnsi="仿宋_GB2312" w:cs="仿宋" w:hint="eastAsia" w:eastAsia="仿宋_GB2312"/>
          <w:color w:val="000000"/>
          <w:kern w:val="0"/>
          <w:sz w:val="32"/>
          <w:szCs w:val="32"/>
        </w:rPr>
        <w:t xml:space="preserve">  企业名称牌匾、广告不得单独使用外国文字。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外商投资企业可依法使用外国企业字号，但应当翻译成规范的国家通用语言文字、蒙古文字。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公共场所设施，需要使用外国文字的，应当同时使用规范的国家通用语言文字、蒙古文字。</w:t>
      </w:r>
    </w:p>
    <w:p>
      <w:pPr>
        <w:pStyle w:val="Normal"/>
        <w:widowControl/>
        <w:shd w:fill="FFFFFF" w:val="clear"/>
        <w:spacing w:lineRule="exact" w:line="560"/>
        <w:ind w:firstLine="64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p>
    <w:p>
      <w:pPr>
        <w:pStyle w:val="Normal"/>
        <w:widowControl/>
        <w:shd w:fill="FFFFFF" w:val="clear"/>
        <w:spacing w:lineRule="exact" w:line="560"/>
        <w:ind w:hanging="1290" w:start="1290" w:end="0"/>
        <w:jc w:val="center"/>
        <w:rPr>
          <w:rFonts w:ascii="黑体;SimHei" w:hAnsi="黑体;SimHei" w:eastAsia="黑体;SimHei" w:cs="仿宋" w:hint="eastAsia"/>
          <w:color w:val="000000"/>
          <w:kern w:val="0"/>
          <w:sz w:val="32"/>
          <w:szCs w:val="32"/>
        </w:rPr>
      </w:pPr>
      <w:r>
        <w:rPr>
          <w:rFonts w:ascii="黑体;SimHei" w:hAnsi="黑体;SimHei" w:cs="仿宋" w:hint="eastAsia" w:eastAsia="黑体;SimHei"/>
          <w:color w:val="000000"/>
          <w:kern w:val="0"/>
          <w:sz w:val="32"/>
          <w:szCs w:val="32"/>
        </w:rPr>
        <w:t>第四章  法律责任</w:t>
      </w:r>
    </w:p>
    <w:p>
      <w:pPr>
        <w:pStyle w:val="Normal"/>
        <w:widowControl/>
        <w:shd w:fill="FFFFFF" w:val="clear"/>
        <w:spacing w:lineRule="exact" w:line="56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第二十四条</w:t>
      </w:r>
      <w:r>
        <w:rPr>
          <w:rFonts w:ascii="仿宋_GB2312" w:hAnsi="仿宋_GB2312" w:cs="仿宋" w:hint="eastAsia" w:eastAsia="仿宋_GB2312"/>
          <w:color w:val="000000"/>
          <w:kern w:val="0"/>
          <w:sz w:val="32"/>
          <w:szCs w:val="32"/>
        </w:rPr>
        <w:t xml:space="preserve">  机关、团体和事业单位违反本条例规定的，由县级以上人民政府民族宗教事务委员会（民族语言文字工作委员会）责令其限期改正；逾期未改正的，予以通报批评，并依法追究其主管责任人和直接责任人的责任。</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第二十五条</w:t>
      </w:r>
      <w:r>
        <w:rPr>
          <w:rFonts w:ascii="仿宋_GB2312" w:hAnsi="仿宋_GB2312" w:cs="仿宋" w:hint="eastAsia" w:eastAsia="仿宋_GB2312"/>
          <w:color w:val="000000"/>
          <w:kern w:val="0"/>
          <w:sz w:val="32"/>
          <w:szCs w:val="32"/>
        </w:rPr>
        <w:t xml:space="preserve">  其他组织和个人违反本条例第十九条、第二十条、第二十二条、第二十三条、第二十四条规定的，由县级以上人民政府民族宗教事务委员会（民族语言文字工作委员会）予以警告，并责令其限期改正；逾期未改正的，依法没收非法财物，并可处以二百元以上两千元以下罚款，有违法所得的，依法没收违法所得；情节严重的，处以五百元以上五千元以下罚款，并可以由有关部门责令停产停业、吊销或者暂扣有关许可证。</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第二十六条</w:t>
      </w:r>
      <w:r>
        <w:rPr>
          <w:rFonts w:ascii="仿宋_GB2312" w:hAnsi="仿宋_GB2312" w:cs="仿宋" w:hint="eastAsia" w:eastAsia="仿宋_GB2312"/>
          <w:color w:val="000000"/>
          <w:kern w:val="0"/>
          <w:sz w:val="32"/>
          <w:szCs w:val="32"/>
        </w:rPr>
        <w:t xml:space="preserve">  民族宗教事务委员会（民族语言文字工作委员会）及其他相关部门及其工作人员滥用职权、玩忽职守、徇私舞弊的，由其所在单位或者上级机关责令改正，对主管责任人和直接责任人依法给予处分；构成犯罪的，依法追究刑事责任。</w:t>
      </w:r>
    </w:p>
    <w:p>
      <w:pPr>
        <w:pStyle w:val="Normal"/>
        <w:widowControl/>
        <w:shd w:fill="FFFFFF" w:val="clear"/>
        <w:spacing w:lineRule="exact" w:line="560"/>
        <w:ind w:firstLine="640" w:end="0"/>
        <w:rPr/>
      </w:pPr>
      <w:r>
        <w:rPr>
          <w:rFonts w:ascii="黑体;SimHei" w:hAnsi="黑体;SimHei" w:cs="仿宋" w:hint="eastAsia" w:eastAsia="黑体;SimHei"/>
          <w:color w:val="000000"/>
          <w:kern w:val="0"/>
          <w:sz w:val="32"/>
          <w:szCs w:val="32"/>
        </w:rPr>
        <w:t>第二十七条</w:t>
      </w:r>
      <w:r>
        <w:rPr>
          <w:rFonts w:ascii="仿宋_GB2312" w:hAnsi="仿宋_GB2312" w:cs="仿宋" w:hint="eastAsia" w:eastAsia="仿宋_GB2312"/>
          <w:color w:val="000000"/>
          <w:kern w:val="0"/>
          <w:sz w:val="32"/>
          <w:szCs w:val="32"/>
        </w:rPr>
        <w:t xml:space="preserve">  对依照本条例作出的行政处罚不服的，可以依法申请行政复议或者提起行政诉讼。</w:t>
      </w:r>
    </w:p>
    <w:p>
      <w:pPr>
        <w:pStyle w:val="Normal"/>
        <w:widowControl/>
        <w:shd w:fill="FFFFFF" w:val="clear"/>
        <w:spacing w:lineRule="exact" w:line="56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p>
    <w:p>
      <w:pPr>
        <w:pStyle w:val="Normal"/>
        <w:widowControl/>
        <w:shd w:fill="FFFFFF" w:val="clear"/>
        <w:spacing w:lineRule="exact" w:line="560"/>
        <w:jc w:val="center"/>
        <w:rPr>
          <w:rFonts w:ascii="黑体;SimHei" w:hAnsi="黑体;SimHei" w:eastAsia="黑体;SimHei" w:cs="仿宋" w:hint="eastAsia"/>
          <w:color w:val="000000"/>
          <w:kern w:val="0"/>
          <w:sz w:val="32"/>
          <w:szCs w:val="32"/>
        </w:rPr>
      </w:pPr>
      <w:r>
        <w:rPr>
          <w:rFonts w:ascii="黑体;SimHei" w:hAnsi="黑体;SimHei" w:cs="仿宋" w:hint="eastAsia" w:eastAsia="黑体;SimHei"/>
          <w:color w:val="000000"/>
          <w:kern w:val="0"/>
          <w:sz w:val="32"/>
          <w:szCs w:val="32"/>
        </w:rPr>
        <w:t>第五章  附  则</w:t>
      </w:r>
    </w:p>
    <w:p>
      <w:pPr>
        <w:pStyle w:val="Normal"/>
        <w:widowControl/>
        <w:shd w:fill="FFFFFF" w:val="clear"/>
        <w:spacing w:lineRule="exact" w:line="56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p>
    <w:p>
      <w:pPr>
        <w:pStyle w:val="Normal"/>
        <w:widowControl/>
        <w:shd w:fill="FFFFFF" w:val="clear"/>
        <w:spacing w:lineRule="exact" w:line="560"/>
        <w:rPr/>
      </w:pPr>
      <w:r>
        <w:rPr>
          <w:rFonts w:eastAsia="黑体;SimHei" w:cs="仿宋" w:hint="eastAsia" w:ascii="黑体;SimHei" w:hAnsi="黑体;SimHei"/>
          <w:color w:val="000000"/>
          <w:kern w:val="0"/>
          <w:sz w:val="32"/>
          <w:szCs w:val="32"/>
        </w:rPr>
        <w:t xml:space="preserve">    </w:t>
      </w:r>
      <w:r>
        <w:rPr>
          <w:rFonts w:ascii="黑体;SimHei" w:hAnsi="黑体;SimHei" w:cs="仿宋" w:hint="eastAsia" w:eastAsia="黑体;SimHei"/>
          <w:color w:val="000000"/>
          <w:kern w:val="0"/>
          <w:sz w:val="32"/>
          <w:szCs w:val="32"/>
        </w:rPr>
        <w:t>第二十八条</w:t>
      </w:r>
      <w:r>
        <w:rPr>
          <w:rFonts w:ascii="仿宋_GB2312" w:hAnsi="仿宋_GB2312" w:cs="仿宋" w:hint="eastAsia" w:eastAsia="仿宋_GB2312"/>
          <w:color w:val="000000"/>
          <w:kern w:val="0"/>
          <w:sz w:val="32"/>
          <w:szCs w:val="32"/>
        </w:rPr>
        <w:t xml:space="preserve">  本条例自</w:t>
      </w:r>
      <w:r>
        <w:rPr>
          <w:rFonts w:eastAsia="仿宋_GB2312" w:cs="仿宋" w:hint="eastAsia" w:ascii="仿宋_GB2312" w:hAnsi="仿宋_GB2312"/>
          <w:color w:val="000000"/>
          <w:kern w:val="0"/>
          <w:sz w:val="32"/>
          <w:szCs w:val="32"/>
        </w:rPr>
        <w:t>2017</w:t>
      </w:r>
      <w:r>
        <w:rPr>
          <w:rFonts w:ascii="仿宋_GB2312" w:hAnsi="仿宋_GB2312" w:cs="仿宋" w:hint="eastAsia" w:eastAsia="仿宋_GB2312"/>
          <w:color w:val="000000"/>
          <w:kern w:val="0"/>
          <w:sz w:val="32"/>
          <w:szCs w:val="32"/>
        </w:rPr>
        <w:t>年</w:t>
      </w:r>
      <w:r>
        <w:rPr>
          <w:rFonts w:eastAsia="仿宋_GB2312" w:cs="仿宋" w:hint="eastAsia" w:ascii="仿宋_GB2312" w:hAnsi="仿宋_GB2312"/>
          <w:color w:val="000000"/>
          <w:kern w:val="0"/>
          <w:sz w:val="32"/>
          <w:szCs w:val="32"/>
        </w:rPr>
        <w:t>10</w:t>
      </w:r>
      <w:r>
        <w:rPr>
          <w:rFonts w:ascii="仿宋_GB2312" w:hAnsi="仿宋_GB2312" w:cs="仿宋" w:hint="eastAsia" w:eastAsia="仿宋_GB2312"/>
          <w:color w:val="000000"/>
          <w:kern w:val="0"/>
          <w:sz w:val="32"/>
          <w:szCs w:val="32"/>
        </w:rPr>
        <w:t>月</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 xml:space="preserve">日起施行。  </w:t>
      </w:r>
      <w:r>
        <w:rPr>
          <w:rFonts w:ascii="仿宋" w:hAnsi="仿宋" w:cs="仿宋" w:hint="eastAsia" w:eastAsia="仿宋"/>
          <w:color w:val="000000"/>
          <w:kern w:val="0"/>
          <w:sz w:val="32"/>
          <w:szCs w:val="32"/>
        </w:rPr>
        <w:t xml:space="preserve">  </w:t>
      </w:r>
    </w:p>
    <w:p>
      <w:pPr>
        <w:pStyle w:val="Normal"/>
        <w:widowControl/>
        <w:shd w:fill="FFFFFF" w:val="clear"/>
        <w:spacing w:lineRule="exact" w:line="56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p>
      <w:pPr>
        <w:pStyle w:val="Normal"/>
        <w:spacing w:lineRule="exact" w:line="56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sectPr>
      <w:footerReference w:type="default" r:id="rId2"/>
      <w:type w:val="nextPage"/>
      <w:pgSz w:w="11906" w:h="16838"/>
      <w:pgMar w:left="1531" w:right="1531" w:gutter="0" w:header="0" w:top="2155" w:footer="1588" w:bottom="2155"/>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宋体">
    <w:altName w:val="SimSun"/>
    <w:charset w:val="86"/>
    <w:family w:val="auto"/>
    <w:pitch w:val="variable"/>
  </w:font>
  <w:font w:name="方正楷体_GBK">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SimSun" w:hAnsi="宋体;SimSun" w:cs="方正仿宋_GBK" w:hint="eastAsia"/>
                              <w:sz w:val="28"/>
                              <w:szCs w:val="28"/>
                            </w:rPr>
                          </w:pPr>
                          <w:r>
                            <w:rPr>
                              <w:rFonts w:cs="方正仿宋_GBK" w:hint="eastAsia" w:ascii="宋体;SimSun" w:hAnsi="宋体;SimSun"/>
                              <w:sz w:val="28"/>
                              <w:szCs w:val="28"/>
                            </w:rPr>
                            <w:fldChar w:fldCharType="begin"/>
                          </w:r>
                          <w:r>
                            <w:rPr>
                              <w:rFonts w:cs="方正仿宋_GBK" w:hint="eastAsia" w:ascii="宋体;SimSun" w:hAnsi="宋体;SimSun"/>
                              <w:sz w:val="28"/>
                              <w:szCs w:val="28"/>
                            </w:rPr>
                            <w:instrText xml:space="preserve"> PAGE </w:instrText>
                          </w:r>
                          <w:r>
                            <w:rPr>
                              <w:rFonts w:cs="方正仿宋_GBK" w:hint="eastAsia" w:ascii="宋体;SimSun" w:hAnsi="宋体;SimSun"/>
                              <w:sz w:val="28"/>
                              <w:szCs w:val="28"/>
                            </w:rPr>
                            <w:fldChar w:fldCharType="separate"/>
                          </w:r>
                          <w:r>
                            <w:rPr>
                              <w:rFonts w:cs="方正仿宋_GBK" w:hint="eastAsia" w:ascii="宋体;SimSun" w:hAnsi="宋体;SimSun"/>
                              <w:sz w:val="28"/>
                              <w:szCs w:val="28"/>
                            </w:rPr>
                            <w:t>10</w:t>
                          </w:r>
                          <w:r>
                            <w:rPr>
                              <w:rFonts w:cs="方正仿宋_GBK"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SimSun" w:hAnsi="宋体;SimSun" w:cs="方正仿宋_GBK" w:hint="eastAsia"/>
                        <w:sz w:val="28"/>
                        <w:szCs w:val="28"/>
                      </w:rPr>
                    </w:pPr>
                    <w:r>
                      <w:rPr>
                        <w:rFonts w:cs="方正仿宋_GBK" w:hint="eastAsia" w:ascii="宋体;SimSun" w:hAnsi="宋体;SimSun"/>
                        <w:sz w:val="28"/>
                        <w:szCs w:val="28"/>
                      </w:rPr>
                      <w:fldChar w:fldCharType="begin"/>
                    </w:r>
                    <w:r>
                      <w:rPr>
                        <w:rFonts w:cs="方正仿宋_GBK" w:hint="eastAsia" w:ascii="宋体;SimSun" w:hAnsi="宋体;SimSun"/>
                        <w:sz w:val="28"/>
                        <w:szCs w:val="28"/>
                      </w:rPr>
                      <w:instrText xml:space="preserve"> PAGE </w:instrText>
                    </w:r>
                    <w:r>
                      <w:rPr>
                        <w:rFonts w:cs="方正仿宋_GBK" w:hint="eastAsia" w:ascii="宋体;SimSun" w:hAnsi="宋体;SimSun"/>
                        <w:sz w:val="28"/>
                        <w:szCs w:val="28"/>
                      </w:rPr>
                      <w:fldChar w:fldCharType="separate"/>
                    </w:r>
                    <w:r>
                      <w:rPr>
                        <w:rFonts w:cs="方正仿宋_GBK" w:hint="eastAsia" w:ascii="宋体;SimSun" w:hAnsi="宋体;SimSun"/>
                        <w:sz w:val="28"/>
                        <w:szCs w:val="28"/>
                      </w:rPr>
                      <w:t>10</w:t>
                    </w:r>
                    <w:r>
                      <w:rPr>
                        <w:rFonts w:cs="方正仿宋_GBK"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zCs w:val="20"/>
    </w:rPr>
  </w:style>
  <w:style w:type="character" w:styleId="PageNumber">
    <w:name w:val="page number"/>
    <w:basedOn w:val="Style14"/>
    <w:rPr/>
  </w:style>
  <w:style w:type="character" w:styleId="Hyperlink">
    <w:name w:val="Hyperlink"/>
    <w:basedOn w:val="Style14"/>
    <w:rPr>
      <w:color w:val="000000"/>
      <w:u w:val="none"/>
    </w:rPr>
  </w:style>
  <w:style w:type="character" w:styleId="FollowedHyperlink">
    <w:name w:val="FollowedHyperlink"/>
    <w:basedOn w:val="Style14"/>
    <w:rPr>
      <w:color w:val="000000"/>
      <w:u w:val="none"/>
    </w:rPr>
  </w:style>
  <w:style w:type="character" w:styleId="tzinput">
    <w:name w:val="tz_input"/>
    <w:basedOn w:val="Style14"/>
    <w:qFormat/>
    <w:rPr>
      <w:color w:val="A01211"/>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spacing w:before="280" w:after="280"/>
      <w:ind w:hanging="0" w:start="0" w:end="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_Style 1"/>
    <w:basedOn w:val="Normal"/>
    <w:qForma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2015-08-31T16:39:00Z</dcterms:created>
  <dc:creator>Administrator</dc:creator>
  <dc:description/>
  <cp:keywords/>
  <dc:language>en-US</dc:language>
  <cp:lastModifiedBy>Administrator</cp:lastModifiedBy>
  <cp:lastPrinted>2017-06-27T17:37:00Z</cp:lastPrinted>
  <dcterms:modified xsi:type="dcterms:W3CDTF">2022-01-29T13:19:00Z</dcterms:modified>
  <cp:revision>3</cp:revision>
  <dc:subject/>
  <dc:title>博州人常发〔2015〕号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