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宋体;方正书宋_GBK" w:hAnsi="宋体;方正书宋_GBK" w:eastAsia="宋体;方正书宋_GBK" w:cs="宋体;方正书宋_GBK" w:hint="eastAsia"/>
          <w:color w:val="000000"/>
          <w:sz w:val="44"/>
          <w:szCs w:val="44"/>
        </w:rPr>
      </w:pPr>
      <w:r>
        <w:rPr>
          <w:rFonts w:ascii="宋体;方正书宋_GBK" w:hAnsi="宋体;方正书宋_GBK" w:cs="宋体;方正书宋_GBK" w:hint="eastAsia" w:eastAsia="宋体;方正书宋_GBK"/>
          <w:color w:val="000000"/>
          <w:sz w:val="44"/>
          <w:szCs w:val="44"/>
        </w:rPr>
        <w:t>昌吉回族自治州城镇供热条例</w:t>
      </w:r>
    </w:p>
    <w:p>
      <w:pPr>
        <w:pStyle w:val="Normal"/>
        <w:spacing w:lineRule="exact" w:line="560"/>
        <w:jc w:val="center"/>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r>
    </w:p>
    <w:p>
      <w:pPr>
        <w:pStyle w:val="Normal"/>
        <w:spacing w:lineRule="exact" w:line="56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2012</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2</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18</w:t>
      </w:r>
      <w:r>
        <w:rPr>
          <w:rFonts w:ascii="Times New Roman" w:hAnsi="Times New Roman" w:cs="Times New Roman" w:eastAsia="楷体_GB2312"/>
          <w:sz w:val="32"/>
          <w:szCs w:val="32"/>
        </w:rPr>
        <w:t>日昌吉回族自治州第十四届人民代表大会</w:t>
      </w:r>
      <w:r>
        <w:rPr>
          <w:rFonts w:ascii="Times New Roman" w:hAnsi="Times New Roman" w:cs="Times New Roman" w:eastAsia="楷体_GB2312"/>
          <w:spacing w:val="0"/>
          <w:sz w:val="32"/>
          <w:szCs w:val="32"/>
        </w:rPr>
        <w:t xml:space="preserve">第一次会议通过  </w:t>
      </w:r>
      <w:r>
        <w:rPr>
          <w:rFonts w:eastAsia="楷体_GB2312" w:cs="Times New Roman" w:ascii="Times New Roman" w:hAnsi="Times New Roman"/>
          <w:spacing w:val="0"/>
          <w:sz w:val="32"/>
          <w:szCs w:val="32"/>
        </w:rPr>
        <w:t>2012</w:t>
      </w:r>
      <w:r>
        <w:rPr>
          <w:rFonts w:ascii="Times New Roman" w:hAnsi="Times New Roman" w:cs="Times New Roman" w:eastAsia="楷体_GB2312"/>
          <w:spacing w:val="0"/>
          <w:sz w:val="32"/>
          <w:szCs w:val="32"/>
        </w:rPr>
        <w:t>年</w:t>
      </w:r>
      <w:r>
        <w:rPr>
          <w:rFonts w:eastAsia="楷体_GB2312" w:cs="Times New Roman" w:ascii="Times New Roman" w:hAnsi="Times New Roman"/>
          <w:spacing w:val="0"/>
          <w:sz w:val="32"/>
          <w:szCs w:val="32"/>
        </w:rPr>
        <w:t>3</w:t>
      </w:r>
      <w:r>
        <w:rPr>
          <w:rFonts w:ascii="Times New Roman" w:hAnsi="Times New Roman" w:cs="Times New Roman" w:eastAsia="楷体_GB2312"/>
          <w:spacing w:val="0"/>
          <w:sz w:val="32"/>
          <w:szCs w:val="32"/>
        </w:rPr>
        <w:t>月</w:t>
      </w:r>
      <w:r>
        <w:rPr>
          <w:rFonts w:eastAsia="楷体_GB2312" w:cs="Times New Roman" w:ascii="Times New Roman" w:hAnsi="Times New Roman"/>
          <w:spacing w:val="0"/>
          <w:sz w:val="32"/>
          <w:szCs w:val="32"/>
        </w:rPr>
        <w:t>28</w:t>
      </w:r>
      <w:r>
        <w:rPr>
          <w:rFonts w:ascii="Times New Roman" w:hAnsi="Times New Roman" w:cs="Times New Roman" w:eastAsia="楷体_GB2312"/>
          <w:spacing w:val="0"/>
          <w:sz w:val="32"/>
          <w:szCs w:val="32"/>
        </w:rPr>
        <w:t>日新疆维吾尔自治区第十一届人民代表大会常务委员会第三十五次会议批准</w:t>
      </w:r>
      <w:r>
        <w:rPr>
          <w:rFonts w:ascii="Times New Roman" w:hAnsi="Times New Roman" w:cs="Times New Roman" w:eastAsia="楷体_GB2312"/>
          <w:spacing w:val="-6"/>
          <w:sz w:val="32"/>
          <w:szCs w:val="32"/>
        </w:rPr>
        <w:t xml:space="preserve">  </w:t>
      </w:r>
      <w:r>
        <w:rPr>
          <w:rFonts w:eastAsia="楷体_GB2312" w:cs="Times New Roman" w:ascii="Times New Roman" w:hAnsi="Times New Roman"/>
          <w:spacing w:val="-6"/>
          <w:sz w:val="32"/>
          <w:szCs w:val="32"/>
        </w:rPr>
        <w:t>2015</w:t>
      </w:r>
      <w:r>
        <w:rPr>
          <w:rFonts w:ascii="Times New Roman" w:hAnsi="Times New Roman" w:cs="Times New Roman" w:eastAsia="楷体_GB2312"/>
          <w:spacing w:val="-6"/>
          <w:sz w:val="32"/>
          <w:szCs w:val="32"/>
        </w:rPr>
        <w:t>年</w:t>
      </w:r>
      <w:r>
        <w:rPr>
          <w:rFonts w:eastAsia="楷体_GB2312" w:cs="Times New Roman" w:ascii="Times New Roman" w:hAnsi="Times New Roman"/>
          <w:spacing w:val="-6"/>
          <w:sz w:val="32"/>
          <w:szCs w:val="32"/>
        </w:rPr>
        <w:t>2</w:t>
      </w:r>
      <w:r>
        <w:rPr>
          <w:rFonts w:ascii="Times New Roman" w:hAnsi="Times New Roman" w:cs="Times New Roman" w:eastAsia="楷体_GB2312"/>
          <w:spacing w:val="-6"/>
          <w:sz w:val="32"/>
          <w:szCs w:val="32"/>
        </w:rPr>
        <w:t>月</w:t>
      </w:r>
      <w:r>
        <w:rPr>
          <w:rFonts w:eastAsia="楷体_GB2312" w:cs="Times New Roman" w:ascii="Times New Roman" w:hAnsi="Times New Roman"/>
          <w:spacing w:val="-6"/>
          <w:sz w:val="32"/>
          <w:szCs w:val="32"/>
        </w:rPr>
        <w:t>6</w:t>
      </w:r>
      <w:r>
        <w:rPr>
          <w:rFonts w:ascii="Times New Roman" w:hAnsi="Times New Roman" w:cs="Times New Roman" w:eastAsia="楷体_GB2312"/>
          <w:spacing w:val="-6"/>
          <w:sz w:val="32"/>
          <w:szCs w:val="32"/>
        </w:rPr>
        <w:t>日</w:t>
      </w:r>
      <w:r>
        <w:rPr>
          <w:rFonts w:ascii="Times New Roman" w:hAnsi="Times New Roman" w:cs="Times New Roman" w:eastAsia="楷体_GB2312"/>
          <w:spacing w:val="0"/>
          <w:sz w:val="32"/>
          <w:szCs w:val="32"/>
        </w:rPr>
        <w:t>昌吉回族自治州第十四届人民代表大会第四次会议修正</w:t>
      </w:r>
      <w:r>
        <w:rPr>
          <w:rFonts w:cs="Times New Roman" w:hint="eastAsia" w:eastAsia="楷体_GB2312"/>
          <w:spacing w:val="-6"/>
          <w:sz w:val="32"/>
          <w:szCs w:val="32"/>
        </w:rPr>
        <w:t xml:space="preserve">  </w:t>
      </w:r>
      <w:r>
        <w:rPr>
          <w:rFonts w:eastAsia="楷体_GB2312" w:cs="Times New Roman" w:ascii="Times New Roman" w:hAnsi="Times New Roman"/>
          <w:spacing w:val="-6"/>
          <w:sz w:val="32"/>
          <w:szCs w:val="32"/>
        </w:rPr>
        <w:t>2015</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5</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28</w:t>
      </w:r>
      <w:r>
        <w:rPr>
          <w:rFonts w:ascii="Times New Roman" w:hAnsi="Times New Roman" w:cs="Times New Roman" w:eastAsia="楷体_GB2312"/>
          <w:sz w:val="32"/>
          <w:szCs w:val="32"/>
        </w:rPr>
        <w:t xml:space="preserve">日新疆维吾尔自治区第十二届人民代表大会常务委员会第十六次会议批准  </w:t>
      </w:r>
      <w:r>
        <w:rPr>
          <w:rFonts w:eastAsia="楷体_GB2312" w:cs="Times New Roman" w:ascii="Times New Roman" w:hAnsi="Times New Roman"/>
          <w:kern w:val="0"/>
          <w:sz w:val="32"/>
          <w:szCs w:val="32"/>
        </w:rPr>
        <w:t>2022</w:t>
      </w:r>
      <w:r>
        <w:rPr>
          <w:rFonts w:ascii="Times New Roman" w:hAnsi="Times New Roman" w:cs="Times New Roman" w:eastAsia="楷体_GB2312"/>
          <w:kern w:val="0"/>
          <w:sz w:val="32"/>
          <w:szCs w:val="32"/>
        </w:rPr>
        <w:t>年</w:t>
      </w:r>
      <w:r>
        <w:rPr>
          <w:rFonts w:eastAsia="楷体_GB2312" w:cs="Times New Roman" w:ascii="Times New Roman" w:hAnsi="Times New Roman"/>
          <w:kern w:val="0"/>
          <w:sz w:val="32"/>
          <w:szCs w:val="32"/>
        </w:rPr>
        <w:t>1</w:t>
      </w:r>
      <w:r>
        <w:rPr>
          <w:rFonts w:ascii="Times New Roman" w:hAnsi="Times New Roman" w:cs="Times New Roman" w:eastAsia="楷体_GB2312"/>
          <w:kern w:val="0"/>
          <w:sz w:val="32"/>
          <w:szCs w:val="32"/>
        </w:rPr>
        <w:t>月</w:t>
      </w:r>
      <w:r>
        <w:rPr>
          <w:rFonts w:eastAsia="楷体_GB2312" w:cs="Times New Roman" w:ascii="Times New Roman" w:hAnsi="Times New Roman"/>
          <w:kern w:val="0"/>
          <w:sz w:val="32"/>
          <w:szCs w:val="32"/>
        </w:rPr>
        <w:t>13</w:t>
      </w:r>
      <w:r>
        <w:rPr>
          <w:rFonts w:ascii="Times New Roman" w:hAnsi="Times New Roman" w:cs="Times New Roman" w:eastAsia="楷体_GB2312"/>
          <w:kern w:val="0"/>
          <w:sz w:val="32"/>
          <w:szCs w:val="32"/>
        </w:rPr>
        <w:t>日昌吉回族自治州第十六届人民代表大会第一次会议修订</w:t>
      </w:r>
      <w:r>
        <w:rPr>
          <w:rFonts w:cs="Times New Roman" w:hint="eastAsia" w:eastAsia="楷体_GB2312"/>
          <w:kern w:val="0"/>
          <w:sz w:val="32"/>
          <w:szCs w:val="32"/>
        </w:rPr>
        <w:t xml:space="preserve">  </w:t>
      </w:r>
      <w:r>
        <w:rPr>
          <w:rFonts w:eastAsia="楷体_GB2312" w:hint="eastAsia" w:ascii="楷体_GB2312" w:hAnsi="楷体_GB2312"/>
          <w:kern w:val="0"/>
          <w:sz w:val="32"/>
          <w:szCs w:val="32"/>
        </w:rPr>
        <w:t>2022</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3</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25</w:t>
      </w:r>
      <w:r>
        <w:rPr>
          <w:rFonts w:ascii="楷体_GB2312" w:hAnsi="楷体_GB2312" w:hint="eastAsia" w:eastAsia="楷体_GB2312"/>
          <w:kern w:val="0"/>
          <w:sz w:val="32"/>
          <w:szCs w:val="32"/>
        </w:rPr>
        <w:t>日新疆维吾尔自治区第十三届人民代表大会常务委员会第三十二次会议批准</w:t>
      </w:r>
      <w:r>
        <w:rPr>
          <w:rFonts w:ascii="Times New Roman" w:hAnsi="Times New Roman" w:cs="Times New Roman" w:eastAsia="楷体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楷体_GB2312" w:cs="Times New Roman"/>
          <w:kern w:val="0"/>
          <w:sz w:val="32"/>
          <w:szCs w:val="32"/>
        </w:rPr>
      </w:pPr>
      <w:r>
        <w:rPr>
          <w:rFonts w:eastAsia="楷体_GB2312" w:cs="Times New Roman" w:ascii="Times New Roman" w:hAnsi="Times New Roman"/>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cs="Times New Roman"/>
          <w:sz w:val="32"/>
          <w:szCs w:val="32"/>
        </w:rPr>
      </w:pPr>
      <w:r>
        <w:rPr>
          <w:rFonts w:ascii="Times New Roman" w:hAnsi="Times New Roman" w:cs="Times New Roman" w:eastAsia="楷体_GB2312"/>
          <w:kern w:val="0"/>
          <w:sz w:val="32"/>
          <w:szCs w:val="32"/>
        </w:rPr>
        <w:t>目</w:t>
      </w:r>
      <w:r>
        <w:rPr>
          <w:rFonts w:ascii="Times New Roman" w:hAnsi="Times New Roman" w:cs="Times New Roman" w:hint="eastAsia" w:eastAsia="楷体_GB2312"/>
          <w:kern w:val="0"/>
          <w:sz w:val="32"/>
          <w:szCs w:val="32"/>
        </w:rPr>
        <w:t xml:space="preserve">    </w:t>
      </w:r>
      <w:r>
        <w:rPr>
          <w:rFonts w:ascii="Times New Roman" w:hAnsi="Times New Roman" w:cs="Times New Roman" w:eastAsia="楷体_GB2312"/>
          <w:kern w:val="0"/>
          <w:sz w:val="32"/>
          <w:szCs w:val="32"/>
        </w:rPr>
        <w:t>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楷体_GB2312" w:cs="Times New Roman"/>
          <w:kern w:val="0"/>
          <w:sz w:val="32"/>
          <w:szCs w:val="32"/>
        </w:rPr>
      </w:pPr>
      <w:r>
        <w:rPr>
          <w:rFonts w:ascii="Times New Roman" w:hAnsi="Times New Roman" w:cs="Times New Roman" w:eastAsia="楷体_GB2312"/>
          <w:kern w:val="0"/>
          <w:sz w:val="32"/>
          <w:szCs w:val="32"/>
        </w:rPr>
        <w:t>第一章  总</w:t>
      </w:r>
      <w:r>
        <w:rPr>
          <w:rFonts w:cs="Times New Roman" w:hint="eastAsia" w:eastAsia="楷体_GB2312"/>
          <w:kern w:val="0"/>
          <w:sz w:val="32"/>
          <w:szCs w:val="32"/>
        </w:rPr>
        <w:t xml:space="preserve">  </w:t>
      </w:r>
      <w:r>
        <w:rPr>
          <w:rFonts w:ascii="Times New Roman" w:hAnsi="Times New Roman" w:cs="Times New Roman" w:eastAsia="楷体_GB2312"/>
          <w:kern w:val="0"/>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楷体_GB2312" w:cs="Times New Roman"/>
          <w:color w:val="000000"/>
          <w:kern w:val="0"/>
          <w:sz w:val="32"/>
          <w:szCs w:val="32"/>
        </w:rPr>
      </w:pPr>
      <w:r>
        <w:rPr>
          <w:rFonts w:ascii="Times New Roman" w:hAnsi="Times New Roman" w:cs="Times New Roman" w:eastAsia="楷体_GB2312"/>
          <w:kern w:val="0"/>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楷体_GB2312" w:cs="Times New Roman"/>
          <w:color w:val="000000"/>
          <w:kern w:val="0"/>
          <w:sz w:val="32"/>
          <w:szCs w:val="32"/>
        </w:rPr>
      </w:pPr>
      <w:r>
        <w:rPr>
          <w:rFonts w:ascii="Times New Roman" w:hAnsi="Times New Roman" w:cs="Times New Roman" w:eastAsia="楷体_GB2312"/>
          <w:color w:val="000000"/>
          <w:kern w:val="0"/>
          <w:sz w:val="32"/>
          <w:szCs w:val="32"/>
        </w:rPr>
        <w:t>第三章  供热管理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楷体_GB2312" w:cs="Times New Roman"/>
          <w:kern w:val="0"/>
          <w:sz w:val="32"/>
          <w:szCs w:val="32"/>
        </w:rPr>
      </w:pPr>
      <w:r>
        <w:rPr>
          <w:rFonts w:ascii="Times New Roman" w:hAnsi="Times New Roman" w:cs="Times New Roman" w:eastAsia="楷体_GB2312"/>
          <w:kern w:val="0"/>
          <w:sz w:val="32"/>
          <w:szCs w:val="32"/>
        </w:rPr>
        <w:t>第四章  用热管理</w:t>
      </w:r>
    </w:p>
    <w:p>
      <w:pPr>
        <w:pStyle w:val="Default"/>
        <w:keepNext w:val="false"/>
        <w:keepLines w:val="false"/>
        <w:pageBreakBefore w:val="false"/>
        <w:widowControl w:val="false"/>
        <w:kinsoku w:val="true"/>
        <w:overflowPunct w:val="true"/>
        <w:bidi w:val="0"/>
        <w:snapToGrid w:val="true"/>
        <w:spacing w:lineRule="exact" w:line="560"/>
        <w:ind w:firstLine="640" w:end="0"/>
        <w:textAlignment w:val="auto"/>
        <w:rPr>
          <w:rFonts w:ascii="Times New Roman" w:hAnsi="Times New Roman" w:eastAsia="楷体_GB2312" w:cs="Times New Roman"/>
          <w:kern w:val="0"/>
          <w:sz w:val="32"/>
          <w:szCs w:val="32"/>
        </w:rPr>
      </w:pPr>
      <w:r>
        <w:rPr>
          <w:rFonts w:ascii="Times New Roman" w:hAnsi="Times New Roman" w:cs="Times New Roman" w:eastAsia="楷体_GB2312"/>
          <w:kern w:val="0"/>
          <w:sz w:val="32"/>
          <w:szCs w:val="32"/>
        </w:rPr>
        <w:t>第五章  法律责任</w:t>
      </w:r>
    </w:p>
    <w:p>
      <w:pPr>
        <w:pStyle w:val="Default"/>
        <w:keepNext w:val="false"/>
        <w:keepLines w:val="false"/>
        <w:pageBreakBefore w:val="false"/>
        <w:widowControl w:val="false"/>
        <w:kinsoku w:val="true"/>
        <w:overflowPunct w:val="true"/>
        <w:bidi w:val="0"/>
        <w:snapToGrid w:val="true"/>
        <w:spacing w:lineRule="exact" w:line="560"/>
        <w:ind w:firstLine="640" w:end="0"/>
        <w:textAlignment w:val="auto"/>
        <w:rPr>
          <w:rFonts w:ascii="Times New Roman" w:hAnsi="Times New Roman" w:eastAsia="楷体_GB2312" w:cs="Times New Roman"/>
          <w:kern w:val="0"/>
          <w:sz w:val="32"/>
          <w:szCs w:val="32"/>
        </w:rPr>
      </w:pPr>
      <w:r>
        <w:rPr>
          <w:rFonts w:ascii="Times New Roman" w:hAnsi="Times New Roman" w:cs="Times New Roman" w:eastAsia="楷体_GB2312"/>
          <w:kern w:val="0"/>
          <w:sz w:val="32"/>
          <w:szCs w:val="32"/>
        </w:rPr>
        <w:t>第六章  附</w:t>
      </w:r>
      <w:r>
        <w:rPr>
          <w:rFonts w:ascii="Times New Roman" w:hAnsi="Times New Roman" w:cs="Times New Roman" w:hint="eastAsia" w:eastAsia="楷体_GB2312"/>
          <w:kern w:val="0"/>
          <w:sz w:val="32"/>
          <w:szCs w:val="32"/>
        </w:rPr>
        <w:t xml:space="preserve">  </w:t>
      </w:r>
      <w:r>
        <w:rPr>
          <w:rFonts w:ascii="Times New Roman" w:hAnsi="Times New Roman" w:cs="Times New Roman" w:eastAsia="楷体_GB2312"/>
          <w:kern w:val="0"/>
          <w:sz w:val="32"/>
          <w:szCs w:val="32"/>
        </w:rPr>
        <w:t>则</w:t>
      </w:r>
    </w:p>
    <w:p>
      <w:pPr>
        <w:pStyle w:val="Default"/>
        <w:keepNext w:val="false"/>
        <w:keepLines w:val="false"/>
        <w:pageBreakBefore w:val="false"/>
        <w:widowControl w:val="false"/>
        <w:kinsoku w:val="true"/>
        <w:overflowPunct w:val="true"/>
        <w:bidi w:val="0"/>
        <w:snapToGrid w:val="true"/>
        <w:spacing w:lineRule="exact" w:line="560"/>
        <w:ind w:firstLine="640" w:end="0"/>
        <w:textAlignment w:val="auto"/>
        <w:rPr>
          <w:rFonts w:ascii="Times New Roman" w:hAnsi="Times New Roman" w:eastAsia="楷体_GB2312" w:cs="Times New Roman"/>
          <w:kern w:val="0"/>
          <w:sz w:val="32"/>
          <w:szCs w:val="32"/>
        </w:rPr>
      </w:pPr>
      <w:r>
        <w:rPr>
          <w:rFonts w:eastAsia="楷体_GB2312" w:cs="Times New Roman" w:ascii="Times New Roman" w:hAnsi="Times New Roman"/>
          <w:kern w:val="0"/>
          <w:sz w:val="32"/>
          <w:szCs w:val="32"/>
        </w:rPr>
      </w:r>
    </w:p>
    <w:p>
      <w:pPr>
        <w:pStyle w:val="Default"/>
        <w:keepNext w:val="false"/>
        <w:keepLines w:val="false"/>
        <w:pageBreakBefore w:val="false"/>
        <w:widowControl w:val="false"/>
        <w:kinsoku w:val="true"/>
        <w:overflowPunct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  则</w:t>
      </w:r>
    </w:p>
    <w:p>
      <w:pPr>
        <w:pStyle w:val="Default"/>
        <w:keepNext w:val="false"/>
        <w:keepLines w:val="false"/>
        <w:pageBreakBefore w:val="false"/>
        <w:widowControl w:val="false"/>
        <w:kinsoku w:val="true"/>
        <w:overflowPunct w:val="true"/>
        <w:bidi w:val="0"/>
        <w:snapToGrid w:val="true"/>
        <w:spacing w:lineRule="exact" w:line="560"/>
        <w:jc w:val="center"/>
        <w:textAlignment w:val="auto"/>
        <w:rPr>
          <w:rFonts w:ascii="Times New Roman" w:hAnsi="Times New Roman" w:eastAsia="方正黑体_GBK" w:cs="Times New Roman"/>
          <w:sz w:val="32"/>
          <w:szCs w:val="32"/>
        </w:rPr>
      </w:pPr>
      <w:r>
        <w:rPr>
          <w:rFonts w:eastAsia="方正黑体_GBK"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color w:val="000000"/>
          <w:kern w:val="0"/>
          <w:sz w:val="32"/>
          <w:szCs w:val="32"/>
        </w:rPr>
        <w:t>第一条</w:t>
      </w:r>
      <w:r>
        <w:rPr>
          <w:rFonts w:ascii="Times New Roman" w:hAnsi="Times New Roman" w:cs="Times New Roman" w:eastAsia="方正黑体_GBK"/>
          <w:sz w:val="32"/>
          <w:szCs w:val="32"/>
        </w:rPr>
        <w:t xml:space="preserve"> </w:t>
      </w:r>
      <w:r>
        <w:rPr>
          <w:rFonts w:ascii="Times New Roman" w:hAnsi="Times New Roman" w:cs="Times New Roman" w:eastAsia="仿宋_GB2312"/>
          <w:sz w:val="32"/>
          <w:szCs w:val="32"/>
        </w:rPr>
        <w:t xml:space="preserve"> 为保障城镇冬季用热供给，规范供热管理，维护热用户和供热单位的合法权益，发展供热事业，保护环境，节约能源，根据《新疆维吾尔自治区市政公用事业特许经营条例》和有关法律法规，结合自治州实际，制定本条例。</w:t>
      </w:r>
    </w:p>
    <w:p>
      <w:pPr>
        <w:pStyle w:val="Heading3"/>
        <w:keepNext w:val="false"/>
        <w:keepLines w:val="false"/>
        <w:pageBreakBefore w:val="false"/>
        <w:widowControl w:val="false"/>
        <w:kinsoku w:val="true"/>
        <w:overflowPunct w:val="true"/>
        <w:autoSpaceDE w:val="true"/>
        <w:bidi w:val="0"/>
        <w:snapToGrid w:val="true"/>
        <w:spacing w:lineRule="exact" w:line="560" w:before="0" w:after="0"/>
        <w:ind w:firstLine="640" w:start="0" w:end="0"/>
        <w:jc w:val="both"/>
        <w:textAlignment w:val="auto"/>
        <w:rPr>
          <w:rFonts w:ascii="Times New Roman" w:hAnsi="Times New Roman" w:eastAsia="仿宋_GB2312" w:cs="Times New Roman"/>
          <w:b w:val="false"/>
          <w:szCs w:val="32"/>
        </w:rPr>
      </w:pPr>
      <w:r>
        <w:rPr>
          <w:rFonts w:ascii="黑体" w:hAnsi="黑体" w:cs="黑体" w:eastAsia="黑体"/>
          <w:b w:val="false"/>
          <w:color w:val="000000"/>
          <w:sz w:val="32"/>
          <w:szCs w:val="32"/>
        </w:rPr>
        <w:t>第二条</w:t>
      </w:r>
      <w:r>
        <w:rPr>
          <w:rFonts w:ascii="Times New Roman" w:hAnsi="Times New Roman" w:cs="Times New Roman" w:eastAsia="黑体"/>
          <w:b w:val="false"/>
          <w:szCs w:val="32"/>
        </w:rPr>
        <w:t xml:space="preserve">  </w:t>
      </w:r>
      <w:r>
        <w:rPr>
          <w:rFonts w:ascii="Times New Roman" w:hAnsi="Times New Roman" w:cs="Times New Roman" w:eastAsia="仿宋_GB2312"/>
          <w:b w:val="false"/>
          <w:szCs w:val="32"/>
        </w:rPr>
        <w:t>自治州行政区域内从事城镇供热规划、建设、经营和管理</w:t>
      </w:r>
      <w:r>
        <w:rPr>
          <w:rFonts w:ascii="Times New Roman" w:hAnsi="Times New Roman" w:cs="Times New Roman" w:hint="eastAsia" w:eastAsia="仿宋_GB2312"/>
          <w:b w:val="false"/>
          <w:szCs w:val="32"/>
        </w:rPr>
        <w:t>和用热</w:t>
      </w:r>
      <w:r>
        <w:rPr>
          <w:rFonts w:ascii="Times New Roman" w:hAnsi="Times New Roman" w:cs="Times New Roman" w:eastAsia="仿宋_GB2312"/>
          <w:b w:val="false"/>
          <w:szCs w:val="32"/>
        </w:rPr>
        <w:t>等活动，适用本条例。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color w:val="000000"/>
          <w:kern w:val="0"/>
          <w:sz w:val="32"/>
          <w:szCs w:val="32"/>
        </w:rPr>
        <w:t>第三条</w:t>
      </w:r>
      <w:r>
        <w:rPr>
          <w:rFonts w:ascii="Times New Roman" w:hAnsi="Times New Roman" w:cs="Times New Roman" w:eastAsia="仿宋_GB2312"/>
          <w:sz w:val="32"/>
          <w:szCs w:val="32"/>
        </w:rPr>
        <w:t xml:space="preserve">  本条例所称城镇供热，是指在城镇规划区内，利用热电联产、区域锅炉、地热、电采暖等热源产生的热水和热汽，通过管网有偿提供给热用户生产和生活用热的行为。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color w:val="000000"/>
          <w:kern w:val="0"/>
          <w:sz w:val="32"/>
          <w:szCs w:val="32"/>
        </w:rPr>
        <w:t>第四条</w:t>
      </w:r>
      <w:r>
        <w:rPr>
          <w:rFonts w:ascii="Times New Roman" w:hAnsi="Times New Roman" w:cs="Times New Roman" w:eastAsia="仿宋_GB2312"/>
          <w:sz w:val="32"/>
          <w:szCs w:val="32"/>
        </w:rPr>
        <w:t xml:space="preserve">  自治州城镇供热管理应当遵循统一规划、合理布局、属地管理、保障安全、</w:t>
      </w:r>
      <w:r>
        <w:rPr>
          <w:rFonts w:ascii="Times New Roman" w:hAnsi="Times New Roman" w:cs="Times New Roman" w:hint="eastAsia" w:eastAsia="仿宋_GB2312"/>
          <w:sz w:val="32"/>
          <w:szCs w:val="32"/>
        </w:rPr>
        <w:t>公平合理、</w:t>
      </w:r>
      <w:r>
        <w:rPr>
          <w:rFonts w:ascii="Times New Roman" w:hAnsi="Times New Roman" w:cs="Times New Roman" w:eastAsia="仿宋_GB2312"/>
          <w:sz w:val="32"/>
          <w:szCs w:val="32"/>
        </w:rPr>
        <w:t>促进节能环保和优化资源配置的原则。</w:t>
      </w:r>
    </w:p>
    <w:p>
      <w:pPr>
        <w:pStyle w:val="Heading3"/>
        <w:keepNext w:val="false"/>
        <w:keepLines w:val="false"/>
        <w:pageBreakBefore w:val="false"/>
        <w:widowControl w:val="false"/>
        <w:kinsoku w:val="true"/>
        <w:overflowPunct w:val="true"/>
        <w:autoSpaceDE w:val="true"/>
        <w:bidi w:val="0"/>
        <w:snapToGrid w:val="true"/>
        <w:spacing w:lineRule="exact" w:line="560" w:before="0" w:after="0"/>
        <w:ind w:firstLine="642" w:start="0" w:end="0"/>
        <w:jc w:val="both"/>
        <w:textAlignment w:val="auto"/>
        <w:rPr>
          <w:rFonts w:ascii="Times New Roman" w:hAnsi="Times New Roman" w:eastAsia="仿宋_GB2312" w:cs="Times New Roman"/>
          <w:b w:val="false"/>
          <w:szCs w:val="32"/>
        </w:rPr>
      </w:pPr>
      <w:r>
        <w:rPr>
          <w:rFonts w:ascii="Times New Roman" w:hAnsi="Times New Roman" w:cs="Times New Roman" w:eastAsia="仿宋_GB2312"/>
          <w:b w:val="false"/>
          <w:szCs w:val="32"/>
        </w:rPr>
        <w:t>自治州城镇供热以热电联产集中供热为主导，其他供热为辅助；实行国有控股为主体，多元化投资建设的体制。</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黑体" w:hAnsi="黑体" w:cs="黑体" w:eastAsia="黑体"/>
          <w:color w:val="000000"/>
          <w:kern w:val="0"/>
          <w:sz w:val="32"/>
          <w:szCs w:val="32"/>
        </w:rPr>
        <w:t>第五条</w:t>
      </w:r>
      <w:r>
        <w:rPr>
          <w:rFonts w:ascii="Times New Roman" w:hAnsi="Times New Roman" w:cs="Times New Roman" w:eastAsia="仿宋_GB2312"/>
          <w:sz w:val="32"/>
          <w:szCs w:val="32"/>
        </w:rPr>
        <w:t xml:space="preserve">  自治州、县（市）、镇人民政府应当加强本行政区域内城镇供热管理工作的领导。</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自治州住房城乡建设主管部门、县（市）人民政府确定的供热行业管理部门负责本行政区域内城镇供热的监督管理工作。</w:t>
      </w:r>
    </w:p>
    <w:p>
      <w:pPr>
        <w:pStyle w:val="Normal"/>
        <w:keepNext w:val="false"/>
        <w:keepLines w:val="false"/>
        <w:pageBreakBefore w:val="false"/>
        <w:widowControl w:val="false"/>
        <w:kinsoku w:val="true"/>
        <w:overflowPunct w:val="tru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自然资源、发展改革、工业和信息化、财政、生态环境、市场监督、公安、民政、人力资源和社会保障等主管部门，协同住房城乡建设主管部门按照各自职责负责城镇供热相关管理工作。</w:t>
      </w:r>
    </w:p>
    <w:p>
      <w:pPr>
        <w:pStyle w:val="Heading3"/>
        <w:keepNext w:val="false"/>
        <w:keepLines w:val="false"/>
        <w:pageBreakBefore w:val="false"/>
        <w:widowControl w:val="false"/>
        <w:kinsoku w:val="true"/>
        <w:overflowPunct w:val="true"/>
        <w:bidi w:val="0"/>
        <w:snapToGrid w:val="true"/>
        <w:spacing w:lineRule="exact" w:line="560" w:before="0" w:after="0"/>
        <w:ind w:firstLine="640" w:start="0" w:end="0"/>
        <w:jc w:val="both"/>
        <w:textAlignment w:val="auto"/>
        <w:rPr>
          <w:rFonts w:ascii="Times New Roman" w:hAnsi="Times New Roman" w:eastAsia="仿宋_GB2312" w:cs="Times New Roman"/>
          <w:b w:val="false"/>
          <w:szCs w:val="32"/>
        </w:rPr>
      </w:pPr>
      <w:r>
        <w:rPr>
          <w:rFonts w:ascii="黑体" w:hAnsi="黑体" w:cs="黑体" w:eastAsia="黑体"/>
          <w:b w:val="false"/>
          <w:color w:val="000000"/>
          <w:sz w:val="32"/>
          <w:szCs w:val="32"/>
        </w:rPr>
        <w:t>第六条</w:t>
      </w:r>
      <w:r>
        <w:rPr>
          <w:rFonts w:ascii="Times New Roman" w:hAnsi="Times New Roman" w:cs="Times New Roman" w:eastAsia="黑体"/>
          <w:b w:val="false"/>
          <w:bCs/>
          <w:szCs w:val="32"/>
        </w:rPr>
        <w:t xml:space="preserve"> </w:t>
      </w:r>
      <w:r>
        <w:rPr>
          <w:rFonts w:ascii="Times New Roman" w:hAnsi="Times New Roman" w:cs="Times New Roman" w:eastAsia="仿宋_GB2312"/>
          <w:szCs w:val="32"/>
        </w:rPr>
        <w:t xml:space="preserve"> </w:t>
      </w:r>
      <w:r>
        <w:rPr>
          <w:rFonts w:ascii="Times New Roman" w:hAnsi="Times New Roman" w:cs="Times New Roman" w:eastAsia="仿宋_GB2312"/>
          <w:b w:val="false"/>
          <w:szCs w:val="32"/>
        </w:rPr>
        <w:t>自治州、县（市）人民政府鼓励供热单位建设污染小、耗能低、运行安全、工艺先进的清洁能源和可再生能源作为供热热源。严格控制新建高能耗、高污染的供热项目。推广节能环保新技术、新工艺，提高供热管理技术水平和服务水平，保证均衡、稳定、按需供热。</w:t>
      </w:r>
    </w:p>
    <w:p>
      <w:pPr>
        <w:pStyle w:val="Normal"/>
        <w:keepNext w:val="false"/>
        <w:keepLines w:val="false"/>
        <w:pageBreakBefore w:val="false"/>
        <w:widowControl w:val="false"/>
        <w:kinsoku w:val="true"/>
        <w:overflowPunct w:val="true"/>
        <w:bidi w:val="0"/>
        <w:snapToGrid w:val="true"/>
        <w:spacing w:lineRule="exact" w:line="560"/>
        <w:ind w:firstLine="642" w:end="0"/>
        <w:jc w:val="both"/>
        <w:textAlignment w:val="auto"/>
        <w:rPr>
          <w:rFonts w:ascii="Times New Roman" w:hAnsi="Times New Roman" w:eastAsia="仿宋_GB2312" w:cs="Times New Roman"/>
          <w:sz w:val="32"/>
          <w:szCs w:val="32"/>
        </w:rPr>
      </w:pPr>
      <w:r>
        <w:rPr>
          <w:rFonts w:ascii="黑体" w:hAnsi="黑体" w:cs="黑体" w:eastAsia="黑体"/>
          <w:color w:val="000000"/>
          <w:kern w:val="0"/>
          <w:sz w:val="32"/>
          <w:szCs w:val="32"/>
        </w:rPr>
        <w:t>第七条</w:t>
      </w:r>
      <w:r>
        <w:rPr>
          <w:rFonts w:ascii="Times New Roman" w:hAnsi="Times New Roman" w:cs="Times New Roman" w:eastAsia="方正黑体_GBK"/>
          <w:sz w:val="32"/>
          <w:szCs w:val="32"/>
        </w:rPr>
        <w:t xml:space="preserve"> </w:t>
      </w:r>
      <w:r>
        <w:rPr>
          <w:rFonts w:ascii="Times New Roman" w:hAnsi="Times New Roman" w:cs="Times New Roman" w:eastAsia="仿宋_GB2312"/>
          <w:sz w:val="32"/>
          <w:szCs w:val="32"/>
        </w:rPr>
        <w:t xml:space="preserve"> 自治州、县（市）人民政府及供热单位应当建立完善的供热能源保障、采暖应急救助、事故应急处置和备用热源建设等安全供热保障体系。</w:t>
      </w:r>
    </w:p>
    <w:p>
      <w:pPr>
        <w:pStyle w:val="Heading3"/>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b w:val="false"/>
          <w:szCs w:val="32"/>
        </w:rPr>
      </w:pPr>
      <w:r>
        <w:rPr>
          <w:rFonts w:ascii="黑体" w:hAnsi="黑体" w:cs="黑体" w:eastAsia="黑体"/>
          <w:b w:val="false"/>
          <w:color w:val="000000"/>
          <w:sz w:val="32"/>
          <w:szCs w:val="32"/>
        </w:rPr>
        <w:t>第八条</w:t>
      </w:r>
      <w:r>
        <w:rPr>
          <w:rFonts w:ascii="Times New Roman" w:hAnsi="Times New Roman" w:cs="Times New Roman" w:eastAsia="方正黑体_GBK"/>
          <w:b w:val="false"/>
          <w:kern w:val="2"/>
          <w:sz w:val="32"/>
          <w:szCs w:val="32"/>
        </w:rPr>
        <w:t xml:space="preserve"> </w:t>
      </w:r>
      <w:r>
        <w:rPr>
          <w:rFonts w:ascii="Times New Roman" w:hAnsi="Times New Roman" w:cs="Times New Roman" w:eastAsia="黑体"/>
          <w:b w:val="false"/>
          <w:szCs w:val="32"/>
        </w:rPr>
        <w:t xml:space="preserve"> </w:t>
      </w:r>
      <w:r>
        <w:rPr>
          <w:rFonts w:ascii="Times New Roman" w:hAnsi="Times New Roman" w:cs="Times New Roman" w:eastAsia="仿宋_GB2312"/>
          <w:b w:val="false"/>
          <w:szCs w:val="32"/>
        </w:rPr>
        <w:t>自治州、县（市）人民政府对在城镇供热工作中做出显著成绩的单位和个人应当给予表彰和奖励。</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黑体" w:cs="Times New Roman"/>
          <w:b w:val="false"/>
          <w:sz w:val="32"/>
          <w:szCs w:val="32"/>
        </w:rPr>
      </w:pPr>
      <w:r>
        <w:rPr>
          <w:rFonts w:eastAsia="黑体" w:cs="Times New Roman" w:ascii="Times New Roman" w:hAnsi="Times New Roman"/>
          <w:b w:val="false"/>
          <w:sz w:val="32"/>
          <w:szCs w:val="32"/>
        </w:rPr>
      </w:r>
    </w:p>
    <w:p>
      <w:pPr>
        <w:pStyle w:val="Normal"/>
        <w:keepNext w:val="false"/>
        <w:keepLines w:val="false"/>
        <w:pageBreakBefore w:val="false"/>
        <w:widowControl w:val="false"/>
        <w:numPr>
          <w:ilvl w:val="0"/>
          <w:numId w:val="3"/>
        </w:numPr>
        <w:kinsoku w:val="true"/>
        <w:overflowPunct w:val="true"/>
        <w:bidi w:val="0"/>
        <w:snapToGrid w:val="true"/>
        <w:spacing w:lineRule="exact" w:line="56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规划与建设</w:t>
      </w:r>
    </w:p>
    <w:p>
      <w:pPr>
        <w:pStyle w:val="Heading3"/>
        <w:keepNext w:val="false"/>
        <w:keepLines w:val="false"/>
        <w:pageBreakBefore w:val="false"/>
        <w:widowControl w:val="false"/>
        <w:numPr>
          <w:ilvl w:val="0"/>
          <w:numId w:val="0"/>
        </w:numPr>
        <w:kinsoku w:val="true"/>
        <w:overflowPunct w:val="true"/>
        <w:bidi w:val="0"/>
        <w:snapToGrid w:val="true"/>
        <w:spacing w:lineRule="exact" w:line="560" w:before="0" w:after="0"/>
        <w:ind w:hanging="0" w:start="0"/>
        <w:jc w:val="both"/>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第九条</w:t>
      </w:r>
      <w:r>
        <w:rPr>
          <w:rFonts w:ascii="Times New Roman" w:hAnsi="Times New Roman" w:cs="Times New Roman" w:eastAsia="仿宋_GB2312"/>
          <w:sz w:val="32"/>
          <w:szCs w:val="32"/>
        </w:rPr>
        <w:t xml:space="preserve">  县（市）住房城乡建设主管部门应当会同同级自然资源部门，依据本地社会经济发展和国土空间总体规划组织编制供热专项规划，报本级人民政府批准后组织实施。</w:t>
      </w:r>
    </w:p>
    <w:p>
      <w:pPr>
        <w:pStyle w:val="Heading3"/>
        <w:keepNext w:val="false"/>
        <w:keepLines w:val="false"/>
        <w:pageBreakBefore w:val="false"/>
        <w:widowControl w:val="false"/>
        <w:kinsoku w:val="true"/>
        <w:overflowPunct w:val="true"/>
        <w:bidi w:val="0"/>
        <w:snapToGrid w:val="true"/>
        <w:spacing w:lineRule="exact" w:line="560" w:before="0" w:after="0"/>
        <w:ind w:firstLine="640" w:start="0" w:end="0"/>
        <w:jc w:val="both"/>
        <w:textAlignment w:val="auto"/>
        <w:rPr>
          <w:rFonts w:ascii="Times New Roman" w:hAnsi="Times New Roman" w:eastAsia="仿宋_GB2312" w:cs="Times New Roman"/>
          <w:b w:val="false"/>
          <w:szCs w:val="32"/>
        </w:rPr>
      </w:pPr>
      <w:r>
        <w:rPr>
          <w:rFonts w:ascii="黑体" w:hAnsi="黑体" w:cs="黑体" w:eastAsia="黑体"/>
          <w:b w:val="false"/>
          <w:kern w:val="2"/>
          <w:sz w:val="32"/>
          <w:szCs w:val="32"/>
        </w:rPr>
        <w:t>第十条</w:t>
      </w:r>
      <w:r>
        <w:rPr>
          <w:rFonts w:ascii="Times New Roman" w:hAnsi="Times New Roman" w:cs="Times New Roman" w:eastAsia="仿宋_GB2312"/>
          <w:szCs w:val="32"/>
        </w:rPr>
        <w:t xml:space="preserve">  </w:t>
      </w:r>
      <w:r>
        <w:rPr>
          <w:rFonts w:ascii="Times New Roman" w:hAnsi="Times New Roman" w:cs="Times New Roman" w:eastAsia="仿宋_GB2312"/>
          <w:b w:val="false"/>
          <w:szCs w:val="32"/>
        </w:rPr>
        <w:t>新建、改建和扩建的城镇供热设施，建设单位应当依法编制环境影响评价文件，经有审批权的生态环境主管部门批准后方可建设。</w:t>
      </w:r>
    </w:p>
    <w:p>
      <w:pPr>
        <w:pStyle w:val="Normal"/>
        <w:keepNext w:val="false"/>
        <w:keepLines w:val="false"/>
        <w:pageBreakBefore w:val="false"/>
        <w:widowControl w:val="false"/>
        <w:kinsoku w:val="true"/>
        <w:overflowPunct w:val="true"/>
        <w:bidi w:val="0"/>
        <w:snapToGrid w:val="true"/>
        <w:spacing w:lineRule="exact" w:line="560"/>
        <w:ind w:firstLine="640" w:end="0"/>
        <w:jc w:val="both"/>
        <w:textAlignment w:val="auto"/>
        <w:rPr>
          <w:rFonts w:ascii="Times New Roman" w:hAnsi="Times New Roman" w:cs="Times New Roman"/>
        </w:rPr>
      </w:pPr>
      <w:r>
        <w:rPr>
          <w:rFonts w:ascii="黑体" w:hAnsi="黑体" w:cs="黑体" w:eastAsia="黑体"/>
          <w:sz w:val="32"/>
          <w:szCs w:val="32"/>
        </w:rPr>
        <w:t>第十一条</w:t>
      </w:r>
      <w:r>
        <w:rPr>
          <w:rFonts w:ascii="Times New Roman" w:hAnsi="Times New Roman" w:cs="Times New Roman" w:eastAsia="黑体"/>
          <w:sz w:val="32"/>
          <w:szCs w:val="32"/>
        </w:rPr>
        <w:t xml:space="preserve"> </w:t>
      </w:r>
      <w:r>
        <w:rPr>
          <w:rFonts w:ascii="Times New Roman" w:hAnsi="Times New Roman" w:cs="Times New Roman" w:eastAsia="仿宋_GB2312"/>
          <w:sz w:val="32"/>
          <w:szCs w:val="32"/>
        </w:rPr>
        <w:t xml:space="preserve"> 自治州、县（市）住房城乡建设主管部门应当依据供热专项规划，按照各热源的供热能力划分供热范围。城镇公共供热管网敷设范围内，不再批准新建、扩建区域锅炉供热。</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第十二条</w:t>
      </w:r>
      <w:r>
        <w:rPr>
          <w:rFonts w:ascii="Times New Roman" w:hAnsi="Times New Roman" w:cs="Times New Roman" w:eastAsia="黑体"/>
          <w:sz w:val="32"/>
          <w:szCs w:val="32"/>
        </w:rPr>
        <w:t xml:space="preserve"> </w:t>
      </w:r>
      <w:r>
        <w:rPr>
          <w:rFonts w:ascii="Times New Roman" w:hAnsi="Times New Roman" w:cs="Times New Roman" w:eastAsia="仿宋_GB2312"/>
          <w:sz w:val="32"/>
          <w:szCs w:val="32"/>
        </w:rPr>
        <w:t xml:space="preserve"> 建设单位在采暖建筑工程项目立项前，应当向当地住房城乡建设主管部门提出用热需求。住房城乡建设主管部门依据供热专项规划和供热负荷情况确定供热单位和供热方案。 </w:t>
      </w:r>
    </w:p>
    <w:p>
      <w:pPr>
        <w:pStyle w:val="Normal"/>
        <w:keepNext w:val="false"/>
        <w:keepLines w:val="false"/>
        <w:pageBreakBefore w:val="false"/>
        <w:widowControl w:val="false"/>
        <w:kinsoku w:val="true"/>
        <w:overflowPunct w:val="tru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建设单位应当按照供热方案组织进行采暖建筑工程设计和施工。</w:t>
      </w:r>
    </w:p>
    <w:p>
      <w:pPr>
        <w:pStyle w:val="Heading3"/>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b w:val="false"/>
          <w:szCs w:val="32"/>
        </w:rPr>
      </w:pPr>
      <w:r>
        <w:rPr>
          <w:rFonts w:ascii="黑体" w:hAnsi="黑体" w:cs="黑体" w:eastAsia="黑体"/>
          <w:b w:val="false"/>
          <w:kern w:val="2"/>
          <w:sz w:val="32"/>
          <w:szCs w:val="32"/>
        </w:rPr>
        <w:t xml:space="preserve">第十三条 </w:t>
      </w:r>
      <w:r>
        <w:rPr>
          <w:rFonts w:ascii="Times New Roman" w:hAnsi="Times New Roman" w:cs="Times New Roman" w:eastAsia="黑体"/>
          <w:szCs w:val="32"/>
        </w:rPr>
        <w:t xml:space="preserve"> </w:t>
      </w:r>
      <w:r>
        <w:rPr>
          <w:rFonts w:ascii="Times New Roman" w:hAnsi="Times New Roman" w:cs="Times New Roman" w:eastAsia="仿宋_GB2312"/>
          <w:b w:val="false"/>
          <w:spacing w:val="6"/>
          <w:szCs w:val="32"/>
        </w:rPr>
        <w:t>自治州、县（市）自然资源部门在审批建设项目用地时，应当按照供热专项规划预留城镇供热基础设施建设用地。</w:t>
      </w:r>
      <w:r>
        <w:rPr>
          <w:rFonts w:ascii="Times New Roman" w:hAnsi="Times New Roman" w:cs="Times New Roman" w:eastAsia="仿宋_GB2312"/>
          <w:b w:val="false"/>
          <w:szCs w:val="32"/>
        </w:rPr>
        <w:t xml:space="preserve"> </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shd w:fill="D9D9D9" w:val="clear"/>
        </w:rPr>
      </w:pPr>
      <w:r>
        <w:rPr>
          <w:rFonts w:cs="Times New Roman" w:ascii="Times New Roman" w:hAnsi="Times New Roman"/>
        </w:rPr>
        <w:t xml:space="preserve">  </w:t>
      </w:r>
      <w:r>
        <w:rPr>
          <w:rFonts w:ascii="黑体" w:hAnsi="黑体" w:cs="黑体" w:eastAsia="黑体"/>
          <w:sz w:val="32"/>
          <w:szCs w:val="32"/>
        </w:rPr>
        <w:t>第十四条</w:t>
      </w:r>
      <w:r>
        <w:rPr>
          <w:rFonts w:ascii="Times New Roman" w:hAnsi="Times New Roman" w:cs="Times New Roman" w:eastAsia="仿宋_GB2312"/>
          <w:sz w:val="32"/>
          <w:szCs w:val="32"/>
        </w:rPr>
        <w:t xml:space="preserve">  新建采暖建筑应当配套建设供热设施。一次管网、交换站和交换站出口至建筑红线接口处的配套管网，由供热单位投资建设；建筑红线以内二次管网等附属供热设施由建设单位投资建设。</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建筑红线以内二次管网等供热设施建设，应当做为独立的单位工程立项，按照工程基本建设程序实施建设。</w:t>
      </w:r>
    </w:p>
    <w:p>
      <w:pPr>
        <w:pStyle w:val="Normal"/>
        <w:keepNext w:val="false"/>
        <w:keepLines w:val="false"/>
        <w:pageBreakBefore w:val="false"/>
        <w:widowControl w:val="false"/>
        <w:kinsoku w:val="true"/>
        <w:overflowPunct w:val="tru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新建采暖建筑应当配套建设供热计量系统；既有采暖建筑无供热计量系统或者节能不达标的，应当按照规范进行改造。</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第十五条</w:t>
      </w:r>
      <w:r>
        <w:rPr>
          <w:rFonts w:ascii="Times New Roman" w:hAnsi="Times New Roman" w:cs="Times New Roman" w:eastAsia="黑体"/>
          <w:sz w:val="32"/>
          <w:szCs w:val="32"/>
        </w:rPr>
        <w:t xml:space="preserve"> </w:t>
      </w:r>
      <w:r>
        <w:rPr>
          <w:rFonts w:ascii="Times New Roman" w:hAnsi="Times New Roman" w:cs="Times New Roman" w:eastAsia="仿宋_GB2312"/>
          <w:sz w:val="32"/>
          <w:szCs w:val="32"/>
        </w:rPr>
        <w:t xml:space="preserve"> 供热管网需要穿越单位或者居民宅院时，相关单位和个人应当予以配合。</w:t>
      </w:r>
    </w:p>
    <w:p>
      <w:pPr>
        <w:pStyle w:val="Heading3"/>
        <w:keepNext w:val="false"/>
        <w:keepLines w:val="false"/>
        <w:pageBreakBefore w:val="false"/>
        <w:widowControl w:val="false"/>
        <w:kinsoku w:val="true"/>
        <w:overflowPunct w:val="true"/>
        <w:bidi w:val="0"/>
        <w:snapToGrid w:val="true"/>
        <w:spacing w:lineRule="exact" w:line="560" w:before="0" w:after="0"/>
        <w:ind w:firstLine="640" w:start="0" w:end="0"/>
        <w:jc w:val="both"/>
        <w:textAlignment w:val="auto"/>
        <w:rPr>
          <w:rFonts w:ascii="Times New Roman" w:hAnsi="Times New Roman" w:cs="Times New Roman"/>
        </w:rPr>
      </w:pPr>
      <w:r>
        <w:rPr>
          <w:rFonts w:ascii="Times New Roman" w:hAnsi="Times New Roman" w:cs="Times New Roman" w:eastAsia="仿宋_GB2312"/>
          <w:b w:val="false"/>
          <w:szCs w:val="32"/>
        </w:rPr>
        <w:t>供热设施建设过程中造成建筑或者其他设施损坏的，供热设施建设单位应当予以修复；无法修复的，应当予以赔偿。</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第十六条</w:t>
      </w:r>
      <w:r>
        <w:rPr>
          <w:rFonts w:ascii="Times New Roman" w:hAnsi="Times New Roman" w:cs="Times New Roman" w:eastAsia="仿宋_GB2312"/>
          <w:sz w:val="32"/>
          <w:szCs w:val="32"/>
        </w:rPr>
        <w:t xml:space="preserve">  新建和既有建筑改造的供热计量系统，应当符合计量、抄表、分摊、收费和网络自动化监控管理配置。</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选择供热计量模式，应当符合国家标准、行业标准和地方标准，并与供热单位的供热计量系统相匹配。</w:t>
      </w:r>
    </w:p>
    <w:p>
      <w:pPr>
        <w:pStyle w:val="Normal"/>
        <w:keepNext w:val="false"/>
        <w:keepLines w:val="false"/>
        <w:pageBreakBefore w:val="false"/>
        <w:widowControl w:val="false"/>
        <w:kinsoku w:val="true"/>
        <w:overflowPunct w:val="tru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供热计量工程做为节能分部工程，应当进行节能分部验收。供热单位应当参与节能分部验收，住房城乡建设主管部门应当对节能分部验收进行监督。</w:t>
      </w:r>
      <w:r>
        <w:rPr>
          <w:rFonts w:ascii="Times New Roman" w:hAnsi="Times New Roman" w:cs="Times New Roman" w:eastAsia="仿宋_GB2312"/>
          <w:spacing w:val="6"/>
          <w:sz w:val="32"/>
          <w:szCs w:val="32"/>
        </w:rPr>
        <w:t>未经验收或者验收不合格的，不得投入使用。供热计量工程竣工验收合格后，由供热单位负责管理和维护。</w:t>
      </w:r>
    </w:p>
    <w:p>
      <w:pPr>
        <w:pStyle w:val="Heading3"/>
        <w:keepNext w:val="false"/>
        <w:keepLines w:val="false"/>
        <w:pageBreakBefore w:val="false"/>
        <w:widowControl w:val="false"/>
        <w:kinsoku w:val="true"/>
        <w:overflowPunct w:val="true"/>
        <w:bidi w:val="0"/>
        <w:snapToGrid w:val="true"/>
        <w:spacing w:lineRule="exact" w:line="560" w:before="0" w:after="0"/>
        <w:ind w:firstLine="640" w:start="0" w:end="0"/>
        <w:jc w:val="both"/>
        <w:textAlignment w:val="auto"/>
        <w:rPr>
          <w:rFonts w:ascii="Times New Roman" w:hAnsi="Times New Roman" w:eastAsia="仿宋_GB2312" w:cs="Times New Roman"/>
          <w:b w:val="false"/>
          <w:szCs w:val="32"/>
        </w:rPr>
      </w:pPr>
      <w:r>
        <w:rPr>
          <w:rFonts w:ascii="黑体" w:hAnsi="黑体" w:cs="黑体" w:eastAsia="黑体"/>
          <w:b w:val="false"/>
          <w:kern w:val="2"/>
          <w:sz w:val="32"/>
          <w:szCs w:val="32"/>
        </w:rPr>
        <w:t>第十七条</w:t>
      </w:r>
      <w:r>
        <w:rPr>
          <w:rFonts w:ascii="Times New Roman" w:hAnsi="Times New Roman" w:cs="Times New Roman" w:eastAsia="黑体"/>
          <w:b w:val="false"/>
          <w:szCs w:val="32"/>
        </w:rPr>
        <w:t xml:space="preserve"> </w:t>
      </w:r>
      <w:r>
        <w:rPr>
          <w:rFonts w:ascii="Times New Roman" w:hAnsi="Times New Roman" w:cs="Times New Roman" w:eastAsia="仿宋_GB2312"/>
          <w:szCs w:val="32"/>
        </w:rPr>
        <w:t xml:space="preserve"> </w:t>
      </w:r>
      <w:r>
        <w:rPr>
          <w:rFonts w:ascii="Times New Roman" w:hAnsi="Times New Roman" w:cs="Times New Roman" w:eastAsia="仿宋_GB2312"/>
          <w:b w:val="false"/>
          <w:szCs w:val="32"/>
        </w:rPr>
        <w:t>新建及原有的热源、主管网和交换站，应当符合节水、节电和节煤的系统节能要求，满足供热计量、气候补偿、按需供热和平衡调节控制功能以及网络化监控管理条件。</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黑体" w:cs="Times New Roman"/>
          <w:b w:val="false"/>
          <w:sz w:val="32"/>
          <w:szCs w:val="32"/>
        </w:rPr>
      </w:pPr>
      <w:r>
        <w:rPr>
          <w:rFonts w:eastAsia="黑体" w:cs="Times New Roman" w:ascii="Times New Roman" w:hAnsi="Times New Roman"/>
          <w:b w:val="false"/>
          <w:sz w:val="32"/>
          <w:szCs w:val="32"/>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center"/>
        <w:textAlignment w:val="auto"/>
        <w:rPr>
          <w:rFonts w:ascii="黑体" w:hAnsi="黑体" w:eastAsia="黑体" w:cs="黑体"/>
          <w:sz w:val="32"/>
          <w:szCs w:val="32"/>
        </w:rPr>
      </w:pPr>
      <w:r>
        <w:rPr>
          <w:rFonts w:ascii="黑体" w:hAnsi="黑体" w:cs="黑体" w:eastAsia="黑体"/>
          <w:sz w:val="32"/>
          <w:szCs w:val="32"/>
        </w:rPr>
        <w:t>第三章  供热管理</w:t>
      </w:r>
    </w:p>
    <w:p>
      <w:pPr>
        <w:pStyle w:val="Heading3"/>
        <w:keepNext w:val="false"/>
        <w:keepLines w:val="false"/>
        <w:pageBreakBefore w:val="false"/>
        <w:widowControl w:val="false"/>
        <w:numPr>
          <w:ilvl w:val="0"/>
          <w:numId w:val="0"/>
        </w:numPr>
        <w:kinsoku w:val="true"/>
        <w:overflowPunct w:val="true"/>
        <w:bidi w:val="0"/>
        <w:snapToGrid w:val="true"/>
        <w:spacing w:lineRule="exact" w:line="560" w:before="0" w:after="0"/>
        <w:ind w:firstLineChars="0" w:firstLine="0" w:startChars="0" w:start="0" w:endChars="0" w:end="0"/>
        <w:jc w:val="both"/>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Heading3"/>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b w:val="false"/>
          <w:bCs/>
          <w:szCs w:val="32"/>
        </w:rPr>
      </w:pPr>
      <w:r>
        <w:rPr>
          <w:rFonts w:ascii="黑体" w:hAnsi="黑体" w:cs="黑体" w:eastAsia="黑体"/>
          <w:b w:val="false"/>
          <w:kern w:val="2"/>
          <w:sz w:val="32"/>
          <w:szCs w:val="32"/>
        </w:rPr>
        <w:t>第十八条</w:t>
      </w:r>
      <w:r>
        <w:rPr>
          <w:rFonts w:ascii="Times New Roman" w:hAnsi="Times New Roman" w:cs="Times New Roman" w:eastAsia="仿宋_GB2312"/>
          <w:b w:val="false"/>
          <w:bCs/>
          <w:szCs w:val="32"/>
        </w:rPr>
        <w:t xml:space="preserve">  城镇供热实行特许经营制度。供热单位应当与县（市）住房城乡建设主管部门签订特许经营协议，取得特许经营权证。</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eastAsia="仿宋_GB2312" w:cs="Times New Roman" w:ascii="Times New Roman" w:hAnsi="Times New Roman"/>
          <w:bCs/>
          <w:sz w:val="32"/>
          <w:szCs w:val="32"/>
        </w:rPr>
        <w:t xml:space="preserve">   </w:t>
      </w:r>
      <w:r>
        <w:rPr>
          <w:rFonts w:eastAsia="黑体" w:cs="黑体" w:ascii="黑体" w:hAnsi="黑体"/>
          <w:sz w:val="32"/>
          <w:szCs w:val="32"/>
        </w:rPr>
        <w:t xml:space="preserve"> </w:t>
      </w:r>
      <w:r>
        <w:rPr>
          <w:rFonts w:ascii="黑体" w:hAnsi="黑体" w:cs="黑体" w:eastAsia="黑体"/>
          <w:sz w:val="32"/>
          <w:szCs w:val="32"/>
        </w:rPr>
        <w:t>第十九条</w:t>
      </w:r>
      <w:r>
        <w:rPr>
          <w:rFonts w:ascii="Times New Roman" w:hAnsi="Times New Roman" w:cs="Times New Roman" w:eastAsia="仿宋_GB2312"/>
          <w:sz w:val="32"/>
          <w:szCs w:val="32"/>
        </w:rPr>
        <w:t xml:space="preserve">  自治州城镇供热自</w:t>
      </w:r>
      <w:r>
        <w:rPr>
          <w:rFonts w:ascii="Times New Roman" w:hAnsi="Times New Roman" w:cs="Times New Roman" w:eastAsia="仿宋_GB2312"/>
          <w:bCs/>
          <w:sz w:val="32"/>
          <w:szCs w:val="32"/>
        </w:rPr>
        <w:t>当年</w:t>
      </w:r>
      <w:r>
        <w:rPr>
          <w:rFonts w:eastAsia="仿宋_GB2312" w:cs="Times New Roman" w:ascii="Times New Roman" w:hAnsi="Times New Roman"/>
          <w:bCs/>
          <w:sz w:val="32"/>
          <w:szCs w:val="32"/>
        </w:rPr>
        <w:t>10</w:t>
      </w:r>
      <w:r>
        <w:rPr>
          <w:rFonts w:ascii="Times New Roman" w:hAnsi="Times New Roman" w:cs="Times New Roman" w:eastAsia="仿宋_GB2312"/>
          <w:bCs/>
          <w:sz w:val="32"/>
          <w:szCs w:val="32"/>
        </w:rPr>
        <w:t>月</w:t>
      </w:r>
      <w:r>
        <w:rPr>
          <w:rFonts w:eastAsia="仿宋_GB2312" w:cs="Times New Roman" w:ascii="Times New Roman" w:hAnsi="Times New Roman"/>
          <w:bCs/>
          <w:sz w:val="32"/>
          <w:szCs w:val="32"/>
        </w:rPr>
        <w:t>5</w:t>
      </w:r>
      <w:r>
        <w:rPr>
          <w:rFonts w:ascii="Times New Roman" w:hAnsi="Times New Roman" w:cs="Times New Roman" w:eastAsia="仿宋_GB2312"/>
          <w:bCs/>
          <w:sz w:val="32"/>
          <w:szCs w:val="32"/>
        </w:rPr>
        <w:t>日至次年</w:t>
      </w:r>
      <w:r>
        <w:rPr>
          <w:rFonts w:eastAsia="仿宋_GB2312" w:cs="Times New Roman" w:ascii="Times New Roman" w:hAnsi="Times New Roman"/>
          <w:bCs/>
          <w:sz w:val="32"/>
          <w:szCs w:val="32"/>
        </w:rPr>
        <w:t>4</w:t>
      </w:r>
      <w:r>
        <w:rPr>
          <w:rFonts w:ascii="Times New Roman" w:hAnsi="Times New Roman" w:cs="Times New Roman" w:eastAsia="仿宋_GB2312"/>
          <w:bCs/>
          <w:sz w:val="32"/>
          <w:szCs w:val="32"/>
        </w:rPr>
        <w:t>月</w:t>
      </w:r>
      <w:r>
        <w:rPr>
          <w:rFonts w:eastAsia="仿宋_GB2312" w:cs="Times New Roman" w:ascii="Times New Roman" w:hAnsi="Times New Roman"/>
          <w:bCs/>
          <w:sz w:val="32"/>
          <w:szCs w:val="32"/>
        </w:rPr>
        <w:t>20</w:t>
      </w:r>
      <w:r>
        <w:rPr>
          <w:rFonts w:ascii="Times New Roman" w:hAnsi="Times New Roman" w:cs="Times New Roman" w:eastAsia="仿宋_GB2312"/>
          <w:bCs/>
          <w:sz w:val="32"/>
          <w:szCs w:val="32"/>
        </w:rPr>
        <w:t xml:space="preserve">日为一个采暖期。根据当地天气变化情况，各县（市）人民政府可以决定提前或者延长供热时间。　     </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供热单位应当按照当地政府的要求，做好提前供热或者延长供热工作。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供热期间，供热单位应当保证节能建筑居民室内温度不低于</w:t>
      </w:r>
      <w:r>
        <w:rPr>
          <w:rFonts w:eastAsia="仿宋_GB2312" w:cs="Times New Roman" w:ascii="Times New Roman" w:hAnsi="Times New Roman"/>
          <w:sz w:val="32"/>
          <w:szCs w:val="32"/>
        </w:rPr>
        <w:t>20℃,</w:t>
      </w:r>
      <w:r>
        <w:rPr>
          <w:rFonts w:ascii="Times New Roman" w:hAnsi="Times New Roman" w:cs="Times New Roman" w:eastAsia="仿宋_GB2312"/>
          <w:sz w:val="32"/>
          <w:szCs w:val="32"/>
        </w:rPr>
        <w:t>其它非节能建筑或非居民热用户的室温按照国家和自治区有关建筑设计标准执行。</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第二十条</w:t>
      </w:r>
      <w:r>
        <w:rPr>
          <w:rFonts w:ascii="Times New Roman" w:hAnsi="Times New Roman" w:cs="Times New Roman"/>
        </w:rPr>
        <w:t xml:space="preserve">   </w:t>
      </w:r>
      <w:r>
        <w:rPr>
          <w:rFonts w:ascii="Times New Roman" w:hAnsi="Times New Roman" w:cs="Times New Roman" w:eastAsia="仿宋_GB2312"/>
          <w:sz w:val="32"/>
          <w:szCs w:val="32"/>
        </w:rPr>
        <w:t>供热单位在特许经营期内不得有下列行为：</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（一）擅自转让、出租特许经营权；</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（二）擅自处置、抵押特许经营设施、设备；</w:t>
      </w:r>
    </w:p>
    <w:p>
      <w:pPr>
        <w:pStyle w:val="Normal"/>
        <w:keepNext w:val="false"/>
        <w:keepLines w:val="false"/>
        <w:pageBreakBefore w:val="false"/>
        <w:widowControl w:val="false"/>
        <w:kinsoku w:val="true"/>
        <w:overflowPunct w:val="tru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（三）超负荷、超范围供热；</w:t>
      </w:r>
    </w:p>
    <w:p>
      <w:pPr>
        <w:pStyle w:val="Normal"/>
        <w:keepNext w:val="false"/>
        <w:keepLines w:val="false"/>
        <w:pageBreakBefore w:val="false"/>
        <w:widowControl w:val="false"/>
        <w:kinsoku w:val="true"/>
        <w:overflowPunct w:val="tru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（四）违反特许经营协议的其他行为。</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第二十一条</w:t>
      </w:r>
      <w:r>
        <w:rPr>
          <w:rFonts w:ascii="Times New Roman" w:hAnsi="Times New Roman" w:cs="Times New Roman" w:eastAsia="黑体"/>
          <w:sz w:val="32"/>
          <w:szCs w:val="32"/>
        </w:rPr>
        <w:t xml:space="preserve">  </w:t>
      </w:r>
      <w:r>
        <w:rPr>
          <w:rFonts w:ascii="Times New Roman" w:hAnsi="Times New Roman" w:cs="Times New Roman" w:eastAsia="仿宋_GB2312"/>
          <w:sz w:val="32"/>
          <w:szCs w:val="32"/>
        </w:rPr>
        <w:t>在采暖期内供热热源、管网、交换站、隔压站、中继泵站等发生运行事故或者其他原因停止供热的，供热单位应当立即组织抢修，恢复供热。停止供热超过八小时的，供热单位应当通过媒体或者其他方式及时通知热用户，同时向住房城乡建设主管部门报告情况。</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由于供热单位的原因造成停热二十四小时以上不能恢复供热的，应当依据热价按日折算热费，在供热期结束后向热用户双倍退还热费；给热用户造成损害的，应当予以赔偿。</w:t>
      </w:r>
    </w:p>
    <w:p>
      <w:pPr>
        <w:pStyle w:val="Heading3"/>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b w:val="false"/>
          <w:bCs/>
          <w:szCs w:val="32"/>
        </w:rPr>
      </w:pPr>
      <w:r>
        <w:rPr>
          <w:rFonts w:ascii="黑体" w:hAnsi="黑体" w:cs="黑体" w:eastAsia="黑体"/>
          <w:b w:val="false"/>
          <w:kern w:val="2"/>
          <w:sz w:val="32"/>
          <w:szCs w:val="32"/>
        </w:rPr>
        <w:t>第二十二条</w:t>
      </w:r>
      <w:r>
        <w:rPr>
          <w:rFonts w:ascii="Times New Roman" w:hAnsi="Times New Roman" w:cs="Times New Roman" w:eastAsia="仿宋_GB2312"/>
          <w:b w:val="false"/>
          <w:bCs/>
          <w:szCs w:val="32"/>
        </w:rPr>
        <w:t xml:space="preserve">  供热单位应当向热用户公开服务时间、内容、标准和投诉电话，及时处理投诉报修，并将投诉报修处理情况在七日内报县（市）住房城乡建设主管部门。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 xml:space="preserve">第二十三条 </w:t>
      </w:r>
      <w:r>
        <w:rPr>
          <w:rFonts w:ascii="Times New Roman" w:hAnsi="Times New Roman" w:cs="Times New Roman" w:eastAsia="仿宋_GB2312"/>
          <w:sz w:val="32"/>
          <w:szCs w:val="32"/>
        </w:rPr>
        <w:t xml:space="preserve"> 供热单位应当向县（市）住房城乡建设主管部门报送下列信息和资料：</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（一）供热年度计划；</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（二）热负荷、能耗计划指标；</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（三）热源、一次管网、交换站、二次管网建设、改造计划；</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（四）维修、储煤等实施情况；</w:t>
      </w:r>
    </w:p>
    <w:p>
      <w:pPr>
        <w:pStyle w:val="Normal"/>
        <w:keepNext w:val="false"/>
        <w:keepLines w:val="false"/>
        <w:pageBreakBefore w:val="false"/>
        <w:widowControl w:val="false"/>
        <w:kinsoku w:val="true"/>
        <w:overflowPunct w:val="tru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（五）存在的问题和改进措施等。</w:t>
      </w:r>
    </w:p>
    <w:p>
      <w:pPr>
        <w:pStyle w:val="Heading3"/>
        <w:keepNext w:val="false"/>
        <w:keepLines w:val="false"/>
        <w:pageBreakBefore w:val="false"/>
        <w:widowControl w:val="false"/>
        <w:kinsoku w:val="true"/>
        <w:overflowPunct w:val="true"/>
        <w:bidi w:val="0"/>
        <w:snapToGrid w:val="true"/>
        <w:spacing w:lineRule="exact" w:line="560" w:before="0" w:after="0"/>
        <w:ind w:firstLine="640" w:start="0" w:end="0"/>
        <w:jc w:val="both"/>
        <w:textAlignment w:val="auto"/>
        <w:rPr>
          <w:rFonts w:ascii="Times New Roman" w:hAnsi="Times New Roman" w:eastAsia="仿宋_GB2312" w:cs="Times New Roman"/>
          <w:b w:val="false"/>
          <w:bCs/>
          <w:szCs w:val="32"/>
        </w:rPr>
      </w:pPr>
      <w:r>
        <w:rPr>
          <w:rFonts w:ascii="黑体" w:hAnsi="黑体" w:cs="黑体" w:eastAsia="黑体"/>
          <w:b w:val="false"/>
          <w:kern w:val="2"/>
          <w:sz w:val="32"/>
          <w:szCs w:val="32"/>
        </w:rPr>
        <w:t>第二十四条</w:t>
      </w:r>
      <w:r>
        <w:rPr>
          <w:rFonts w:ascii="Times New Roman" w:hAnsi="Times New Roman" w:cs="Times New Roman" w:eastAsia="仿宋_GB2312"/>
          <w:b w:val="false"/>
          <w:bCs/>
          <w:szCs w:val="32"/>
        </w:rPr>
        <w:t xml:space="preserve">  县（市）住房城乡建设主管部门应当定期对供热单位的供热服务质量、收费管理、综合能耗指标和节能改造等工作进行综合考核，考核结果应当向社会公布。</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第二十五条</w:t>
      </w:r>
      <w:r>
        <w:rPr>
          <w:rFonts w:ascii="Times New Roman" w:hAnsi="Times New Roman" w:cs="Times New Roman" w:eastAsia="仿宋_GB2312"/>
          <w:sz w:val="32"/>
          <w:szCs w:val="32"/>
        </w:rPr>
        <w:t xml:space="preserve">  城镇供热设施的养护、维修和改造，按照下列方式划分责任并承担费用：</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（一）供热单位的热源、管网、交换站及交换站出口的配套管网，由供热单位养护、维修和改造，并承担费用；</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（二）热用户投资建设的供热交换站，工程竣工验收合格后交由供热单位管理，养护、维修费用由供热单位承担，高层建筑供热二次加压的电费和运行维护费用由供热单位承担；</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（三）以管道井入户阀门为界，入户阀门前（含阀门）的供热设施，由供热单位负责养护和维修，费用由供热单位承担；入户阀门后的供热设施，应当由热用户养护和维修，费用由热用户承担；</w:t>
      </w:r>
    </w:p>
    <w:p>
      <w:pPr>
        <w:pStyle w:val="Normal"/>
        <w:keepNext w:val="false"/>
        <w:keepLines w:val="false"/>
        <w:pageBreakBefore w:val="false"/>
        <w:widowControl w:val="false"/>
        <w:kinsoku w:val="true"/>
        <w:overflowPunct w:val="tru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四）整栋住宅楼的室内供热系统更新改造工程，或选择其他清洁能源供热的应当由物业公司或者业主委员会提出申请，委托有资质的设计单位提出改造方案，经县（市）住房城乡建设主管部门批准并监督实施，费用由热用户承担。</w:t>
      </w:r>
    </w:p>
    <w:p>
      <w:pPr>
        <w:pStyle w:val="Heading3"/>
        <w:keepNext w:val="false"/>
        <w:keepLines w:val="false"/>
        <w:pageBreakBefore w:val="false"/>
        <w:widowControl w:val="false"/>
        <w:kinsoku w:val="true"/>
        <w:overflowPunct w:val="true"/>
        <w:bidi w:val="0"/>
        <w:snapToGrid w:val="true"/>
        <w:spacing w:lineRule="exact" w:line="560" w:before="0" w:after="0"/>
        <w:ind w:firstLine="640" w:start="0" w:end="0"/>
        <w:jc w:val="both"/>
        <w:textAlignment w:val="auto"/>
        <w:rPr>
          <w:rFonts w:ascii="Times New Roman" w:hAnsi="Times New Roman" w:eastAsia="仿宋_GB2312" w:cs="Times New Roman"/>
          <w:b w:val="false"/>
          <w:bCs/>
          <w:szCs w:val="32"/>
        </w:rPr>
      </w:pPr>
      <w:r>
        <w:rPr>
          <w:rFonts w:ascii="黑体" w:hAnsi="黑体" w:cs="黑体" w:eastAsia="黑体"/>
          <w:b w:val="false"/>
          <w:kern w:val="2"/>
          <w:sz w:val="32"/>
          <w:szCs w:val="32"/>
        </w:rPr>
        <w:t>第二十六条</w:t>
      </w:r>
      <w:r>
        <w:rPr>
          <w:rFonts w:ascii="Times New Roman" w:hAnsi="Times New Roman" w:cs="Times New Roman" w:eastAsia="仿宋_GB2312"/>
          <w:b w:val="false"/>
          <w:bCs/>
          <w:szCs w:val="32"/>
        </w:rPr>
        <w:t xml:space="preserve">  县（市）人民政府应当设立供热设施更新改造专项资金，用于居民小区共用供热设施的更新改造。具体办法由各县（市）人民政府制定。</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第二十七条</w:t>
      </w:r>
      <w:r>
        <w:rPr>
          <w:rFonts w:ascii="Times New Roman" w:hAnsi="Times New Roman" w:cs="Times New Roman" w:eastAsia="仿宋_GB2312"/>
          <w:sz w:val="32"/>
          <w:szCs w:val="32"/>
        </w:rPr>
        <w:t xml:space="preserve">  建设、施工和其他活动可能影响城镇供热设施安全的，应当事先征得住房城乡建设主管部门和供热单位的同意，采取安全有效的保护措施，保证供热设施安全。</w:t>
      </w:r>
    </w:p>
    <w:p>
      <w:pPr>
        <w:pStyle w:val="Heading3"/>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b w:val="false"/>
          <w:bCs/>
          <w:szCs w:val="32"/>
        </w:rPr>
      </w:pPr>
      <w:r>
        <w:rPr>
          <w:rFonts w:ascii="黑体" w:hAnsi="黑体" w:cs="黑体" w:eastAsia="黑体"/>
          <w:b w:val="false"/>
          <w:kern w:val="2"/>
          <w:sz w:val="32"/>
          <w:szCs w:val="32"/>
        </w:rPr>
        <w:t>第二十八条</w:t>
      </w:r>
      <w:r>
        <w:rPr>
          <w:rFonts w:ascii="Times New Roman" w:hAnsi="Times New Roman" w:cs="Times New Roman" w:eastAsia="仿宋_GB2312"/>
          <w:b w:val="false"/>
          <w:bCs/>
          <w:szCs w:val="32"/>
        </w:rPr>
        <w:t xml:space="preserve">  在供热期内，供电和供水企业应当保证供热单位正常用电和用水供给，不得擅自停电和停水。</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第二十九条</w:t>
      </w:r>
      <w:r>
        <w:rPr>
          <w:rFonts w:ascii="Times New Roman" w:hAnsi="Times New Roman" w:cs="Times New Roman" w:eastAsia="仿宋_GB2312"/>
          <w:sz w:val="32"/>
          <w:szCs w:val="32"/>
        </w:rPr>
        <w:t xml:space="preserve">  热计量仪表应当按照规定进行检定，检定费用由供热单位承担；热计量仪表计量争议需要计量机构进行检定的，检定费由计量机构认定的责任方承担。</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第三十条</w:t>
      </w:r>
      <w:r>
        <w:rPr>
          <w:rFonts w:ascii="Times New Roman" w:hAnsi="Times New Roman" w:cs="Times New Roman" w:eastAsia="仿宋_GB2312"/>
          <w:sz w:val="32"/>
          <w:szCs w:val="32"/>
        </w:rPr>
        <w:t xml:space="preserve">  禁止在城镇供热管网及附属设施外缘</w:t>
      </w:r>
      <w:r>
        <w:rPr>
          <w:rFonts w:eastAsia="仿宋_GB2312" w:cs="Times New Roman" w:ascii="Times New Roman" w:hAnsi="Times New Roman"/>
          <w:sz w:val="32"/>
          <w:szCs w:val="32"/>
        </w:rPr>
        <w:t>1.5</w:t>
      </w:r>
      <w:r>
        <w:rPr>
          <w:rFonts w:ascii="Times New Roman" w:hAnsi="Times New Roman" w:cs="Times New Roman" w:eastAsia="仿宋_GB2312"/>
          <w:sz w:val="32"/>
          <w:szCs w:val="32"/>
        </w:rPr>
        <w:t>米以内实施下列危害供热设施安全的行为：</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（一）修建建筑物、构筑物，挖坑、采砂、掘土、打桩，进行爆破作业；</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（二）堆放垃圾、杂物，向管道（管沟）及阀井中排放污水或者有毒有害、腐蚀性残液；</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（三）植树、埋设电线杆、通讯线杆；</w:t>
      </w:r>
    </w:p>
    <w:p>
      <w:pPr>
        <w:pStyle w:val="Heading3"/>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b w:val="false"/>
          <w:szCs w:val="32"/>
        </w:rPr>
      </w:pPr>
      <w:r>
        <w:rPr>
          <w:rFonts w:ascii="Times New Roman" w:hAnsi="Times New Roman" w:cs="Times New Roman" w:eastAsia="仿宋_GB2312"/>
          <w:b w:val="false"/>
          <w:szCs w:val="32"/>
        </w:rPr>
        <w:t>（四）其他危害供热设施安全运行的行为。</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黑体" w:cs="Times New Roman"/>
          <w:b w:val="false"/>
          <w:sz w:val="32"/>
          <w:szCs w:val="32"/>
        </w:rPr>
      </w:pPr>
      <w:r>
        <w:rPr>
          <w:rFonts w:eastAsia="黑体" w:cs="Times New Roman" w:ascii="Times New Roman" w:hAnsi="Times New Roman"/>
          <w:b w:val="false"/>
          <w:sz w:val="32"/>
          <w:szCs w:val="32"/>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center"/>
        <w:textAlignment w:val="auto"/>
        <w:rPr>
          <w:rFonts w:ascii="黑体" w:hAnsi="黑体" w:eastAsia="黑体" w:cs="黑体"/>
          <w:sz w:val="32"/>
          <w:szCs w:val="32"/>
        </w:rPr>
      </w:pPr>
      <w:r>
        <w:rPr>
          <w:rFonts w:ascii="黑体" w:hAnsi="黑体" w:cs="黑体" w:eastAsia="黑体"/>
          <w:sz w:val="32"/>
          <w:szCs w:val="32"/>
        </w:rPr>
        <w:t>第四章  用热管理</w:t>
      </w:r>
    </w:p>
    <w:p>
      <w:pPr>
        <w:pStyle w:val="Heading3"/>
        <w:keepNext w:val="false"/>
        <w:keepLines w:val="false"/>
        <w:pageBreakBefore w:val="false"/>
        <w:widowControl w:val="false"/>
        <w:numPr>
          <w:ilvl w:val="0"/>
          <w:numId w:val="0"/>
        </w:numPr>
        <w:kinsoku w:val="true"/>
        <w:overflowPunct w:val="true"/>
        <w:bidi w:val="0"/>
        <w:snapToGrid w:val="true"/>
        <w:spacing w:lineRule="exact" w:line="560" w:before="0" w:after="0"/>
        <w:ind w:firstLineChars="0" w:firstLine="0" w:startChars="0" w:start="0" w:endChars="0" w:end="0"/>
        <w:jc w:val="both"/>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第三十一条</w:t>
      </w:r>
      <w:r>
        <w:rPr>
          <w:rFonts w:ascii="Times New Roman" w:hAnsi="Times New Roman" w:cs="Times New Roman" w:eastAsia="黑体"/>
          <w:sz w:val="32"/>
          <w:szCs w:val="32"/>
        </w:rPr>
        <w:t xml:space="preserve"> </w:t>
      </w:r>
      <w:r>
        <w:rPr>
          <w:rFonts w:ascii="Times New Roman" w:hAnsi="Times New Roman" w:cs="Times New Roman" w:eastAsia="仿宋_GB2312"/>
          <w:sz w:val="32"/>
          <w:szCs w:val="32"/>
        </w:rPr>
        <w:t xml:space="preserve"> 供热期前，供热单位和热用户应当签订供热合同。具备计量收费条件的，应当签订按热计量收费的供热合同。</w:t>
      </w:r>
    </w:p>
    <w:p>
      <w:pPr>
        <w:pStyle w:val="Heading3"/>
        <w:keepNext w:val="false"/>
        <w:keepLines w:val="false"/>
        <w:pageBreakBefore w:val="false"/>
        <w:widowControl w:val="false"/>
        <w:kinsoku w:val="true"/>
        <w:overflowPunct w:val="true"/>
        <w:bidi w:val="0"/>
        <w:snapToGrid w:val="true"/>
        <w:spacing w:lineRule="exact" w:line="560" w:before="0" w:after="0"/>
        <w:ind w:hanging="0" w:start="0"/>
        <w:jc w:val="both"/>
        <w:textAlignment w:val="auto"/>
        <w:rPr>
          <w:rFonts w:ascii="Times New Roman" w:hAnsi="Times New Roman" w:eastAsia="仿宋_GB2312" w:cs="Times New Roman"/>
          <w:b w:val="false"/>
          <w:szCs w:val="32"/>
        </w:rPr>
      </w:pPr>
      <w:r>
        <w:rPr>
          <w:rFonts w:ascii="Times New Roman" w:hAnsi="Times New Roman" w:cs="Times New Roman" w:eastAsia="仿宋_GB2312"/>
          <w:szCs w:val="32"/>
        </w:rPr>
        <w:t>　　</w:t>
      </w:r>
      <w:r>
        <w:rPr>
          <w:rFonts w:ascii="Times New Roman" w:hAnsi="Times New Roman" w:cs="Times New Roman" w:eastAsia="仿宋_GB2312"/>
          <w:b w:val="false"/>
          <w:szCs w:val="32"/>
        </w:rPr>
        <w:t>供热合同文本应当使用市场监督、住房城乡建设主管部门监制的统一格式文本，合同文本费由供热单位承担。</w:t>
      </w:r>
    </w:p>
    <w:p>
      <w:pPr>
        <w:pStyle w:val="Normal"/>
        <w:keepNext w:val="false"/>
        <w:keepLines w:val="false"/>
        <w:pageBreakBefore w:val="false"/>
        <w:widowControl w:val="false"/>
        <w:kinsoku w:val="true"/>
        <w:overflowPunct w:val="tru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第三十二条</w:t>
      </w:r>
      <w:r>
        <w:rPr>
          <w:rFonts w:ascii="Times New Roman" w:hAnsi="Times New Roman" w:cs="Times New Roman" w:eastAsia="黑体"/>
          <w:sz w:val="32"/>
          <w:szCs w:val="32"/>
        </w:rPr>
        <w:t xml:space="preserve">  </w:t>
      </w:r>
      <w:r>
        <w:rPr>
          <w:rFonts w:ascii="Times New Roman" w:hAnsi="Times New Roman" w:cs="Times New Roman" w:eastAsia="仿宋_GB2312"/>
          <w:sz w:val="32"/>
          <w:szCs w:val="32"/>
        </w:rPr>
        <w:t>热费采用按热计量收费和按建筑面积收费两种方式。</w:t>
      </w:r>
    </w:p>
    <w:p>
      <w:pPr>
        <w:pStyle w:val="Normal"/>
        <w:keepNext w:val="false"/>
        <w:keepLines w:val="false"/>
        <w:pageBreakBefore w:val="false"/>
        <w:widowControl w:val="false"/>
        <w:kinsoku w:val="true"/>
        <w:overflowPunct w:val="tru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按房屋建筑面积收费的热用户，建筑面积以房屋产权证确定的建筑面积为准。</w:t>
      </w:r>
    </w:p>
    <w:p>
      <w:pPr>
        <w:pStyle w:val="Normal"/>
        <w:keepNext w:val="false"/>
        <w:keepLines w:val="false"/>
        <w:pageBreakBefore w:val="false"/>
        <w:widowControl w:val="false"/>
        <w:kinsoku w:val="true"/>
        <w:overflowPunct w:val="tru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安装热计量设施的热用户按热计量核定热费。</w:t>
      </w:r>
    </w:p>
    <w:p>
      <w:pPr>
        <w:pStyle w:val="Normal"/>
        <w:keepNext w:val="false"/>
        <w:keepLines w:val="false"/>
        <w:pageBreakBefore w:val="false"/>
        <w:widowControl w:val="false"/>
        <w:kinsoku w:val="true"/>
        <w:overflowPunct w:val="tru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新建住宅小区、建设单位所赠的阁楼、阳台、下跃层，安装供热设施的，应当按照实际供热面积收取热费。</w:t>
      </w:r>
    </w:p>
    <w:p>
      <w:pPr>
        <w:pStyle w:val="Normal"/>
        <w:keepNext w:val="false"/>
        <w:keepLines w:val="false"/>
        <w:pageBreakBefore w:val="false"/>
        <w:widowControl w:val="false"/>
        <w:kinsoku w:val="true"/>
        <w:overflowPunct w:val="tru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第三十三条</w:t>
      </w:r>
      <w:r>
        <w:rPr>
          <w:rFonts w:ascii="Times New Roman" w:hAnsi="Times New Roman" w:cs="Times New Roman" w:eastAsia="方正黑体_GBK"/>
          <w:sz w:val="32"/>
          <w:szCs w:val="32"/>
        </w:rPr>
        <w:t xml:space="preserve"> </w:t>
      </w:r>
      <w:r>
        <w:rPr>
          <w:rFonts w:ascii="Times New Roman" w:hAnsi="Times New Roman" w:cs="Times New Roman" w:eastAsia="仿宋_GB2312"/>
          <w:sz w:val="32"/>
          <w:szCs w:val="32"/>
        </w:rPr>
        <w:t xml:space="preserve"> 热用户认为室温不达标的，可以向供热主管部门提出温度检测要求，供热主管部门应当及时按照有关规定进行测温，检测结果由双方签字确认；供热单位和热用户对供热温度是否达标产生争议的，可以委托具有室温检测资质的机构进行检测，费用由责任方承担。</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第三十四条</w:t>
      </w:r>
      <w:r>
        <w:rPr>
          <w:rFonts w:ascii="Times New Roman" w:hAnsi="Times New Roman" w:cs="Times New Roman" w:eastAsia="仿宋_GB2312"/>
          <w:sz w:val="32"/>
          <w:szCs w:val="32"/>
        </w:rPr>
        <w:t xml:space="preserve">  热用户不得有下列行为：</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（一）擅自连接、隔断、改动、增减供热管线、供热设施；</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（二）在供热设施上安装放水装置或者过水热；</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（三）擅自安装管道启闭控制和循环装置；</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（四）擅自改变热用途，改变房屋结构或者室内供热设施，扩大用热面积；</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（五）拆除热计量表具及其他附件；</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（六）调整供热管网阀门，损坏阀门铅封；</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（七）在集中供热区域内，擅自改造集中供热系统，采用其他供暖方式供热；</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（八）阻碍供热单位工作人员对供热设施进行巡查、维护和检修；</w:t>
      </w:r>
    </w:p>
    <w:p>
      <w:pPr>
        <w:pStyle w:val="Normal"/>
        <w:keepNext w:val="false"/>
        <w:keepLines w:val="false"/>
        <w:pageBreakBefore w:val="false"/>
        <w:widowControl w:val="false"/>
        <w:kinsoku w:val="true"/>
        <w:overflowPunct w:val="true"/>
        <w:bidi w:val="0"/>
        <w:snapToGrid w:val="true"/>
        <w:spacing w:lineRule="exact" w:line="560"/>
        <w:ind w:firstLine="64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（九）其他危害供热设施安全运行的行为。</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第三十五条</w:t>
      </w:r>
      <w:r>
        <w:rPr>
          <w:rFonts w:ascii="Times New Roman" w:hAnsi="Times New Roman" w:cs="Times New Roman" w:eastAsia="仿宋_GB2312"/>
          <w:sz w:val="32"/>
          <w:szCs w:val="32"/>
        </w:rPr>
        <w:t xml:space="preserve">  热费价格由政府定价，适时调整。供热期前，政府应当公布当年热费价格。</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采用地源热泵等可再生能源供热的，热费由县（市）人民政府确定。 </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 xml:space="preserve">第三十六条 </w:t>
      </w:r>
      <w:r>
        <w:rPr>
          <w:rFonts w:ascii="Times New Roman" w:hAnsi="Times New Roman" w:cs="Times New Roman" w:eastAsia="仿宋_GB2312"/>
          <w:sz w:val="32"/>
          <w:szCs w:val="32"/>
        </w:rPr>
        <w:t xml:space="preserve"> 具备分户控制条件的热用户可以在每年</w:t>
      </w:r>
      <w:r>
        <w:rPr>
          <w:rFonts w:eastAsia="仿宋_GB2312" w:cs="Times New Roman" w:ascii="Times New Roman" w:hAnsi="Times New Roman"/>
          <w:sz w:val="32"/>
          <w:szCs w:val="32"/>
        </w:rPr>
        <w:t>9</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15</w:t>
      </w:r>
      <w:r>
        <w:rPr>
          <w:rFonts w:ascii="Times New Roman" w:hAnsi="Times New Roman" w:cs="Times New Roman" w:eastAsia="仿宋_GB2312"/>
          <w:sz w:val="32"/>
          <w:szCs w:val="32"/>
        </w:rPr>
        <w:t>日前申请停热或者恢复用热。供热单位应当办理相应手续，不得设置限制条件拒绝办理停热或者恢复用热手续。</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办理停热的热用户应当在供热期开始前向供热单位交纳供热设施运行基础费，供热设施运行基础费不得超过应交纳热费的</w:t>
      </w:r>
      <w:r>
        <w:rPr>
          <w:rFonts w:eastAsia="仿宋_GB2312" w:cs="Times New Roman" w:ascii="Times New Roman" w:hAnsi="Times New Roman"/>
          <w:sz w:val="32"/>
          <w:szCs w:val="32"/>
        </w:rPr>
        <w:t>50</w:t>
      </w:r>
      <w:r>
        <w:rPr>
          <w:rFonts w:ascii="Times New Roman" w:hAnsi="Times New Roman" w:cs="Times New Roman" w:eastAsia="仿宋_GB2312"/>
          <w:sz w:val="32"/>
          <w:szCs w:val="32"/>
        </w:rPr>
        <w:t xml:space="preserve">％。 </w:t>
      </w:r>
    </w:p>
    <w:p>
      <w:pPr>
        <w:pStyle w:val="Heading3"/>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b w:val="false"/>
          <w:szCs w:val="32"/>
          <w:shd w:fill="D9D9D9" w:val="clear"/>
        </w:rPr>
      </w:pPr>
      <w:r>
        <w:rPr>
          <w:rFonts w:ascii="黑体" w:hAnsi="黑体" w:cs="黑体" w:eastAsia="黑体"/>
          <w:b w:val="false"/>
          <w:kern w:val="2"/>
          <w:sz w:val="32"/>
          <w:szCs w:val="32"/>
        </w:rPr>
        <w:t>第三十七条</w:t>
      </w:r>
      <w:r>
        <w:rPr>
          <w:rFonts w:ascii="Times New Roman" w:hAnsi="Times New Roman" w:cs="Times New Roman" w:eastAsia="仿宋_GB2312"/>
          <w:b w:val="false"/>
          <w:bCs/>
          <w:szCs w:val="32"/>
        </w:rPr>
        <w:t xml:space="preserve"> </w:t>
      </w:r>
      <w:r>
        <w:rPr>
          <w:rFonts w:ascii="Times New Roman" w:hAnsi="Times New Roman" w:cs="Times New Roman" w:eastAsia="仿宋_GB2312"/>
          <w:szCs w:val="32"/>
        </w:rPr>
        <w:t xml:space="preserve"> </w:t>
      </w:r>
      <w:r>
        <w:rPr>
          <w:rFonts w:ascii="Times New Roman" w:hAnsi="Times New Roman" w:cs="Times New Roman" w:eastAsia="仿宋_GB2312"/>
          <w:b w:val="false"/>
          <w:szCs w:val="32"/>
        </w:rPr>
        <w:t>热用户应当在每年供热期结束前缴纳热费，热用户逾期未缴纳的，供热单位应当向热用户发送催缴热费通知，热用户应当自收到催缴热费通知之日起</w:t>
      </w:r>
      <w:r>
        <w:rPr>
          <w:rFonts w:eastAsia="仿宋_GB2312" w:cs="Times New Roman" w:ascii="Times New Roman" w:hAnsi="Times New Roman"/>
          <w:b w:val="false"/>
          <w:szCs w:val="32"/>
        </w:rPr>
        <w:t>15</w:t>
      </w:r>
      <w:r>
        <w:rPr>
          <w:rFonts w:ascii="Times New Roman" w:hAnsi="Times New Roman" w:cs="Times New Roman" w:eastAsia="仿宋_GB2312"/>
          <w:b w:val="false"/>
          <w:szCs w:val="32"/>
        </w:rPr>
        <w:t>日内向供热企业交纳热费。</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w w:val="96"/>
          <w:sz w:val="32"/>
          <w:szCs w:val="32"/>
        </w:rPr>
      </w:pPr>
      <w:r>
        <w:rPr>
          <w:rFonts w:ascii="黑体" w:hAnsi="黑体" w:cs="黑体" w:eastAsia="黑体"/>
          <w:sz w:val="32"/>
          <w:szCs w:val="32"/>
        </w:rPr>
        <w:t>第三十八条</w:t>
      </w:r>
      <w:r>
        <w:rPr>
          <w:rFonts w:ascii="黑体" w:hAnsi="黑体" w:cs="黑体" w:eastAsia="黑体"/>
          <w:w w:val="96"/>
          <w:sz w:val="32"/>
          <w:szCs w:val="32"/>
        </w:rPr>
        <w:t xml:space="preserve"> </w:t>
      </w:r>
      <w:r>
        <w:rPr>
          <w:rFonts w:ascii="Times New Roman" w:hAnsi="Times New Roman" w:cs="Times New Roman" w:eastAsia="黑体"/>
          <w:w w:val="96"/>
          <w:sz w:val="32"/>
          <w:szCs w:val="32"/>
        </w:rPr>
        <w:t xml:space="preserve"> </w:t>
      </w:r>
      <w:r>
        <w:rPr>
          <w:rFonts w:ascii="Times New Roman" w:hAnsi="Times New Roman" w:cs="Times New Roman" w:eastAsia="仿宋_GB2312"/>
          <w:w w:val="96"/>
          <w:sz w:val="32"/>
          <w:szCs w:val="32"/>
        </w:rPr>
        <w:t>供热单位依据有关规定对特困户、低保户等困难群体减免热费的，县（市）人民政府应当对供热单位给予相应补贴。</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center"/>
        <w:textAlignment w:val="auto"/>
        <w:rPr>
          <w:rFonts w:ascii="黑体" w:hAnsi="黑体" w:eastAsia="黑体" w:cs="黑体"/>
          <w:w w:val="96"/>
          <w:sz w:val="32"/>
          <w:szCs w:val="32"/>
        </w:rPr>
      </w:pPr>
      <w:r>
        <w:rPr>
          <w:rFonts w:eastAsia="黑体" w:cs="黑体" w:ascii="黑体" w:hAnsi="黑体"/>
          <w:w w:val="96"/>
          <w:sz w:val="32"/>
          <w:szCs w:val="32"/>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center"/>
        <w:textAlignment w:val="auto"/>
        <w:rPr>
          <w:rFonts w:ascii="黑体" w:hAnsi="黑体" w:eastAsia="黑体" w:cs="黑体"/>
          <w:sz w:val="32"/>
          <w:szCs w:val="32"/>
        </w:rPr>
      </w:pPr>
      <w:r>
        <w:rPr>
          <w:rFonts w:ascii="黑体" w:hAnsi="黑体" w:cs="黑体" w:eastAsia="黑体"/>
          <w:sz w:val="32"/>
          <w:szCs w:val="32"/>
        </w:rPr>
        <w:t>第五章  法律责任</w:t>
      </w:r>
    </w:p>
    <w:p>
      <w:pPr>
        <w:pStyle w:val="Heading3"/>
        <w:keepNext w:val="false"/>
        <w:keepLines w:val="false"/>
        <w:pageBreakBefore w:val="false"/>
        <w:widowControl w:val="false"/>
        <w:numPr>
          <w:ilvl w:val="0"/>
          <w:numId w:val="0"/>
        </w:numPr>
        <w:kinsoku w:val="true"/>
        <w:overflowPunct w:val="true"/>
        <w:bidi w:val="0"/>
        <w:snapToGrid w:val="true"/>
        <w:spacing w:lineRule="exact" w:line="560" w:before="0" w:after="0"/>
        <w:ind w:firstLineChars="0" w:firstLine="0" w:startChars="0" w:start="0" w:endChars="0" w:end="0"/>
        <w:jc w:val="both"/>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第三十九条</w:t>
      </w:r>
      <w:r>
        <w:rPr>
          <w:rFonts w:ascii="Times New Roman" w:hAnsi="Times New Roman" w:cs="Times New Roman" w:eastAsia="仿宋_GB2312"/>
          <w:sz w:val="32"/>
          <w:szCs w:val="32"/>
        </w:rPr>
        <w:t xml:space="preserve">  建</w:t>
      </w:r>
      <w:r>
        <w:rPr>
          <w:rFonts w:ascii="Times New Roman" w:hAnsi="Times New Roman" w:cs="Times New Roman" w:eastAsia="仿宋_GB2312"/>
          <w:spacing w:val="6"/>
          <w:sz w:val="32"/>
          <w:szCs w:val="32"/>
        </w:rPr>
        <w:t>设单位违反本条例规定，有下列行为之一的，责令</w:t>
      </w:r>
      <w:r>
        <w:rPr>
          <w:rFonts w:cs="Times New Roman" w:hint="eastAsia" w:eastAsia="仿宋_GB2312"/>
          <w:spacing w:val="6"/>
          <w:sz w:val="32"/>
          <w:szCs w:val="32"/>
        </w:rPr>
        <w:t>限期</w:t>
      </w:r>
      <w:r>
        <w:rPr>
          <w:rFonts w:ascii="Times New Roman" w:hAnsi="Times New Roman" w:cs="Times New Roman" w:eastAsia="仿宋_GB2312"/>
          <w:spacing w:val="6"/>
          <w:sz w:val="32"/>
          <w:szCs w:val="32"/>
        </w:rPr>
        <w:t>改正，</w:t>
      </w:r>
      <w:r>
        <w:rPr>
          <w:rFonts w:cs="Times New Roman" w:hint="eastAsia" w:eastAsia="仿宋_GB2312"/>
          <w:spacing w:val="6"/>
          <w:sz w:val="32"/>
          <w:szCs w:val="32"/>
        </w:rPr>
        <w:t>逾期不改正的，</w:t>
      </w:r>
      <w:r>
        <w:rPr>
          <w:rFonts w:ascii="Times New Roman" w:hAnsi="Times New Roman" w:cs="Times New Roman" w:eastAsia="仿宋_GB2312"/>
          <w:spacing w:val="6"/>
          <w:sz w:val="32"/>
          <w:szCs w:val="32"/>
        </w:rPr>
        <w:t>处五万元以上十万元以下罚款</w:t>
      </w:r>
      <w:r>
        <w:rPr>
          <w:rFonts w:ascii="Times New Roman" w:hAnsi="Times New Roman" w:cs="Times New Roman" w:eastAsia="仿宋_GB2312"/>
          <w:sz w:val="32"/>
          <w:szCs w:val="32"/>
        </w:rPr>
        <w:t xml:space="preserve">： </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（一）未按照住房城乡建设主管部门确定的供热方案进行设计、施工建设的；</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color w:val="FF0000"/>
          <w:sz w:val="32"/>
          <w:szCs w:val="32"/>
        </w:rPr>
        <w:t>　　</w:t>
      </w:r>
      <w:r>
        <w:rPr>
          <w:rFonts w:ascii="Times New Roman" w:hAnsi="Times New Roman" w:cs="Times New Roman" w:eastAsia="仿宋_GB2312"/>
          <w:sz w:val="32"/>
          <w:szCs w:val="32"/>
        </w:rPr>
        <w:t>（二）新建采暖建筑未按照规定配套建设供热设施的；</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color w:val="FF0000"/>
          <w:sz w:val="32"/>
          <w:szCs w:val="32"/>
        </w:rPr>
        <w:t>　　</w:t>
      </w:r>
      <w:r>
        <w:rPr>
          <w:rFonts w:ascii="Times New Roman" w:hAnsi="Times New Roman" w:cs="Times New Roman" w:eastAsia="仿宋_GB2312"/>
          <w:sz w:val="32"/>
          <w:szCs w:val="32"/>
        </w:rPr>
        <w:t>（三）供热设施未经验收投入使用的。</w:t>
      </w:r>
    </w:p>
    <w:p>
      <w:pPr>
        <w:pStyle w:val="Heading3"/>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b w:val="false"/>
          <w:szCs w:val="32"/>
        </w:rPr>
      </w:pPr>
      <w:r>
        <w:rPr>
          <w:rFonts w:ascii="黑体" w:hAnsi="黑体" w:cs="黑体" w:eastAsia="黑体"/>
          <w:b w:val="false"/>
          <w:kern w:val="2"/>
          <w:sz w:val="32"/>
          <w:szCs w:val="32"/>
        </w:rPr>
        <w:t xml:space="preserve">第四十条 </w:t>
      </w:r>
      <w:r>
        <w:rPr>
          <w:rFonts w:ascii="Times New Roman" w:hAnsi="Times New Roman" w:cs="Times New Roman" w:eastAsia="仿宋_GB2312"/>
          <w:b w:val="false"/>
          <w:szCs w:val="32"/>
        </w:rPr>
        <w:t xml:space="preserve"> 供热单位违反本条例第二十条第一项至第三项所列行为之一的，责令限期改正；逾期不改正的，撤销特许经营权，终止特许经营协议。</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第四十一条</w:t>
      </w:r>
      <w:r>
        <w:rPr>
          <w:rFonts w:ascii="Times New Roman" w:hAnsi="Times New Roman" w:cs="Times New Roman" w:eastAsia="方正黑体_GBK"/>
          <w:sz w:val="32"/>
          <w:szCs w:val="32"/>
        </w:rPr>
        <w:t xml:space="preserve"> </w:t>
      </w:r>
      <w:r>
        <w:rPr>
          <w:rFonts w:ascii="Times New Roman" w:hAnsi="Times New Roman" w:cs="Times New Roman" w:eastAsia="黑体"/>
          <w:sz w:val="32"/>
          <w:szCs w:val="32"/>
        </w:rPr>
        <w:t xml:space="preserve"> </w:t>
      </w:r>
      <w:r>
        <w:rPr>
          <w:rFonts w:ascii="Times New Roman" w:hAnsi="Times New Roman" w:cs="Times New Roman" w:eastAsia="仿宋_GB2312"/>
          <w:sz w:val="32"/>
          <w:szCs w:val="32"/>
        </w:rPr>
        <w:t>供热单位发生运行事故或者其他原因停止供热，未及时抢修恢复供热的（停暖超过十二小时），处一万元以上三万元以下罚款，并限期改正；逾期不改正的，处五万元以上十万元以下罚款。</w:t>
      </w:r>
    </w:p>
    <w:p>
      <w:pPr>
        <w:pStyle w:val="Heading3"/>
        <w:keepNext w:val="false"/>
        <w:keepLines w:val="false"/>
        <w:pageBreakBefore w:val="false"/>
        <w:widowControl w:val="false"/>
        <w:kinsoku w:val="true"/>
        <w:overflowPunct w:val="true"/>
        <w:bidi w:val="0"/>
        <w:snapToGrid w:val="true"/>
        <w:spacing w:lineRule="exact" w:line="560" w:before="0" w:after="0"/>
        <w:ind w:firstLine="641" w:start="0" w:end="0"/>
        <w:jc w:val="both"/>
        <w:textAlignment w:val="auto"/>
        <w:rPr>
          <w:rFonts w:ascii="Times New Roman" w:hAnsi="Times New Roman" w:eastAsia="仿宋_GB2312" w:cs="Times New Roman"/>
          <w:b w:val="false"/>
          <w:szCs w:val="32"/>
        </w:rPr>
      </w:pPr>
      <w:r>
        <w:rPr>
          <w:rFonts w:ascii="黑体" w:hAnsi="黑体" w:cs="黑体" w:eastAsia="黑体"/>
          <w:b w:val="false"/>
          <w:kern w:val="2"/>
          <w:sz w:val="32"/>
          <w:szCs w:val="32"/>
        </w:rPr>
        <w:t>第四十二条</w:t>
      </w:r>
      <w:r>
        <w:rPr>
          <w:rFonts w:ascii="Times New Roman" w:hAnsi="Times New Roman" w:cs="Times New Roman" w:eastAsia="方正黑体_GBK"/>
          <w:b w:val="false"/>
          <w:kern w:val="2"/>
          <w:sz w:val="32"/>
          <w:szCs w:val="32"/>
        </w:rPr>
        <w:t xml:space="preserve"> </w:t>
      </w:r>
      <w:r>
        <w:rPr>
          <w:rFonts w:ascii="Times New Roman" w:hAnsi="Times New Roman" w:cs="Times New Roman" w:eastAsia="仿宋_GB2312"/>
          <w:szCs w:val="32"/>
        </w:rPr>
        <w:t xml:space="preserve"> </w:t>
      </w:r>
      <w:r>
        <w:rPr>
          <w:rFonts w:ascii="Times New Roman" w:hAnsi="Times New Roman" w:cs="Times New Roman" w:eastAsia="仿宋_GB2312"/>
          <w:b w:val="false"/>
          <w:szCs w:val="32"/>
        </w:rPr>
        <w:t>违反本条例第三十四条第一项至第七项规定的，责令限期改正，并可对单位热用户处一千元以下罚款，对居民热用户处二百元以下罚款；属于经营活动的，处一万元以上三万元以下罚款。</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eastAsia="黑体"/>
          <w:sz w:val="32"/>
          <w:szCs w:val="32"/>
        </w:rPr>
        <w:t xml:space="preserve">第四十三条 </w:t>
      </w:r>
      <w:r>
        <w:rPr>
          <w:rFonts w:ascii="Times New Roman" w:hAnsi="Times New Roman" w:cs="Times New Roman" w:eastAsia="仿宋_GB2312"/>
          <w:sz w:val="32"/>
          <w:szCs w:val="32"/>
        </w:rPr>
        <w:t xml:space="preserve"> 违反本条例规定，应当追究责任的其他行为，按照有关法律法规的规定执行。</w:t>
      </w:r>
    </w:p>
    <w:p>
      <w:pPr>
        <w:pStyle w:val="Heading3"/>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b w:val="false"/>
          <w:szCs w:val="32"/>
        </w:rPr>
      </w:pPr>
      <w:r>
        <w:rPr>
          <w:rFonts w:ascii="黑体" w:hAnsi="黑体" w:cs="黑体" w:eastAsia="黑体"/>
          <w:b w:val="false"/>
          <w:kern w:val="2"/>
          <w:sz w:val="32"/>
          <w:szCs w:val="32"/>
        </w:rPr>
        <w:t>第四十四条</w:t>
      </w:r>
      <w:r>
        <w:rPr>
          <w:rFonts w:ascii="Times New Roman" w:hAnsi="Times New Roman" w:cs="Times New Roman" w:eastAsia="仿宋_GB2312"/>
          <w:szCs w:val="32"/>
        </w:rPr>
        <w:t xml:space="preserve">  </w:t>
      </w:r>
      <w:r>
        <w:rPr>
          <w:rFonts w:ascii="Times New Roman" w:hAnsi="Times New Roman" w:cs="Times New Roman" w:eastAsia="仿宋_GB2312"/>
          <w:b w:val="false"/>
          <w:szCs w:val="32"/>
        </w:rPr>
        <w:t>住房城乡建设主管部门和其他有关部门工作人员违反本条例规定，玩忽职守、滥用职权、徇私舞弊的，由其所在单位或者有关主管部门依法给予行政处分；构成犯罪的，依法追究刑事责任。</w:t>
      </w:r>
    </w:p>
    <w:p>
      <w:pPr>
        <w:pStyle w:val="Normal"/>
        <w:keepNext w:val="false"/>
        <w:keepLines w:val="false"/>
        <w:pageBreakBefore w:val="false"/>
        <w:widowControl w:val="false"/>
        <w:kinsoku w:val="true"/>
        <w:overflowPunct w:val="true"/>
        <w:bidi w:val="0"/>
        <w:snapToGrid w:val="true"/>
        <w:spacing w:lineRule="exact" w:line="560"/>
        <w:jc w:val="both"/>
        <w:textAlignment w:val="auto"/>
        <w:rPr>
          <w:rFonts w:ascii="Times New Roman" w:hAnsi="Times New Roman" w:eastAsia="黑体" w:cs="Times New Roman"/>
          <w:b w:val="false"/>
          <w:sz w:val="32"/>
          <w:szCs w:val="32"/>
        </w:rPr>
      </w:pPr>
      <w:r>
        <w:rPr>
          <w:rFonts w:eastAsia="黑体" w:cs="Times New Roman" w:ascii="Times New Roman" w:hAnsi="Times New Roman"/>
          <w:b w:val="false"/>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附  则</w:t>
      </w:r>
    </w:p>
    <w:p>
      <w:pPr>
        <w:pStyle w:val="Heading3"/>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hanging="0" w:start="0"/>
        <w:jc w:val="both"/>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黑体" w:hAnsi="黑体" w:cs="黑体" w:hint="eastAsia" w:eastAsia="黑体"/>
          <w:sz w:val="32"/>
          <w:szCs w:val="32"/>
        </w:rPr>
        <w:t>第四十五条</w:t>
      </w:r>
      <w:r>
        <w:rPr>
          <w:rFonts w:ascii="Times New Roman" w:hAnsi="Times New Roman" w:cs="Times New Roman" w:eastAsia="仿宋_GB2312"/>
          <w:sz w:val="32"/>
          <w:szCs w:val="32"/>
        </w:rPr>
        <w:t xml:space="preserve"> 本条例下列用语的含义：</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供热单位，是指具备特许经营资格，依据合同向热用户提供热能的生产经营单位。</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热用户，是指依据合同约定，使用城镇供热的单位热用户和居民热用户。</w:t>
      </w:r>
    </w:p>
    <w:p>
      <w:pPr>
        <w:pStyle w:val="Normal"/>
        <w:keepNext w:val="false"/>
        <w:keepLines w:val="false"/>
        <w:pageBreakBefore w:val="false"/>
        <w:widowControl w:val="false"/>
        <w:kinsoku w:val="true"/>
        <w:overflowPunct w:val="true"/>
        <w:autoSpaceDE w:val="true"/>
        <w:bidi w:val="0"/>
        <w:snapToGrid w:val="true"/>
        <w:spacing w:lineRule="exact" w:line="560"/>
        <w:ind w:firstLine="641"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城镇供热设施，包括热源厂、供热锅炉房、热交换站、供热主管网（一次网、交换站出口配套管网）、供热支管网（二次网、单位、小区共用管网）、户内共用管道、阀门、管道闸井、泵站、阀门、伸缩器、支架、检查井、井盖、压力表、计量仪表、温控阀、散热器、地暖管、集水器、供热计量系统及附属计量设备间等设施。</w:t>
      </w:r>
    </w:p>
    <w:p>
      <w:pPr>
        <w:pStyle w:val="Heading3"/>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方正小标宋简体" w:cs="Times New Roman"/>
          <w:sz w:val="44"/>
          <w:szCs w:val="44"/>
        </w:rPr>
      </w:pPr>
      <w:r>
        <w:rPr>
          <w:rFonts w:ascii="黑体" w:hAnsi="黑体" w:cs="黑体" w:eastAsia="黑体"/>
          <w:b w:val="false"/>
          <w:kern w:val="2"/>
          <w:sz w:val="32"/>
          <w:szCs w:val="32"/>
        </w:rPr>
        <w:t xml:space="preserve">第四十六条 </w:t>
      </w:r>
      <w:r>
        <w:rPr>
          <w:rFonts w:ascii="Times New Roman" w:hAnsi="Times New Roman" w:cs="Times New Roman" w:eastAsia="仿宋_GB2312"/>
          <w:b w:val="false"/>
          <w:bCs/>
          <w:szCs w:val="32"/>
        </w:rPr>
        <w:t xml:space="preserve"> </w:t>
      </w:r>
      <w:r>
        <w:rPr>
          <w:rFonts w:ascii="Times New Roman" w:hAnsi="Times New Roman" w:cs="Times New Roman" w:eastAsia="仿宋_GB2312"/>
          <w:b w:val="false"/>
          <w:szCs w:val="32"/>
        </w:rPr>
        <w:t>本条例</w:t>
      </w:r>
      <w:r>
        <w:rPr>
          <w:rFonts w:ascii="Times New Roman" w:hAnsi="Times New Roman" w:cs="Times New Roman" w:hint="eastAsia" w:eastAsia="仿宋_GB2312"/>
          <w:b w:val="false"/>
          <w:szCs w:val="32"/>
        </w:rPr>
        <w:t>自</w:t>
      </w:r>
      <w:r>
        <w:rPr>
          <w:rFonts w:eastAsia="仿宋_GB2312" w:cs="Times New Roman" w:ascii="Times New Roman" w:hAnsi="Times New Roman"/>
          <w:b w:val="false"/>
          <w:szCs w:val="32"/>
        </w:rPr>
        <w:t>2022</w:t>
      </w:r>
      <w:r>
        <w:rPr>
          <w:rFonts w:ascii="Times New Roman" w:hAnsi="Times New Roman" w:cs="Times New Roman" w:eastAsia="仿宋_GB2312"/>
          <w:b w:val="false"/>
          <w:szCs w:val="32"/>
        </w:rPr>
        <w:t>年</w:t>
      </w:r>
      <w:r>
        <w:rPr>
          <w:rFonts w:eastAsia="仿宋_GB2312" w:cs="Times New Roman" w:hint="eastAsia" w:ascii="Times New Roman" w:hAnsi="Times New Roman"/>
          <w:b w:val="false"/>
          <w:szCs w:val="32"/>
        </w:rPr>
        <w:t>6</w:t>
      </w:r>
      <w:r>
        <w:rPr>
          <w:rFonts w:eastAsia="仿宋_GB2312" w:cs="Times New Roman" w:ascii="Times New Roman" w:hAnsi="Times New Roman"/>
          <w:b w:val="false"/>
          <w:szCs w:val="32"/>
        </w:rPr>
        <w:t xml:space="preserve"> </w:t>
      </w:r>
      <w:r>
        <w:rPr>
          <w:rFonts w:ascii="Times New Roman" w:hAnsi="Times New Roman" w:cs="Times New Roman" w:eastAsia="仿宋_GB2312"/>
          <w:b w:val="false"/>
          <w:szCs w:val="32"/>
        </w:rPr>
        <w:t>月</w:t>
      </w:r>
      <w:r>
        <w:rPr>
          <w:rFonts w:eastAsia="仿宋_GB2312" w:cs="Times New Roman" w:hint="eastAsia" w:ascii="Times New Roman" w:hAnsi="Times New Roman"/>
          <w:b w:val="false"/>
          <w:szCs w:val="32"/>
        </w:rPr>
        <w:t>1</w:t>
      </w:r>
      <w:r>
        <w:rPr>
          <w:rFonts w:eastAsia="仿宋_GB2312" w:cs="Times New Roman" w:ascii="Times New Roman" w:hAnsi="Times New Roman"/>
          <w:b w:val="false"/>
          <w:szCs w:val="32"/>
        </w:rPr>
        <w:t xml:space="preserve"> </w:t>
      </w:r>
      <w:r>
        <w:rPr>
          <w:rFonts w:ascii="Times New Roman" w:hAnsi="Times New Roman" w:cs="Times New Roman" w:eastAsia="仿宋_GB2312"/>
          <w:b w:val="false"/>
          <w:szCs w:val="32"/>
        </w:rPr>
        <w:t>日起施行。</w:t>
      </w:r>
    </w:p>
    <w:p>
      <w:pPr>
        <w:pStyle w:val="Normal"/>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sectPr>
      <w:footerReference w:type="default" r:id="rId2"/>
      <w:type w:val="nextPage"/>
      <w:pgSz w:w="11906" w:h="16838"/>
      <w:pgMar w:left="1531" w:right="1531"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Cambria">
    <w:altName w:val="FreeSerif"/>
    <w:charset w:val="00" w:characterSet="windows-1252"/>
    <w:family w:val="roman"/>
    <w:pitch w:val="default"/>
  </w:font>
  <w:font w:name="黑体">
    <w:charset w:val="86"/>
    <w:family w:val="auto"/>
    <w:pitch w:val="default"/>
  </w:font>
  <w:font w:name="Liberation Sans">
    <w:altName w:val="Arial"/>
    <w:charset w:val="01" w:characterSet="utf-8"/>
    <w:family w:val="swiss"/>
    <w:pitch w:val="variable"/>
  </w:font>
  <w:font w:name="宋体">
    <w:altName w:val="方正书宋_GBK"/>
    <w:charset w:val="86"/>
    <w:family w:val="auto"/>
    <w:pitch w:val="default"/>
  </w:font>
  <w:font w:name="华文中宋">
    <w:altName w:val="汉仪中宋简"/>
    <w:charset w:val="00" w:characterSet="windows-1252"/>
    <w:family w:val="auto"/>
    <w:pitch w:val="default"/>
  </w:font>
  <w:font w:name="宋体">
    <w:altName w:val="方正书宋_GBK"/>
    <w:charset w:val="00" w:characterSet="windows-1252"/>
    <w:family w:val="auto"/>
    <w:pitch w:val="default"/>
  </w:font>
  <w:font w:name="Times New Roman">
    <w:charset w:val="00" w:characterSet="windows-1252"/>
    <w:family w:val="roma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12</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12</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6"/>
      <w:numFmt w:val="chineseCountingThousand"/>
      <w:suff w:val="space"/>
      <w:lvlText w:val="第%1章"/>
      <w:lvlJc w:val="start"/>
      <w:pPr>
        <w:tabs>
          <w:tab w:val="num" w:pos="0"/>
        </w:tabs>
        <w:ind w:start="0" w:hanging="0"/>
      </w:pPr>
      <w:rPr>
        <w:rFonts w:ascii="黑体" w:hAnsi="黑体" w:eastAsia="黑体" w:cs="黑体" w:hint="eastAsia"/>
        <w:sz w:val="32"/>
        <w:szCs w:val="32"/>
      </w:rPr>
    </w:lvl>
  </w:abstractNum>
  <w:abstractNum w:abstractNumId="3">
    <w:lvl w:ilvl="0">
      <w:start w:val="2"/>
      <w:numFmt w:val="chineseCountingThousand"/>
      <w:suff w:val="space"/>
      <w:lvlText w:val="第%1章"/>
      <w:lvlJc w:val="start"/>
      <w:pPr>
        <w:tabs>
          <w:tab w:val="num" w:pos="0"/>
        </w:tabs>
        <w:ind w:start="0" w:hanging="0"/>
      </w:pPr>
      <w:rPr>
        <w:rFonts w:ascii="黑体" w:hAnsi="黑体" w:eastAsia="黑体" w:cs="黑体" w:hint="eastAsia"/>
        <w:sz w:val="32"/>
        <w:szCs w:val="32"/>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DejaVu Sans" w:hAnsi="Calibri;DejaVu Sans" w:eastAsia="宋体;方正书宋_GBK"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napToGrid w:val="false"/>
      <w:spacing w:lineRule="exact" w:line="560"/>
      <w:jc w:val="center"/>
      <w:outlineLvl w:val="1"/>
    </w:pPr>
    <w:rPr>
      <w:rFonts w:ascii="Cambria;FreeSerif" w:hAnsi="Cambria;FreeSerif" w:eastAsia="方正小标宋简体" w:cs="Cambria;FreeSerif"/>
      <w:bCs/>
      <w:sz w:val="36"/>
      <w:szCs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rFonts w:hint="eastAsia"/>
      <w:b/>
      <w:sz w:val="32"/>
    </w:rPr>
  </w:style>
  <w:style w:type="character" w:styleId="WW8Num1z0">
    <w:name w:val="WW8Num1z0"/>
    <w:qFormat/>
    <w:rPr>
      <w:rFonts w:ascii="黑体" w:hAnsi="黑体" w:eastAsia="黑体" w:cs="黑体" w:hint="eastAsia"/>
      <w:sz w:val="32"/>
      <w:szCs w:val="32"/>
    </w:rPr>
  </w:style>
  <w:style w:type="character" w:styleId="WW8Num2z0">
    <w:name w:val="WW8Num2z0"/>
    <w:qFormat/>
    <w:rPr>
      <w:rFonts w:ascii="黑体" w:hAnsi="黑体" w:eastAsia="黑体" w:cs="黑体" w:hint="eastAsia"/>
      <w:sz w:val="32"/>
      <w:szCs w:val="32"/>
    </w:rPr>
  </w:style>
  <w:style w:type="character" w:styleId="Style12">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3">
    <w:name w:val="普通(网站)"/>
    <w:basedOn w:val="Normal"/>
    <w:next w:val="Normal"/>
    <w:qFormat/>
    <w:pPr>
      <w:spacing w:before="280" w:after="280"/>
      <w:jc w:val="start"/>
    </w:pPr>
    <w:rPr>
      <w:rFonts w:cs="Times New Roman"/>
      <w:kern w:val="0"/>
      <w:sz w:val="24"/>
    </w:rPr>
  </w:style>
  <w:style w:type="paragraph" w:styleId="p0">
    <w:name w:val="p0"/>
    <w:basedOn w:val="Normal"/>
    <w:qFormat/>
    <w:pPr>
      <w:widowControl/>
    </w:pPr>
    <w:rPr>
      <w:rFonts w:ascii="宋体;方正书宋_GBK" w:hAnsi="宋体;方正书宋_GBK" w:cs="宋体;方正书宋_GBK"/>
      <w:kern w:val="0"/>
      <w:szCs w:val="21"/>
    </w:rPr>
  </w:style>
  <w:style w:type="paragraph" w:styleId="Default">
    <w:name w:val="Default"/>
    <w:qFormat/>
    <w:pPr>
      <w:widowControl w:val="false"/>
      <w:autoSpaceDE w:val="false"/>
      <w:bidi w:val="0"/>
    </w:pPr>
    <w:rPr>
      <w:rFonts w:ascii="华文中宋;汉仪中宋简" w:hAnsi="华文中宋;汉仪中宋简" w:eastAsia="华文中宋;汉仪中宋简" w:cs="Times New Roman"/>
      <w:color w:val="000000"/>
      <w:sz w:val="24"/>
      <w:szCs w:val="22"/>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2022-04-19T19:07:05Z</dcterms:created>
  <dc:creator>Administrator</dc:creator>
  <dc:description/>
  <dc:language>en-US</dc:language>
  <cp:lastModifiedBy>user</cp:lastModifiedBy>
  <cp:lastPrinted>2022-05-18T17:12:00Z</cp:lastPrinted>
  <dcterms:modified xsi:type="dcterms:W3CDTF">2022-05-25T00:46:02Z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