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napToGrid w:val="false"/>
        <w:spacing w:lineRule="exact" w:line="560"/>
        <w:jc w:val="center"/>
        <w:outlineLvl w:val="0"/>
        <w:rPr>
          <w:rFonts w:ascii="方正小标宋简体" w:hAnsi="方正小标宋简体" w:eastAsia="方正小标宋简体" w:cs="方正小标宋简体" w:hint="eastAsia"/>
          <w:kern w:val="0"/>
          <w:sz w:val="44"/>
          <w:szCs w:val="44"/>
        </w:rPr>
      </w:pPr>
      <w:r>
        <w:rPr>
          <w:rFonts w:eastAsia="方正小标宋简体" w:cs="方正小标宋简体" w:hint="eastAsia" w:ascii="方正小标宋简体" w:hAnsi="方正小标宋简体"/>
          <w:kern w:val="0"/>
          <w:sz w:val="44"/>
          <w:szCs w:val="44"/>
        </w:rPr>
      </w:r>
    </w:p>
    <w:p>
      <w:pPr>
        <w:pStyle w:val="Normal"/>
        <w:numPr>
          <w:ilvl w:val="0"/>
          <w:numId w:val="0"/>
        </w:numPr>
        <w:snapToGrid w:val="false"/>
        <w:spacing w:lineRule="exact" w:line="560"/>
        <w:jc w:val="center"/>
        <w:outlineLvl w:val="0"/>
        <w:rPr>
          <w:rFonts w:ascii="方正小标宋简体" w:hAnsi="方正小标宋简体" w:eastAsia="方正小标宋简体" w:cs="方正小标宋简体" w:hint="eastAsia"/>
          <w:kern w:val="0"/>
          <w:sz w:val="44"/>
          <w:szCs w:val="44"/>
        </w:rPr>
      </w:pPr>
      <w:r>
        <w:rPr>
          <w:rFonts w:eastAsia="方正小标宋简体" w:cs="方正小标宋简体" w:hint="eastAsia" w:ascii="方正小标宋简体" w:hAnsi="方正小标宋简体"/>
          <w:kern w:val="0"/>
          <w:sz w:val="44"/>
          <w:szCs w:val="44"/>
        </w:rPr>
      </w:r>
    </w:p>
    <w:p>
      <w:pPr>
        <w:pStyle w:val="Normal"/>
        <w:numPr>
          <w:ilvl w:val="0"/>
          <w:numId w:val="0"/>
        </w:numPr>
        <w:snapToGrid w:val="false"/>
        <w:spacing w:lineRule="exact" w:line="560"/>
        <w:jc w:val="center"/>
        <w:outlineLvl w:val="0"/>
        <w:rPr>
          <w:rFonts w:ascii="宋体;SimSun" w:hAnsi="宋体;SimSun" w:cs="宋体;SimSun" w:hint="eastAsia"/>
          <w:kern w:val="0"/>
          <w:sz w:val="44"/>
          <w:szCs w:val="44"/>
        </w:rPr>
      </w:pPr>
      <w:r>
        <w:rPr>
          <w:rFonts w:ascii="宋体;SimSun" w:hAnsi="宋体;SimSun" w:cs="宋体;SimSun" w:hint="eastAsia"/>
          <w:kern w:val="0"/>
          <w:sz w:val="44"/>
          <w:szCs w:val="44"/>
        </w:rPr>
        <w:t>塔城市河流生态保护条例</w:t>
      </w:r>
    </w:p>
    <w:p>
      <w:pPr>
        <w:pStyle w:val="Normal"/>
        <w:snapToGrid w:val="false"/>
        <w:spacing w:lineRule="exact" w:line="560"/>
        <w:jc w:val="center"/>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t> </w:t>
      </w:r>
    </w:p>
    <w:p>
      <w:pPr>
        <w:pStyle w:val="Normal"/>
        <w:numPr>
          <w:ilvl w:val="0"/>
          <w:numId w:val="0"/>
        </w:numPr>
        <w:snapToGrid w:val="false"/>
        <w:spacing w:lineRule="exact" w:line="560"/>
        <w:ind w:start="420" w:end="420"/>
        <w:jc w:val="center"/>
        <w:outlineLvl w:val="0"/>
        <w:rPr>
          <w:rFonts w:ascii="楷体_GB2312" w:hAnsi="楷体_GB2312" w:eastAsia="楷体_GB2312" w:cs="楷体_GB2312" w:hint="eastAsia"/>
          <w:kern w:val="0"/>
          <w:sz w:val="32"/>
          <w:szCs w:val="32"/>
        </w:rPr>
      </w:pPr>
      <w:r>
        <w:rPr>
          <w:rFonts w:ascii="楷体_GB2312" w:hAnsi="楷体_GB2312" w:cs="楷体_GB2312" w:hint="eastAsia" w:eastAsia="楷体_GB2312"/>
          <w:spacing w:val="-20"/>
          <w:sz w:val="32"/>
          <w:szCs w:val="32"/>
        </w:rPr>
        <w:t>（</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 xml:space="preserve">日伊犁哈萨克自治州第十四届人民代表大会常务委员会第三次会议通过  </w:t>
      </w:r>
      <w:r>
        <w:rPr>
          <w:rStyle w:val="Strong"/>
          <w:rFonts w:eastAsia="楷体_GB2312" w:cs="楷体_GB2312" w:hint="eastAsia" w:ascii="楷体_GB2312" w:hAnsi="楷体_GB2312"/>
          <w:b w:val="false"/>
          <w:sz w:val="32"/>
          <w:szCs w:val="32"/>
        </w:rPr>
        <w:t>2017</w:t>
      </w:r>
      <w:r>
        <w:rPr>
          <w:rStyle w:val="Strong"/>
          <w:rFonts w:ascii="楷体_GB2312" w:hAnsi="楷体_GB2312" w:cs="楷体_GB2312" w:hint="eastAsia" w:eastAsia="楷体_GB2312"/>
          <w:b w:val="false"/>
          <w:sz w:val="32"/>
          <w:szCs w:val="32"/>
        </w:rPr>
        <w:t>年</w:t>
      </w:r>
      <w:r>
        <w:rPr>
          <w:rStyle w:val="Strong"/>
          <w:rFonts w:eastAsia="楷体_GB2312" w:cs="楷体_GB2312" w:hint="eastAsia" w:ascii="楷体_GB2312" w:hAnsi="楷体_GB2312"/>
          <w:b w:val="false"/>
          <w:sz w:val="32"/>
          <w:szCs w:val="32"/>
        </w:rPr>
        <w:t>7</w:t>
      </w:r>
      <w:r>
        <w:rPr>
          <w:rStyle w:val="Strong"/>
          <w:rFonts w:ascii="楷体_GB2312" w:hAnsi="楷体_GB2312" w:cs="楷体_GB2312" w:hint="eastAsia" w:eastAsia="楷体_GB2312"/>
          <w:b w:val="false"/>
          <w:sz w:val="32"/>
          <w:szCs w:val="32"/>
        </w:rPr>
        <w:t>月</w:t>
      </w:r>
      <w:r>
        <w:rPr>
          <w:rStyle w:val="Strong"/>
          <w:rFonts w:eastAsia="楷体_GB2312" w:cs="楷体_GB2312" w:hint="eastAsia" w:ascii="楷体_GB2312" w:hAnsi="楷体_GB2312"/>
          <w:b w:val="false"/>
          <w:sz w:val="32"/>
          <w:szCs w:val="32"/>
        </w:rPr>
        <w:t>28</w:t>
      </w:r>
      <w:r>
        <w:rPr>
          <w:rStyle w:val="Strong"/>
          <w:rFonts w:ascii="楷体_GB2312" w:hAnsi="楷体_GB2312" w:cs="楷体_GB2312" w:hint="eastAsia" w:eastAsia="楷体_GB2312"/>
          <w:b w:val="false"/>
          <w:sz w:val="32"/>
          <w:szCs w:val="32"/>
        </w:rPr>
        <w:t xml:space="preserve">日新疆维吾尔自治区第十二届人民代表大会常务委员会第三十次会议批准  </w:t>
      </w:r>
      <w:r>
        <w:rPr>
          <w:rFonts w:eastAsia="楷体_GB2312" w:cs="楷体_GB2312" w:hint="eastAsia" w:ascii="楷体_GB2312" w:hAnsi="楷体_GB2312"/>
          <w:color w:val="000000"/>
          <w:sz w:val="32"/>
          <w:szCs w:val="32"/>
        </w:rPr>
        <w:t>2022</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6</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12</w:t>
      </w:r>
      <w:r>
        <w:rPr>
          <w:rFonts w:ascii="楷体_GB2312" w:hAnsi="楷体_GB2312" w:cs="楷体_GB2312" w:hint="eastAsia" w:eastAsia="楷体_GB2312"/>
          <w:color w:val="000000"/>
          <w:sz w:val="32"/>
          <w:szCs w:val="32"/>
        </w:rPr>
        <w:t>日伊犁哈萨克自治州第十五届人民代表大会常务委员会第三次会议修订</w:t>
      </w:r>
      <w:r>
        <w:rPr>
          <w:rFonts w:ascii="楷体_GB2312" w:hAnsi="楷体_GB2312" w:cs="楷体_GB2312" w:eastAsia="楷体_GB2312"/>
          <w:color w:val="000000"/>
          <w:sz w:val="32"/>
          <w:szCs w:val="32"/>
        </w:rPr>
        <w:t xml:space="preserve">  </w:t>
      </w:r>
      <w:r>
        <w:rPr>
          <w:rFonts w:eastAsia="楷体_GB2312" w:cs="楷体_GB2312" w:hint="eastAsia" w:ascii="楷体_GB2312" w:hAnsi="楷体_GB2312"/>
          <w:kern w:val="0"/>
          <w:sz w:val="32"/>
          <w:szCs w:val="32"/>
        </w:rPr>
        <w:t>2022</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7</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29</w:t>
      </w:r>
      <w:r>
        <w:rPr>
          <w:rFonts w:ascii="楷体_GB2312" w:hAnsi="楷体_GB2312" w:cs="楷体_GB2312" w:hint="eastAsia" w:eastAsia="楷体_GB2312"/>
          <w:kern w:val="0"/>
          <w:sz w:val="32"/>
          <w:szCs w:val="32"/>
        </w:rPr>
        <w:t>日新疆维吾尔自治区第十三届人民代表大会常务委员会</w:t>
      </w:r>
    </w:p>
    <w:p>
      <w:pPr>
        <w:pStyle w:val="Normal"/>
        <w:numPr>
          <w:ilvl w:val="0"/>
          <w:numId w:val="0"/>
        </w:numPr>
        <w:snapToGrid w:val="false"/>
        <w:spacing w:lineRule="exact" w:line="560"/>
        <w:ind w:start="420" w:end="420"/>
        <w:jc w:val="center"/>
        <w:outlineLvl w:val="0"/>
        <w:rPr>
          <w:rFonts w:ascii="黑体;SimHei" w:hAnsi="黑体;SimHei" w:eastAsia="黑体;SimHei" w:cs="黑体;SimHei" w:hint="eastAsia"/>
          <w:kern w:val="0"/>
          <w:sz w:val="32"/>
          <w:szCs w:val="32"/>
        </w:rPr>
      </w:pPr>
      <w:r>
        <w:rPr>
          <w:rFonts w:ascii="楷体_GB2312" w:hAnsi="楷体_GB2312" w:cs="楷体_GB2312" w:hint="eastAsia" w:eastAsia="楷体_GB2312"/>
          <w:kern w:val="0"/>
          <w:sz w:val="32"/>
          <w:szCs w:val="32"/>
        </w:rPr>
        <w:t>第三十四次会议批准</w:t>
      </w:r>
      <w:r>
        <w:rPr>
          <w:rFonts w:ascii="楷体_GB2312" w:hAnsi="楷体_GB2312" w:cs="楷体_GB2312" w:hint="eastAsia" w:eastAsia="楷体_GB2312"/>
          <w:spacing w:val="-20"/>
          <w:sz w:val="32"/>
          <w:szCs w:val="32"/>
        </w:rPr>
        <w:t>）</w:t>
      </w:r>
    </w:p>
    <w:p>
      <w:pPr>
        <w:pStyle w:val="Normal"/>
        <w:snapToGrid w:val="false"/>
        <w:spacing w:lineRule="exact" w:line="560"/>
        <w:rPr>
          <w:rFonts w:ascii="方正楷体_GBK" w:hAnsi="方正楷体_GBK" w:eastAsia="方正楷体_GBK" w:cs="方正楷体_GBK" w:hint="eastAsia"/>
          <w:color w:val="000000"/>
          <w:kern w:val="0"/>
          <w:sz w:val="32"/>
          <w:szCs w:val="32"/>
        </w:rPr>
      </w:pPr>
      <w:r>
        <w:rPr>
          <w:rFonts w:eastAsia="方正楷体_GBK" w:cs="方正楷体_GBK" w:hint="eastAsia" w:ascii="方正楷体_GBK" w:hAnsi="方正楷体_GBK"/>
          <w:color w:val="000000"/>
          <w:kern w:val="0"/>
          <w:sz w:val="32"/>
          <w:szCs w:val="32"/>
        </w:rPr>
      </w:r>
    </w:p>
    <w:p>
      <w:pPr>
        <w:pStyle w:val="Normal"/>
        <w:snapToGrid w:val="false"/>
        <w:spacing w:lineRule="exact" w:line="560"/>
        <w:ind w:firstLine="627" w:end="0"/>
        <w:rPr/>
      </w:pPr>
      <w:r>
        <w:rPr>
          <w:rFonts w:ascii="黑体;SimHei" w:hAnsi="黑体;SimHei" w:cs="黑体;SimHei" w:hint="eastAsia" w:eastAsia="黑体;SimHei"/>
          <w:kern w:val="0"/>
          <w:sz w:val="32"/>
          <w:szCs w:val="32"/>
        </w:rPr>
        <w:t>第一条</w:t>
      </w:r>
      <w:r>
        <w:rPr>
          <w:rFonts w:ascii="仿宋_GB2312" w:hAnsi="仿宋_GB2312" w:cs="仿宋_GB2312" w:hint="eastAsia" w:eastAsia="仿宋_GB2312"/>
          <w:kern w:val="0"/>
          <w:sz w:val="32"/>
          <w:szCs w:val="32"/>
        </w:rPr>
        <w:t xml:space="preserve">  为了加强塔城市河流的生态修复与保护，有效实现其灌溉、排水、防洪、除涝、景观等功能，</w:t>
      </w:r>
      <w:r>
        <w:rPr>
          <w:rFonts w:ascii="仿宋_GB2312" w:hAnsi="仿宋_GB2312" w:cs="仿宋_GB2312" w:eastAsia="仿宋_GB2312"/>
          <w:kern w:val="0"/>
          <w:sz w:val="32"/>
          <w:szCs w:val="32"/>
        </w:rPr>
        <w:t>改善水环境，</w:t>
      </w:r>
      <w:r>
        <w:rPr>
          <w:rFonts w:ascii="仿宋_GB2312" w:hAnsi="仿宋_GB2312" w:cs="仿宋_GB2312" w:hint="eastAsia" w:eastAsia="仿宋_GB2312"/>
          <w:kern w:val="0"/>
          <w:sz w:val="32"/>
          <w:szCs w:val="32"/>
        </w:rPr>
        <w:t>促进绿色发展，保障生态安全，根据 《中华人民共和国水法》等有关法律、法规，结合塔城市实际，制定本条例。</w:t>
      </w:r>
    </w:p>
    <w:p>
      <w:pPr>
        <w:pStyle w:val="Normal"/>
        <w:snapToGrid w:val="false"/>
        <w:spacing w:lineRule="exact" w:line="560"/>
        <w:ind w:firstLine="627" w:end="0"/>
        <w:rPr/>
      </w:pPr>
      <w:r>
        <w:rPr>
          <w:rFonts w:ascii="黑体;SimHei" w:hAnsi="黑体;SimHei" w:cs="黑体;SimHei" w:hint="eastAsia" w:eastAsia="黑体;SimHei"/>
          <w:kern w:val="0"/>
          <w:sz w:val="32"/>
          <w:szCs w:val="32"/>
        </w:rPr>
        <w:t>第二条</w:t>
      </w:r>
      <w:r>
        <w:rPr>
          <w:rFonts w:ascii="仿宋_GB2312" w:hAnsi="仿宋_GB2312" w:cs="仿宋_GB2312" w:hint="eastAsia" w:eastAsia="仿宋_GB2312"/>
          <w:kern w:val="0"/>
          <w:sz w:val="32"/>
          <w:szCs w:val="32"/>
        </w:rPr>
        <w:t xml:space="preserve">  本条例所称塔城市河流，是指自北向南流经塔城市行政区域内的河流流域。具体包括乌拉斯台河（含发展河、萨孜河支流）、加吾尔塔木河（含喀拉墩河支流）、城东河、清水河、喀浪古尔河，范围为北起塔尔巴哈台山，南至额敏河库鲁斯台草原段。</w:t>
      </w:r>
    </w:p>
    <w:p>
      <w:pPr>
        <w:pStyle w:val="Normal"/>
        <w:snapToGrid w:val="false"/>
        <w:spacing w:lineRule="exact" w:line="560"/>
        <w:ind w:firstLine="627" w:end="0"/>
        <w:rPr>
          <w:rFonts w:ascii="仿宋_GB2312" w:hAnsi="仿宋_GB2312" w:eastAsia="仿宋_GB2312" w:cs="仿宋_GB2312" w:hint="eastAsia"/>
          <w:kern w:val="0"/>
          <w:sz w:val="32"/>
          <w:szCs w:val="32"/>
        </w:rPr>
      </w:pPr>
      <w:r>
        <w:rPr>
          <w:rFonts w:ascii="黑体;SimHei" w:hAnsi="黑体;SimHei" w:cs="黑体;SimHei" w:hint="eastAsia" w:eastAsia="黑体;SimHei"/>
          <w:kern w:val="0"/>
          <w:sz w:val="32"/>
          <w:szCs w:val="32"/>
        </w:rPr>
        <w:t>第三条</w:t>
      </w:r>
      <w:r>
        <w:rPr>
          <w:rFonts w:ascii="仿宋_GB2312" w:hAnsi="仿宋_GB2312" w:cs="仿宋_GB2312" w:hint="eastAsia" w:eastAsia="仿宋_GB2312"/>
          <w:kern w:val="0"/>
          <w:sz w:val="32"/>
          <w:szCs w:val="32"/>
        </w:rPr>
        <w:t xml:space="preserve">  本条例适用于塔城市河流的保护、利用、开发及其相关管理活动。</w:t>
      </w:r>
      <w:r>
        <w:rPr>
          <w:rFonts w:ascii="仿宋_GB2312" w:hAnsi="仿宋_GB2312" w:cs="仿宋_GB2312" w:hint="eastAsia" w:eastAsia="仿宋_GB2312"/>
          <w:b/>
          <w:bCs/>
          <w:kern w:val="0"/>
          <w:sz w:val="32"/>
          <w:szCs w:val="32"/>
        </w:rPr>
        <w:t> </w:t>
      </w:r>
    </w:p>
    <w:p>
      <w:pPr>
        <w:pStyle w:val="Normal"/>
        <w:numPr>
          <w:ilvl w:val="0"/>
          <w:numId w:val="0"/>
        </w:numPr>
        <w:snapToGrid w:val="false"/>
        <w:spacing w:lineRule="exact" w:line="560"/>
        <w:ind w:firstLine="627" w:end="0"/>
        <w:outlineLvl w:val="1"/>
        <w:rPr/>
      </w:pPr>
      <w:r>
        <w:rPr>
          <w:rFonts w:ascii="黑体;SimHei" w:hAnsi="黑体;SimHei" w:cs="黑体;SimHei" w:hint="eastAsia" w:eastAsia="黑体;SimHei"/>
          <w:kern w:val="0"/>
          <w:sz w:val="32"/>
          <w:szCs w:val="32"/>
        </w:rPr>
        <w:t>第四条</w:t>
      </w:r>
      <w:r>
        <w:rPr>
          <w:rFonts w:ascii="仿宋_GB2312" w:hAnsi="仿宋_GB2312" w:cs="仿宋_GB2312" w:hint="eastAsia" w:eastAsia="仿宋_GB2312"/>
          <w:kern w:val="0"/>
          <w:sz w:val="32"/>
          <w:szCs w:val="32"/>
        </w:rPr>
        <w:t xml:space="preserve">  塔城市人民政府对塔城市河流生态保护负总责，实行统一管理与分级分部门管理相结合，坚持统筹协调、科学规划、生态优先、因地制宜、系统治理、合理利用的原则。</w:t>
      </w:r>
    </w:p>
    <w:p>
      <w:pPr>
        <w:pStyle w:val="Normal"/>
        <w:snapToGrid w:val="false"/>
        <w:spacing w:lineRule="exact" w:line="560"/>
        <w:ind w:firstLine="627" w:end="0"/>
        <w:rPr/>
      </w:pPr>
      <w:r>
        <w:rPr>
          <w:rFonts w:ascii="黑体;SimHei" w:hAnsi="黑体;SimHei" w:cs="黑体;SimHei" w:hint="eastAsia" w:eastAsia="黑体;SimHei"/>
          <w:kern w:val="0"/>
          <w:sz w:val="32"/>
          <w:szCs w:val="32"/>
        </w:rPr>
        <w:t>第五</w:t>
      </w:r>
      <w:r>
        <w:rPr>
          <w:rFonts w:ascii="黑体;SimHei" w:hAnsi="黑体;SimHei" w:cs="黑体;SimHei" w:hint="eastAsia" w:eastAsia="黑体;SimHei"/>
          <w:bCs/>
          <w:kern w:val="0"/>
          <w:sz w:val="32"/>
          <w:szCs w:val="32"/>
        </w:rPr>
        <w:t>条</w:t>
      </w:r>
      <w:r>
        <w:rPr>
          <w:rFonts w:ascii="仿宋_GB2312" w:hAnsi="仿宋_GB2312" w:cs="仿宋_GB2312" w:hint="eastAsia" w:eastAsia="仿宋_GB2312"/>
          <w:kern w:val="0"/>
          <w:sz w:val="32"/>
          <w:szCs w:val="32"/>
        </w:rPr>
        <w:t xml:space="preserve">  塔城市人民政府应当将塔城市河流保护和建设专项规划纳入国民经济和社会发展规划，河流保护资金列入</w:t>
      </w:r>
      <w:r>
        <w:rPr>
          <w:rFonts w:ascii="仿宋_GB2312" w:hAnsi="仿宋_GB2312" w:cs="仿宋_GB2312" w:eastAsia="仿宋_GB2312"/>
          <w:kern w:val="0"/>
          <w:sz w:val="32"/>
          <w:szCs w:val="32"/>
        </w:rPr>
        <w:t>本级</w:t>
      </w:r>
      <w:r>
        <w:rPr>
          <w:rFonts w:ascii="仿宋_GB2312" w:hAnsi="仿宋_GB2312" w:cs="仿宋_GB2312" w:hint="eastAsia" w:eastAsia="仿宋_GB2312"/>
          <w:kern w:val="0"/>
          <w:sz w:val="32"/>
          <w:szCs w:val="32"/>
        </w:rPr>
        <w:t>财政预算。　　</w:t>
      </w:r>
    </w:p>
    <w:p>
      <w:pPr>
        <w:pStyle w:val="Normal"/>
        <w:snapToGrid w:val="false"/>
        <w:spacing w:lineRule="exact" w:line="560"/>
        <w:ind w:firstLineChars="200" w:startChars="0" w:start="0" w:endChars="0" w:end="0"/>
        <w:rPr/>
      </w:pPr>
      <w:r>
        <w:rPr>
          <w:rFonts w:ascii="黑体;SimHei" w:hAnsi="黑体;SimHei" w:cs="黑体;SimHei" w:hint="eastAsia" w:eastAsia="黑体;SimHei"/>
          <w:bCs/>
          <w:kern w:val="0"/>
          <w:sz w:val="32"/>
          <w:szCs w:val="32"/>
        </w:rPr>
        <w:t>第六条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bCs/>
          <w:kern w:val="0"/>
          <w:sz w:val="32"/>
          <w:szCs w:val="32"/>
        </w:rPr>
        <w:t xml:space="preserve"> </w:t>
      </w:r>
      <w:r>
        <w:rPr>
          <w:rFonts w:ascii="仿宋_GB2312" w:hAnsi="仿宋_GB2312" w:cs="仿宋_GB2312" w:hint="eastAsia" w:eastAsia="仿宋_GB2312"/>
          <w:kern w:val="0"/>
          <w:sz w:val="32"/>
          <w:szCs w:val="32"/>
        </w:rPr>
        <w:t>鼓励自然人、法人或者其他组织对塔城市河流保护和建设依法投资和捐赠。 </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 w:val="32"/>
          <w:szCs w:val="32"/>
        </w:rPr>
        <w:t xml:space="preserve">第七条 </w:t>
      </w:r>
      <w:r>
        <w:rPr>
          <w:rFonts w:ascii="黑体;SimHei" w:hAnsi="黑体;SimHei" w:cs="黑体;SimHei" w:eastAsia="黑体;SimHei"/>
          <w:kern w:val="0"/>
          <w:sz w:val="32"/>
          <w:szCs w:val="32"/>
        </w:rPr>
        <w:t xml:space="preserve"> </w:t>
      </w:r>
      <w:r>
        <w:rPr>
          <w:rFonts w:ascii="仿宋_GB2312" w:hAnsi="仿宋_GB2312" w:cs="仿宋_GB2312" w:hint="eastAsia" w:eastAsia="仿宋_GB2312"/>
          <w:kern w:val="0"/>
          <w:sz w:val="32"/>
          <w:szCs w:val="32"/>
        </w:rPr>
        <w:t>塔城市人民政府应当加强对塔城市河流保护和建设工作的领导，研究、决定塔城市河流生态保护和综合治理的有关重大问题，对塔城市河流生态保护情况进行监督检查。</w:t>
      </w:r>
    </w:p>
    <w:p>
      <w:pPr>
        <w:pStyle w:val="Normal"/>
        <w:snapToGrid w:val="false"/>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塔城市河流流域内的乡镇人民政府、街道办事处应当配合做好塔城市河流相关生态保护工作。</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 w:val="32"/>
          <w:szCs w:val="32"/>
        </w:rPr>
        <w:t>第八条</w:t>
      </w:r>
      <w:r>
        <w:rPr>
          <w:rFonts w:ascii="仿宋_GB2312" w:hAnsi="仿宋_GB2312" w:cs="仿宋_GB2312" w:hint="eastAsia" w:eastAsia="仿宋_GB2312"/>
          <w:kern w:val="0"/>
          <w:sz w:val="32"/>
          <w:szCs w:val="32"/>
        </w:rPr>
        <w:t xml:space="preserve"> </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塔城市水行政主管部门负责塔城市河流的保护和建设工作。</w:t>
      </w:r>
    </w:p>
    <w:p>
      <w:pPr>
        <w:pStyle w:val="Normal"/>
        <w:snapToGrid w:val="false"/>
        <w:spacing w:lineRule="exact" w:line="56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t xml:space="preserve">    </w:t>
      </w:r>
      <w:r>
        <w:rPr>
          <w:rFonts w:ascii="仿宋_GB2312" w:hAnsi="仿宋_GB2312" w:cs="仿宋_GB2312" w:hint="eastAsia" w:eastAsia="仿宋_GB2312"/>
          <w:kern w:val="0"/>
          <w:sz w:val="32"/>
          <w:szCs w:val="32"/>
        </w:rPr>
        <w:t>市发展和改革、生态环境、住房和城乡建设、农业农村、自然资源、畜牧兽医、林业和草原、市容环境卫生、文化和旅游等部门在各自职责范围内，做好塔城市河流的相关生态保护工作。</w:t>
      </w:r>
    </w:p>
    <w:p>
      <w:pPr>
        <w:pStyle w:val="Normal"/>
        <w:numPr>
          <w:ilvl w:val="0"/>
          <w:numId w:val="1"/>
        </w:numPr>
        <w:snapToGrid w:val="false"/>
        <w:spacing w:lineRule="exact" w:line="560"/>
        <w:ind w:firstLine="627" w:start="0" w:end="0"/>
        <w:rPr>
          <w:rFonts w:ascii="仿宋_GB2312" w:hAnsi="仿宋_GB2312" w:eastAsia="仿宋_GB2312" w:cs="仿宋_GB2312" w:hint="eastAsia"/>
          <w:kern w:val="0"/>
          <w:sz w:val="32"/>
          <w:szCs w:val="32"/>
        </w:rPr>
      </w:pPr>
      <w:r>
        <w:rPr>
          <w:rFonts w:eastAsia="仿宋_GB2312" w:cs="仿宋_GB2312" w:ascii="仿宋_GB2312" w:hAnsi="仿宋_GB2312"/>
          <w:kern w:val="0"/>
          <w:sz w:val="32"/>
          <w:szCs w:val="32"/>
        </w:rPr>
        <w:t xml:space="preserve"> </w:t>
      </w:r>
      <w:r>
        <w:rPr>
          <w:rFonts w:ascii="仿宋_GB2312" w:hAnsi="仿宋_GB2312" w:cs="仿宋_GB2312" w:hint="eastAsia" w:eastAsia="仿宋_GB2312"/>
          <w:kern w:val="0"/>
          <w:sz w:val="32"/>
          <w:szCs w:val="32"/>
        </w:rPr>
        <w:t>在塔城市河流流域内从事保护、利用、开发等活动应当符合塔城市河流流域综合规划。</w:t>
      </w:r>
    </w:p>
    <w:p>
      <w:pPr>
        <w:pStyle w:val="Normal"/>
        <w:snapToGrid w:val="false"/>
        <w:spacing w:lineRule="exact" w:line="560"/>
        <w:ind w:firstLineChars="200" w:startChars="0" w:start="0" w:endChars="0" w:end="0"/>
        <w:rPr/>
      </w:pPr>
      <w:r>
        <w:rPr>
          <w:rFonts w:ascii="黑体;SimHei" w:hAnsi="黑体;SimHei" w:cs="黑体;SimHei" w:hint="eastAsia" w:eastAsia="黑体;SimHei"/>
          <w:kern w:val="0"/>
          <w:sz w:val="32"/>
          <w:szCs w:val="32"/>
        </w:rPr>
        <w:t>第十条</w:t>
      </w:r>
      <w:r>
        <w:rPr>
          <w:rFonts w:ascii="仿宋_GB2312" w:hAnsi="仿宋_GB2312" w:cs="仿宋_GB2312" w:hint="eastAsia" w:eastAsia="仿宋_GB2312"/>
          <w:kern w:val="0"/>
          <w:sz w:val="32"/>
          <w:szCs w:val="32"/>
        </w:rPr>
        <w:t xml:space="preserve"> </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塔城市水行政主管部门应当按照保障生活、生产和生态环境用水的需要，根据批准的水量分配方案和年度预测来水量，制定水量分配方案和调度计划，实施水量统一调度。</w:t>
      </w:r>
    </w:p>
    <w:p>
      <w:pPr>
        <w:pStyle w:val="Normal"/>
        <w:snapToGrid w:val="false"/>
        <w:spacing w:lineRule="exact" w:line="560"/>
        <w:rPr/>
      </w:pPr>
      <w:r>
        <w:rPr>
          <w:rFonts w:eastAsia="黑体;SimHei" w:cs="黑体;SimHei" w:ascii="黑体;SimHei" w:hAnsi="黑体;SimHei"/>
          <w:kern w:val="0"/>
          <w:sz w:val="32"/>
          <w:szCs w:val="32"/>
        </w:rPr>
        <w:t xml:space="preserve">    </w:t>
      </w:r>
      <w:r>
        <w:rPr>
          <w:rFonts w:ascii="黑体;SimHei" w:hAnsi="黑体;SimHei" w:cs="黑体;SimHei" w:hint="eastAsia" w:eastAsia="黑体;SimHei"/>
          <w:kern w:val="0"/>
          <w:sz w:val="32"/>
          <w:szCs w:val="32"/>
        </w:rPr>
        <w:t>第十一条</w:t>
      </w:r>
      <w:r>
        <w:rPr>
          <w:rFonts w:ascii="仿宋_GB2312" w:hAnsi="仿宋_GB2312" w:cs="仿宋_GB2312" w:hint="eastAsia" w:eastAsia="仿宋_GB2312"/>
          <w:kern w:val="0"/>
          <w:sz w:val="32"/>
          <w:szCs w:val="32"/>
        </w:rPr>
        <w:t xml:space="preserve"> </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塔城市人民政府应当统筹建设塔城市河流流域内的生活污水处理、生活垃圾无害化处理、供排水、集中供热等公共设施；塔城市河流流域内的村（社区）应当加强生态环境保护和公共卫生管理，协助做好生活垃圾收集、生活污水处理等。</w:t>
      </w:r>
    </w:p>
    <w:p>
      <w:pPr>
        <w:pStyle w:val="Normal"/>
        <w:snapToGrid w:val="false"/>
        <w:spacing w:lineRule="exact" w:line="560"/>
        <w:rPr/>
      </w:pPr>
      <w:r>
        <w:rPr>
          <w:rFonts w:eastAsia="黑体;SimHei" w:cs="黑体;SimHei" w:ascii="黑体;SimHei" w:hAnsi="黑体;SimHei"/>
          <w:kern w:val="0"/>
          <w:sz w:val="32"/>
          <w:szCs w:val="32"/>
        </w:rPr>
        <w:t xml:space="preserve">    </w:t>
      </w:r>
      <w:r>
        <w:rPr>
          <w:rFonts w:ascii="黑体;SimHei" w:hAnsi="黑体;SimHei" w:cs="黑体;SimHei" w:hint="eastAsia" w:eastAsia="黑体;SimHei"/>
          <w:kern w:val="0"/>
          <w:sz w:val="32"/>
          <w:szCs w:val="32"/>
        </w:rPr>
        <w:t>第十二条</w:t>
      </w:r>
      <w:r>
        <w:rPr>
          <w:rFonts w:ascii="仿宋_GB2312" w:hAnsi="仿宋_GB2312" w:cs="仿宋_GB2312" w:hint="eastAsia" w:eastAsia="仿宋_GB2312"/>
          <w:kern w:val="0"/>
          <w:sz w:val="32"/>
          <w:szCs w:val="32"/>
        </w:rPr>
        <w:t xml:space="preserve"> </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塔城市人民政府应当按照相关法律、法规规定，划定河道管理与保护范围，并向社会公布。</w:t>
      </w:r>
    </w:p>
    <w:p>
      <w:pPr>
        <w:pStyle w:val="Normal"/>
        <w:snapToGrid w:val="false"/>
        <w:spacing w:lineRule="exact" w:line="560"/>
        <w:ind w:firstLine="627" w:end="0"/>
        <w:rPr>
          <w:rFonts w:ascii="仿宋_GB2312" w:hAnsi="仿宋_GB2312" w:eastAsia="仿宋_GB2312" w:cs="仿宋_GB2312" w:hint="eastAsia"/>
          <w:b/>
          <w:bCs/>
          <w:kern w:val="0"/>
          <w:sz w:val="32"/>
          <w:szCs w:val="32"/>
        </w:rPr>
      </w:pPr>
      <w:r>
        <w:rPr>
          <w:rFonts w:ascii="黑体;SimHei" w:hAnsi="黑体;SimHei" w:cs="黑体;SimHei" w:hint="eastAsia" w:eastAsia="黑体;SimHei"/>
          <w:kern w:val="0"/>
          <w:sz w:val="32"/>
          <w:szCs w:val="32"/>
        </w:rPr>
        <w:t>第十三条</w:t>
      </w:r>
      <w:r>
        <w:rPr>
          <w:rFonts w:ascii="仿宋_GB2312" w:hAnsi="仿宋_GB2312" w:cs="仿宋_GB2312" w:hint="eastAsia" w:eastAsia="仿宋_GB2312"/>
          <w:kern w:val="0"/>
          <w:sz w:val="32"/>
          <w:szCs w:val="32"/>
        </w:rPr>
        <w:t xml:space="preserve"> </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塔城市水行政主管部门会同住房和城乡建设部门根据河道的功能定位，按照河道整治规划和国家规定的防洪、排涝、环境保护标准以及有关技术规范，制定河道治理方案，经本级人民政府批准后实施。</w:t>
      </w:r>
    </w:p>
    <w:p>
      <w:pPr>
        <w:pStyle w:val="Normal"/>
        <w:snapToGrid w:val="false"/>
        <w:spacing w:lineRule="exact" w:line="560"/>
        <w:ind w:firstLine="640" w:end="0"/>
        <w:rPr/>
      </w:pPr>
      <w:r>
        <w:rPr>
          <w:rFonts w:ascii="黑体;SimHei" w:hAnsi="黑体;SimHei" w:cs="黑体;SimHei" w:hint="eastAsia" w:eastAsia="黑体;SimHei"/>
          <w:kern w:val="0"/>
          <w:sz w:val="32"/>
          <w:szCs w:val="32"/>
        </w:rPr>
        <w:t>第十四条</w:t>
      </w:r>
      <w:r>
        <w:rPr>
          <w:rFonts w:ascii="仿宋_GB2312" w:hAnsi="仿宋_GB2312" w:cs="仿宋_GB2312" w:hint="eastAsia" w:eastAsia="仿宋_GB2312"/>
          <w:bCs/>
          <w:kern w:val="0"/>
          <w:sz w:val="32"/>
          <w:szCs w:val="32"/>
        </w:rPr>
        <w:t xml:space="preserve">  </w:t>
      </w:r>
      <w:r>
        <w:rPr>
          <w:rFonts w:ascii="仿宋_GB2312" w:hAnsi="仿宋_GB2312" w:cs="仿宋_GB2312" w:hint="eastAsia" w:eastAsia="仿宋_GB2312"/>
          <w:kern w:val="0"/>
          <w:sz w:val="32"/>
          <w:szCs w:val="32"/>
        </w:rPr>
        <w:t>塔城市河流治理应当注重保护、恢复河道及其周边的生态环境和历史人文景观，并符合下列要求：</w:t>
      </w:r>
    </w:p>
    <w:p>
      <w:pPr>
        <w:pStyle w:val="Normal"/>
        <w:snapToGrid w:val="false"/>
        <w:spacing w:lineRule="exact" w:line="560"/>
        <w:ind w:firstLine="64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（一）建设沿岸片区和城乡干渠的截污、污水处理、再生水利用等基础设施，实行污水无害化、再生水资源化；</w:t>
      </w:r>
    </w:p>
    <w:p>
      <w:pPr>
        <w:pStyle w:val="Normal"/>
        <w:snapToGrid w:val="false"/>
        <w:spacing w:lineRule="exact" w:line="560"/>
        <w:ind w:firstLine="64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（二）环河游憩林荫带植草种树；</w:t>
      </w:r>
    </w:p>
    <w:p>
      <w:pPr>
        <w:pStyle w:val="Normal"/>
        <w:snapToGrid w:val="false"/>
        <w:spacing w:lineRule="exact" w:line="560"/>
        <w:ind w:firstLine="64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（三）河道两侧管线入地；</w:t>
      </w:r>
    </w:p>
    <w:p>
      <w:pPr>
        <w:pStyle w:val="Normal"/>
        <w:snapToGrid w:val="false"/>
        <w:spacing w:lineRule="exact" w:line="560"/>
        <w:ind w:firstLine="64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（四）法律法规规定的应当符合的其他要求。</w:t>
      </w:r>
    </w:p>
    <w:p>
      <w:pPr>
        <w:pStyle w:val="Normal"/>
        <w:snapToGrid w:val="false"/>
        <w:spacing w:lineRule="exact" w:line="560"/>
        <w:ind w:firstLineChars="200" w:startChars="0" w:start="0" w:endChars="0" w:end="0"/>
        <w:rPr/>
      </w:pPr>
      <w:r>
        <w:rPr>
          <w:rFonts w:ascii="黑体;SimHei" w:hAnsi="黑体;SimHei" w:cs="黑体;SimHei" w:hint="eastAsia" w:eastAsia="黑体;SimHei"/>
          <w:bCs/>
          <w:kern w:val="0"/>
          <w:sz w:val="32"/>
          <w:szCs w:val="32"/>
        </w:rPr>
        <w:t>第十五条</w:t>
      </w:r>
      <w:r>
        <w:rPr>
          <w:rFonts w:ascii="仿宋_GB2312" w:hAnsi="仿宋_GB2312" w:cs="仿宋_GB2312" w:hint="eastAsia" w:eastAsia="仿宋_GB2312"/>
          <w:bCs/>
          <w:kern w:val="0"/>
          <w:sz w:val="32"/>
          <w:szCs w:val="32"/>
        </w:rPr>
        <w:t xml:space="preserve"> </w:t>
      </w:r>
      <w:r>
        <w:rPr>
          <w:rFonts w:ascii="仿宋_GB2312" w:hAnsi="仿宋_GB2312" w:cs="仿宋_GB2312" w:eastAsia="仿宋_GB2312"/>
          <w:bCs/>
          <w:kern w:val="0"/>
          <w:sz w:val="32"/>
          <w:szCs w:val="32"/>
        </w:rPr>
        <w:t xml:space="preserve"> </w:t>
      </w:r>
      <w:r>
        <w:rPr>
          <w:rFonts w:ascii="仿宋_GB2312" w:hAnsi="仿宋_GB2312" w:cs="仿宋_GB2312" w:hint="eastAsia" w:eastAsia="仿宋_GB2312"/>
          <w:kern w:val="0"/>
          <w:sz w:val="32"/>
          <w:szCs w:val="32"/>
        </w:rPr>
        <w:t>在塔城市河流河道管理范围内，进行下列活动应当报经市水行政主管部门批准；涉及其他部门的，由市水行政主管部门会同有关部门批准：</w:t>
      </w:r>
    </w:p>
    <w:p>
      <w:pPr>
        <w:pStyle w:val="Normal"/>
        <w:numPr>
          <w:ilvl w:val="0"/>
          <w:numId w:val="0"/>
        </w:numPr>
        <w:snapToGrid w:val="false"/>
        <w:spacing w:lineRule="exact" w:line="560"/>
        <w:ind w:firstLine="640" w:end="0"/>
        <w:outlineLvl w:val="1"/>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（一）在河道滩地存放物料、修建厂房或者其他建筑物；</w:t>
      </w:r>
    </w:p>
    <w:p>
      <w:pPr>
        <w:pStyle w:val="Normal"/>
        <w:numPr>
          <w:ilvl w:val="0"/>
          <w:numId w:val="0"/>
        </w:numPr>
        <w:snapToGrid w:val="false"/>
        <w:spacing w:lineRule="exact" w:line="560"/>
        <w:ind w:firstLine="640" w:end="0"/>
        <w:outlineLvl w:val="1"/>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（二）在河道滩地开采地下资源、进行考古发掘；</w:t>
      </w:r>
    </w:p>
    <w:p>
      <w:pPr>
        <w:pStyle w:val="Normal"/>
        <w:snapToGrid w:val="false"/>
        <w:spacing w:lineRule="exact" w:line="560"/>
        <w:ind w:firstLine="627"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（三）法律、法规规定的其他活动。</w:t>
      </w:r>
    </w:p>
    <w:p>
      <w:pPr>
        <w:pStyle w:val="Normal"/>
        <w:snapToGrid w:val="false"/>
        <w:spacing w:lineRule="exact" w:line="560"/>
        <w:ind w:firstLineChars="200" w:startChars="0" w:start="0" w:endChars="0" w:end="0"/>
        <w:rPr/>
      </w:pPr>
      <w:r>
        <w:rPr>
          <w:rFonts w:ascii="黑体;SimHei" w:hAnsi="黑体;SimHei" w:cs="黑体;SimHei" w:hint="eastAsia" w:eastAsia="黑体;SimHei"/>
          <w:bCs/>
          <w:kern w:val="0"/>
          <w:sz w:val="32"/>
          <w:szCs w:val="32"/>
        </w:rPr>
        <w:t>第十六条</w:t>
      </w:r>
      <w:r>
        <w:rPr>
          <w:rFonts w:ascii="仿宋_GB2312" w:hAnsi="仿宋_GB2312" w:cs="仿宋_GB2312" w:hint="eastAsia" w:eastAsia="仿宋_GB2312"/>
          <w:bCs/>
          <w:kern w:val="0"/>
          <w:sz w:val="32"/>
          <w:szCs w:val="32"/>
        </w:rPr>
        <w:t xml:space="preserve"> </w:t>
      </w:r>
      <w:r>
        <w:rPr>
          <w:rFonts w:ascii="仿宋_GB2312" w:hAnsi="仿宋_GB2312" w:cs="仿宋_GB2312" w:eastAsia="仿宋_GB2312"/>
          <w:bCs/>
          <w:kern w:val="0"/>
          <w:sz w:val="32"/>
          <w:szCs w:val="32"/>
        </w:rPr>
        <w:t xml:space="preserve"> </w:t>
      </w:r>
      <w:r>
        <w:rPr>
          <w:rFonts w:ascii="仿宋_GB2312" w:hAnsi="仿宋_GB2312" w:cs="仿宋_GB2312" w:hint="eastAsia" w:eastAsia="仿宋_GB2312"/>
          <w:kern w:val="0"/>
          <w:sz w:val="32"/>
          <w:szCs w:val="32"/>
        </w:rPr>
        <w:t>在塔城市河流河道管理范围内，禁止进行下列活动：</w:t>
      </w:r>
    </w:p>
    <w:p>
      <w:pPr>
        <w:pStyle w:val="Normal"/>
        <w:numPr>
          <w:ilvl w:val="0"/>
          <w:numId w:val="0"/>
        </w:numPr>
        <w:snapToGrid w:val="false"/>
        <w:spacing w:lineRule="exact" w:line="560"/>
        <w:ind w:firstLineChars="200" w:startChars="0" w:start="0" w:endChars="0" w:end="0"/>
        <w:outlineLvl w:val="1"/>
        <w:rPr/>
      </w:pPr>
      <w:r>
        <w:rPr>
          <w:rFonts w:ascii="仿宋_GB2312" w:hAnsi="仿宋_GB2312" w:cs="仿宋_GB2312" w:eastAsia="仿宋_GB2312"/>
          <w:kern w:val="0"/>
          <w:sz w:val="32"/>
          <w:szCs w:val="32"/>
        </w:rPr>
        <w:t>（一）</w:t>
      </w:r>
      <w:r>
        <w:rPr>
          <w:rFonts w:ascii="仿宋_GB2312" w:hAnsi="仿宋_GB2312" w:cs="仿宋_GB2312" w:hint="eastAsia" w:eastAsia="仿宋_GB2312"/>
          <w:kern w:val="0"/>
          <w:sz w:val="32"/>
          <w:szCs w:val="32"/>
        </w:rPr>
        <w:t>修建围堤、阻水渠道、阻水道路；</w:t>
      </w:r>
    </w:p>
    <w:p>
      <w:pPr>
        <w:pStyle w:val="Normal"/>
        <w:numPr>
          <w:ilvl w:val="0"/>
          <w:numId w:val="0"/>
        </w:numPr>
        <w:snapToGrid w:val="false"/>
        <w:spacing w:lineRule="exact" w:line="560"/>
        <w:ind w:firstLineChars="200" w:startChars="0" w:start="0" w:endChars="0" w:end="0"/>
        <w:outlineLvl w:val="1"/>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（二）采砂、取土、淘金、弃置砂石或者淤泥；</w:t>
      </w:r>
    </w:p>
    <w:p>
      <w:pPr>
        <w:pStyle w:val="Normal"/>
        <w:numPr>
          <w:ilvl w:val="0"/>
          <w:numId w:val="0"/>
        </w:numPr>
        <w:snapToGrid w:val="false"/>
        <w:spacing w:lineRule="exact" w:line="560"/>
        <w:ind w:firstLineChars="200" w:startChars="0" w:start="0" w:endChars="0" w:end="0"/>
        <w:outlineLvl w:val="1"/>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（三）种植阻碍行洪的林木及高秆作物；</w:t>
      </w:r>
    </w:p>
    <w:p>
      <w:pPr>
        <w:pStyle w:val="Normal"/>
        <w:numPr>
          <w:ilvl w:val="0"/>
          <w:numId w:val="0"/>
        </w:numPr>
        <w:snapToGrid w:val="false"/>
        <w:spacing w:lineRule="exact" w:line="560"/>
        <w:ind w:firstLineChars="200" w:startChars="0" w:start="0" w:endChars="0" w:end="0"/>
        <w:outlineLvl w:val="1"/>
        <w:rPr/>
      </w:pPr>
      <w:r>
        <w:rPr>
          <w:rFonts w:ascii="仿宋_GB2312" w:hAnsi="仿宋_GB2312" w:cs="仿宋_GB2312" w:eastAsia="仿宋_GB2312"/>
          <w:kern w:val="0"/>
          <w:sz w:val="32"/>
          <w:szCs w:val="32"/>
        </w:rPr>
        <w:t>（四）</w:t>
      </w:r>
      <w:r>
        <w:rPr>
          <w:rFonts w:ascii="仿宋_GB2312" w:hAnsi="仿宋_GB2312" w:cs="仿宋_GB2312" w:hint="eastAsia" w:eastAsia="仿宋_GB2312"/>
          <w:kern w:val="0"/>
          <w:sz w:val="32"/>
          <w:szCs w:val="32"/>
        </w:rPr>
        <w:t>爆破、钻探、挖筑鱼塘；</w:t>
      </w:r>
    </w:p>
    <w:p>
      <w:pPr>
        <w:pStyle w:val="Normal"/>
        <w:numPr>
          <w:ilvl w:val="0"/>
          <w:numId w:val="0"/>
        </w:numPr>
        <w:snapToGrid w:val="false"/>
        <w:spacing w:lineRule="exact" w:line="560"/>
        <w:ind w:firstLineChars="200" w:startChars="0" w:start="0" w:endChars="0" w:end="0"/>
        <w:outlineLvl w:val="1"/>
        <w:rPr/>
      </w:pPr>
      <w:r>
        <w:rPr>
          <w:rFonts w:ascii="仿宋_GB2312" w:hAnsi="仿宋_GB2312" w:cs="仿宋_GB2312" w:eastAsia="仿宋_GB2312"/>
          <w:kern w:val="0"/>
          <w:sz w:val="32"/>
          <w:szCs w:val="32"/>
        </w:rPr>
        <w:t>（五）</w:t>
      </w:r>
      <w:r>
        <w:rPr>
          <w:rFonts w:ascii="仿宋_GB2312" w:hAnsi="仿宋_GB2312" w:cs="仿宋_GB2312" w:hint="eastAsia" w:eastAsia="仿宋_GB2312"/>
          <w:kern w:val="0"/>
          <w:sz w:val="32"/>
          <w:szCs w:val="32"/>
        </w:rPr>
        <w:t>建设畜禽养殖场、养殖小区；</w:t>
      </w:r>
    </w:p>
    <w:p>
      <w:pPr>
        <w:pStyle w:val="Normal"/>
        <w:numPr>
          <w:ilvl w:val="0"/>
          <w:numId w:val="0"/>
        </w:numPr>
        <w:snapToGrid w:val="false"/>
        <w:spacing w:lineRule="exact" w:line="560"/>
        <w:ind w:firstLineChars="200" w:startChars="0" w:start="0" w:endChars="0" w:end="0"/>
        <w:outlineLvl w:val="1"/>
        <w:rPr/>
      </w:pPr>
      <w:r>
        <w:rPr>
          <w:rFonts w:ascii="仿宋_GB2312" w:hAnsi="仿宋_GB2312" w:cs="仿宋_GB2312" w:eastAsia="仿宋_GB2312"/>
          <w:kern w:val="0"/>
          <w:sz w:val="32"/>
          <w:szCs w:val="32"/>
        </w:rPr>
        <w:t>（六）</w:t>
      </w:r>
      <w:r>
        <w:rPr>
          <w:rFonts w:ascii="仿宋_GB2312" w:hAnsi="仿宋_GB2312" w:cs="仿宋_GB2312" w:hint="eastAsia" w:eastAsia="仿宋_GB2312"/>
          <w:kern w:val="0"/>
          <w:sz w:val="32"/>
          <w:szCs w:val="32"/>
        </w:rPr>
        <w:t>法律、法规规定的其他活动。</w:t>
      </w:r>
    </w:p>
    <w:p>
      <w:pPr>
        <w:pStyle w:val="Normal"/>
        <w:snapToGrid w:val="false"/>
        <w:spacing w:lineRule="exact" w:line="560"/>
        <w:ind w:firstLine="640" w:end="0"/>
        <w:rPr/>
      </w:pPr>
      <w:r>
        <w:rPr>
          <w:rFonts w:ascii="黑体;SimHei" w:hAnsi="黑体;SimHei" w:cs="黑体;SimHei" w:hint="eastAsia" w:eastAsia="黑体;SimHei"/>
          <w:bCs/>
          <w:kern w:val="0"/>
          <w:sz w:val="32"/>
          <w:szCs w:val="32"/>
        </w:rPr>
        <w:t>第十七条</w:t>
      </w:r>
      <w:r>
        <w:rPr>
          <w:rFonts w:ascii="仿宋_GB2312" w:hAnsi="仿宋_GB2312" w:cs="仿宋_GB2312" w:hint="eastAsia" w:eastAsia="仿宋_GB2312"/>
          <w:bCs/>
          <w:kern w:val="0"/>
          <w:sz w:val="32"/>
          <w:szCs w:val="32"/>
        </w:rPr>
        <w:t xml:space="preserve"> </w:t>
      </w:r>
      <w:r>
        <w:rPr>
          <w:rFonts w:ascii="仿宋_GB2312" w:hAnsi="仿宋_GB2312" w:cs="仿宋_GB2312" w:eastAsia="仿宋_GB2312"/>
          <w:bCs/>
          <w:kern w:val="0"/>
          <w:sz w:val="32"/>
          <w:szCs w:val="32"/>
        </w:rPr>
        <w:t xml:space="preserve"> </w:t>
      </w:r>
      <w:r>
        <w:rPr>
          <w:rFonts w:ascii="仿宋_GB2312" w:hAnsi="仿宋_GB2312" w:cs="仿宋_GB2312" w:hint="eastAsia" w:eastAsia="仿宋_GB2312"/>
          <w:kern w:val="0"/>
          <w:sz w:val="32"/>
          <w:szCs w:val="32"/>
        </w:rPr>
        <w:t>塔城市河流流域按照国家和自治区规定实行排污许可制度和重点水污染物排放总量控制制度。</w:t>
      </w:r>
    </w:p>
    <w:p>
      <w:pPr>
        <w:pStyle w:val="Normal"/>
        <w:numPr>
          <w:ilvl w:val="0"/>
          <w:numId w:val="0"/>
        </w:numPr>
        <w:snapToGrid w:val="false"/>
        <w:spacing w:lineRule="exact" w:line="560"/>
        <w:ind w:firstLine="640" w:end="0"/>
        <w:outlineLvl w:val="1"/>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塔城市河流流域内排放水污染物，不得超过国家和自治区规定的水污染物排放标准和重点水污染物排放总量控制指标。</w:t>
      </w:r>
    </w:p>
    <w:p>
      <w:pPr>
        <w:pStyle w:val="Normal"/>
        <w:snapToGrid w:val="false"/>
        <w:spacing w:lineRule="exact" w:line="560"/>
        <w:ind w:firstLine="627" w:end="0"/>
        <w:rPr/>
      </w:pPr>
      <w:r>
        <w:rPr>
          <w:rFonts w:ascii="黑体;SimHei" w:hAnsi="黑体;SimHei" w:cs="黑体;SimHei" w:hint="eastAsia" w:eastAsia="黑体;SimHei"/>
          <w:bCs/>
          <w:kern w:val="0"/>
          <w:sz w:val="32"/>
          <w:szCs w:val="32"/>
        </w:rPr>
        <w:t>第十八条</w:t>
      </w:r>
      <w:r>
        <w:rPr>
          <w:rFonts w:ascii="仿宋_GB2312" w:hAnsi="仿宋_GB2312" w:cs="仿宋_GB2312" w:hint="eastAsia" w:eastAsia="仿宋_GB2312"/>
          <w:bCs/>
          <w:kern w:val="0"/>
          <w:sz w:val="32"/>
          <w:szCs w:val="32"/>
        </w:rPr>
        <w:t xml:space="preserve"> </w:t>
      </w:r>
      <w:r>
        <w:rPr>
          <w:rFonts w:ascii="仿宋_GB2312" w:hAnsi="仿宋_GB2312" w:cs="仿宋_GB2312" w:eastAsia="仿宋_GB2312"/>
          <w:bCs/>
          <w:kern w:val="0"/>
          <w:sz w:val="32"/>
          <w:szCs w:val="32"/>
        </w:rPr>
        <w:t xml:space="preserve"> </w:t>
      </w:r>
      <w:r>
        <w:rPr>
          <w:rFonts w:ascii="仿宋_GB2312" w:hAnsi="仿宋_GB2312" w:cs="仿宋_GB2312" w:hint="eastAsia" w:eastAsia="仿宋_GB2312"/>
          <w:kern w:val="0"/>
          <w:sz w:val="32"/>
          <w:szCs w:val="32"/>
        </w:rPr>
        <w:t>塔城市河流流域农业生产应当推广使用有机肥，科学、合理施用农药、化肥，发展生态农业，控制污染物流入塔城市河流。</w:t>
      </w:r>
    </w:p>
    <w:p>
      <w:pPr>
        <w:pStyle w:val="Normal"/>
        <w:snapToGrid w:val="false"/>
        <w:spacing w:lineRule="exact" w:line="560"/>
        <w:ind w:firstLineChars="200" w:startChars="0" w:start="0" w:endChars="0" w:end="0"/>
        <w:rPr/>
      </w:pPr>
      <w:r>
        <w:rPr>
          <w:rFonts w:ascii="黑体;SimHei" w:hAnsi="黑体;SimHei" w:cs="黑体;SimHei" w:hint="eastAsia" w:eastAsia="黑体;SimHei"/>
          <w:bCs/>
          <w:kern w:val="0"/>
          <w:sz w:val="32"/>
          <w:szCs w:val="32"/>
        </w:rPr>
        <w:t>第十九条</w:t>
      </w:r>
      <w:r>
        <w:rPr>
          <w:rFonts w:ascii="仿宋_GB2312" w:hAnsi="仿宋_GB2312" w:cs="仿宋_GB2312" w:hint="eastAsia" w:eastAsia="仿宋_GB2312"/>
          <w:bCs/>
          <w:kern w:val="0"/>
          <w:sz w:val="32"/>
          <w:szCs w:val="32"/>
        </w:rPr>
        <w:t xml:space="preserve"> </w:t>
      </w:r>
      <w:r>
        <w:rPr>
          <w:rFonts w:ascii="仿宋_GB2312" w:hAnsi="仿宋_GB2312" w:cs="仿宋_GB2312" w:hint="eastAsia" w:eastAsia="仿宋_GB2312"/>
          <w:kern w:val="0"/>
          <w:sz w:val="32"/>
          <w:szCs w:val="32"/>
        </w:rPr>
        <w:t xml:space="preserve"> 塔城市河流流域内禁止实施下列行为：</w:t>
      </w:r>
    </w:p>
    <w:p>
      <w:pPr>
        <w:pStyle w:val="Normal"/>
        <w:snapToGrid w:val="false"/>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（一）排放、倾倒可溶性剧毒废渣；</w:t>
      </w:r>
    </w:p>
    <w:p>
      <w:pPr>
        <w:pStyle w:val="Normal"/>
        <w:snapToGrid w:val="false"/>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（二）排放、倾倒油类、酸液、碱液或者剧毒废液；</w:t>
      </w:r>
    </w:p>
    <w:p>
      <w:pPr>
        <w:pStyle w:val="Normal"/>
        <w:snapToGrid w:val="false"/>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（三）排放、倾倒含有放射性物质的废水或者含放射性固体废弃物；</w:t>
      </w:r>
    </w:p>
    <w:p>
      <w:pPr>
        <w:pStyle w:val="Normal"/>
        <w:snapToGrid w:val="false"/>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（四）倾倒工业、农业、建筑等废弃物；</w:t>
      </w:r>
    </w:p>
    <w:p>
      <w:pPr>
        <w:pStyle w:val="Normal"/>
        <w:snapToGrid w:val="false"/>
        <w:spacing w:lineRule="exact" w:line="560"/>
        <w:rPr>
          <w:rFonts w:ascii="仿宋_GB2312" w:hAnsi="仿宋_GB2312" w:eastAsia="仿宋_GB2312" w:cs="仿宋_GB2312" w:hint="eastAsia"/>
          <w:w w:val="90"/>
          <w:kern w:val="0"/>
          <w:sz w:val="32"/>
          <w:szCs w:val="32"/>
        </w:rPr>
      </w:pPr>
      <w:r>
        <w:rPr>
          <w:rFonts w:eastAsia="仿宋_GB2312" w:cs="仿宋_GB2312" w:hint="eastAsia" w:ascii="仿宋_GB2312" w:hAnsi="仿宋_GB2312"/>
          <w:kern w:val="0"/>
          <w:sz w:val="32"/>
          <w:szCs w:val="32"/>
        </w:rPr>
        <w:t xml:space="preserve">    </w:t>
      </w:r>
      <w:r>
        <w:rPr>
          <w:rFonts w:ascii="仿宋_GB2312" w:hAnsi="仿宋_GB2312" w:cs="仿宋_GB2312" w:hint="eastAsia" w:eastAsia="仿宋_GB2312"/>
          <w:spacing w:val="-20"/>
          <w:kern w:val="0"/>
          <w:sz w:val="32"/>
          <w:szCs w:val="32"/>
        </w:rPr>
        <w:t>（五）倾倒生活垃圾、人畜粪便以及混杂有上述物质的积雪；</w:t>
      </w:r>
    </w:p>
    <w:p>
      <w:pPr>
        <w:pStyle w:val="Normal"/>
        <w:numPr>
          <w:ilvl w:val="0"/>
          <w:numId w:val="0"/>
        </w:numPr>
        <w:snapToGrid w:val="false"/>
        <w:spacing w:lineRule="exact" w:line="560"/>
        <w:ind w:firstLine="640" w:end="0"/>
        <w:outlineLvl w:val="1"/>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（六）清洗装贮过油类或者有毒有害污染物的车辆、容器；</w:t>
      </w:r>
    </w:p>
    <w:p>
      <w:pPr>
        <w:pStyle w:val="Normal"/>
        <w:snapToGrid w:val="false"/>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（七）法律、法规规定的其他行为。</w:t>
      </w:r>
    </w:p>
    <w:p>
      <w:pPr>
        <w:pStyle w:val="Normal"/>
        <w:snapToGrid w:val="false"/>
        <w:spacing w:lineRule="exact" w:line="560"/>
        <w:ind w:firstLine="627" w:end="0"/>
        <w:rPr/>
      </w:pPr>
      <w:r>
        <w:rPr>
          <w:rFonts w:ascii="黑体;SimHei" w:hAnsi="黑体;SimHei" w:cs="黑体;SimHei" w:hint="eastAsia" w:eastAsia="黑体;SimHei"/>
          <w:bCs/>
          <w:kern w:val="0"/>
          <w:sz w:val="32"/>
          <w:szCs w:val="32"/>
        </w:rPr>
        <w:t>第二十条</w:t>
      </w:r>
      <w:r>
        <w:rPr>
          <w:rFonts w:ascii="仿宋_GB2312" w:hAnsi="仿宋_GB2312" w:cs="仿宋_GB2312" w:hint="eastAsia" w:eastAsia="仿宋_GB2312"/>
          <w:kern w:val="0"/>
          <w:sz w:val="32"/>
          <w:szCs w:val="32"/>
        </w:rPr>
        <w:t xml:space="preserve"> </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负有塔城市河流管理职责的有关部门的工作人员滥用职权、玩忽职守、徇私舞弊的，由其主管部门或者监察机关依法给予处分；构成犯罪的，依法追究刑事责任。</w:t>
      </w:r>
    </w:p>
    <w:p>
      <w:pPr>
        <w:pStyle w:val="Normal"/>
        <w:snapToGrid w:val="false"/>
        <w:spacing w:lineRule="exact" w:line="560"/>
        <w:ind w:firstLine="627" w:end="0"/>
        <w:rPr/>
      </w:pPr>
      <w:r>
        <w:rPr>
          <w:rFonts w:ascii="黑体;SimHei" w:hAnsi="黑体;SimHei" w:cs="黑体;SimHei" w:hint="eastAsia" w:eastAsia="黑体;SimHei"/>
          <w:bCs/>
          <w:kern w:val="0"/>
          <w:sz w:val="32"/>
          <w:szCs w:val="32"/>
        </w:rPr>
        <w:t>第二十一条</w:t>
      </w:r>
      <w:r>
        <w:rPr>
          <w:rFonts w:ascii="仿宋_GB2312" w:hAnsi="仿宋_GB2312" w:cs="仿宋_GB2312" w:hint="eastAsia" w:eastAsia="仿宋_GB2312"/>
          <w:bCs/>
          <w:kern w:val="0"/>
          <w:sz w:val="32"/>
          <w:szCs w:val="32"/>
        </w:rPr>
        <w:t xml:space="preserve">  </w:t>
      </w:r>
      <w:r>
        <w:rPr>
          <w:rFonts w:ascii="仿宋_GB2312" w:hAnsi="仿宋_GB2312" w:cs="仿宋_GB2312" w:hint="eastAsia" w:eastAsia="仿宋_GB2312"/>
          <w:kern w:val="0"/>
          <w:sz w:val="32"/>
          <w:szCs w:val="32"/>
        </w:rPr>
        <w:t>违反本条例应当承担法律责任的行为，依照有关法律、法规执行。</w:t>
      </w:r>
    </w:p>
    <w:p>
      <w:pPr>
        <w:pStyle w:val="Normal"/>
        <w:numPr>
          <w:ilvl w:val="0"/>
          <w:numId w:val="0"/>
        </w:numPr>
        <w:snapToGrid w:val="false"/>
        <w:spacing w:lineRule="exact" w:line="560"/>
        <w:ind w:firstLineChars="200" w:startChars="0" w:start="0" w:endChars="0" w:end="0"/>
        <w:outlineLvl w:val="0"/>
        <w:rPr/>
      </w:pPr>
      <w:r>
        <w:rPr>
          <w:rFonts w:ascii="黑体;SimHei" w:hAnsi="黑体;SimHei" w:cs="黑体;SimHei" w:hint="eastAsia" w:eastAsia="黑体;SimHei"/>
          <w:bCs/>
          <w:kern w:val="0"/>
          <w:sz w:val="32"/>
          <w:szCs w:val="32"/>
        </w:rPr>
        <w:t>第二十二条</w:t>
      </w:r>
      <w:r>
        <w:rPr>
          <w:rFonts w:ascii="仿宋_GB2312" w:hAnsi="仿宋_GB2312" w:cs="仿宋_GB2312" w:hint="eastAsia" w:eastAsia="仿宋_GB2312"/>
          <w:bCs/>
          <w:kern w:val="0"/>
          <w:sz w:val="32"/>
          <w:szCs w:val="32"/>
        </w:rPr>
        <w:t xml:space="preserve">  </w:t>
      </w:r>
      <w:r>
        <w:rPr>
          <w:rFonts w:ascii="仿宋_GB2312" w:hAnsi="仿宋_GB2312" w:cs="仿宋_GB2312" w:hint="eastAsia" w:eastAsia="仿宋_GB2312"/>
          <w:kern w:val="0"/>
          <w:sz w:val="32"/>
          <w:szCs w:val="32"/>
        </w:rPr>
        <w:t>本条例自公布之日起施行。</w:t>
      </w:r>
    </w:p>
    <w:p>
      <w:pPr>
        <w:pStyle w:val="Normal"/>
        <w:numPr>
          <w:ilvl w:val="0"/>
          <w:numId w:val="0"/>
        </w:numPr>
        <w:snapToGrid w:val="false"/>
        <w:spacing w:lineRule="exact" w:line="560"/>
        <w:ind w:firstLineChars="200" w:startChars="0" w:start="0" w:endChars="0" w:end="0"/>
        <w:outlineLvl w:val="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exact" w:line="56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黑体">
    <w:altName w:val="SimHei"/>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方正楷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67005" cy="252730"/>
              <wp:effectExtent l="0" t="0" r="0" b="0"/>
              <wp:wrapNone/>
              <wp:docPr id="1" name="Frame1"/>
              <a:graphic xmlns:a="http://schemas.openxmlformats.org/drawingml/2006/main">
                <a:graphicData uri="http://schemas.microsoft.com/office/word/2010/wordprocessingShape">
                  <wps:wsp>
                    <wps:cNvSpPr txBox="1"/>
                    <wps:spPr>
                      <a:xfrm>
                        <a:off x="0" y="0"/>
                        <a:ext cx="167005" cy="252730"/>
                      </a:xfrm>
                      <a:prstGeom prst="rect"/>
                      <a:solidFill>
                        <a:srgbClr val="FFFFFF">
                          <a:alpha val="0"/>
                        </a:srgbClr>
                      </a:solidFill>
                    </wps:spPr>
                    <wps:txbx>
                      <w:txbxContent>
                        <w:p>
                          <w:pPr>
                            <w:pStyle w:val="Footer"/>
                            <w:rPr/>
                          </w:pP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5</w:t>
                          </w:r>
                          <w:r>
                            <w:rPr>
                              <w:rFonts w:eastAsia="仿宋_GB2312" w:cs="仿宋_GB2312" w:hint="eastAsia" w:ascii="仿宋_GB2312" w:hAnsi="仿宋_GB2312"/>
                              <w:sz w:val="28"/>
                              <w:szCs w:val="28"/>
                            </w:rPr>
                            <w:fldChar w:fldCharType="end"/>
                          </w:r>
                          <w:r>
                            <w:rPr>
                              <w:rFonts w:eastAsia="仿宋_GB2312" w:cs="仿宋_GB2312"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3.15pt;height:19.9pt;mso-wrap-distance-left:9.05pt;mso-wrap-distance-right:0pt;mso-wrap-distance-top:0pt;mso-wrap-distance-bottom:0pt;margin-top:0pt;mso-position-vertical-relative:text;margin-left:429.05pt;mso-position-horizontal:outside;mso-position-horizontal-relative:margin">
              <v:fill opacity="0f"/>
              <v:textbox inset="0.000694444444444445in,0.000694444444444445in,0.000694444444444445in,0.000694444444444445in">
                <w:txbxContent>
                  <w:p>
                    <w:pPr>
                      <w:pStyle w:val="Footer"/>
                      <w:rPr/>
                    </w:pP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5</w:t>
                    </w:r>
                    <w:r>
                      <w:rPr>
                        <w:rFonts w:eastAsia="仿宋_GB2312" w:cs="仿宋_GB2312" w:hint="eastAsia" w:ascii="仿宋_GB2312" w:hAnsi="仿宋_GB2312"/>
                        <w:sz w:val="28"/>
                        <w:szCs w:val="28"/>
                      </w:rPr>
                      <w:fldChar w:fldCharType="end"/>
                    </w:r>
                    <w:r>
                      <w:rPr>
                        <w:rFonts w:eastAsia="仿宋_GB2312" w:cs="仿宋_GB2312"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9"/>
      <w:numFmt w:val="chineseCountingThousand"/>
      <w:suff w:val="space"/>
      <w:lvlText w:val="第%1条"/>
      <w:lvlJc w:val="start"/>
      <w:pPr>
        <w:tabs>
          <w:tab w:val="num" w:pos="0"/>
        </w:tabs>
        <w:ind w:start="3" w:hanging="0"/>
      </w:pPr>
      <w:rPr>
        <w:rFonts w:ascii="黑体;SimHei" w:hAnsi="黑体;SimHei" w:eastAsia="黑体;SimHei" w:cs="黑体;SimHei"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WW8Num1z0">
    <w:name w:val="WW8Num1z0"/>
    <w:qFormat/>
    <w:rPr>
      <w:rFonts w:ascii="黑体;SimHei" w:hAnsi="黑体;SimHei" w:eastAsia="黑体;SimHei" w:cs="黑体;SimHei" w:hint="eastAsia"/>
    </w:rPr>
  </w:style>
  <w:style w:type="character" w:styleId="Style14">
    <w:name w:val="默认段落字体"/>
    <w:qFormat/>
    <w:rPr/>
  </w:style>
  <w:style w:type="character" w:styleId="Strong">
    <w:name w:val="Strong"/>
    <w:basedOn w:val="Style14"/>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2014-10-31T12:08:00Z</dcterms:created>
  <dc:creator>Administrator</dc:creator>
  <dc:description/>
  <cp:keywords/>
  <dc:language>en-US</dc:language>
  <cp:lastModifiedBy>Microsoft</cp:lastModifiedBy>
  <cp:lastPrinted>2022-12-21T03:19:00Z</cp:lastPrinted>
  <dcterms:modified xsi:type="dcterms:W3CDTF">2023-01-09T19:18:00Z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2052-11.8.2.9339</vt:lpwstr>
  </property>
</Properties>
</file>