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eastAsia="仿宋_GB2312;仿宋" w:hint="eastAsia"/>
          <w:sz w:val="32"/>
        </w:rPr>
      </w:pPr>
      <w:r>
        <w:rPr>
          <w:rFonts w:eastAsia="仿宋_GB2312;仿宋" w:hint="eastAsia"/>
          <w:sz w:val="32"/>
        </w:rPr>
      </w:r>
    </w:p>
    <w:p>
      <w:pPr>
        <w:pStyle w:val="Normal"/>
        <w:spacing w:lineRule="exact" w:line="560"/>
        <w:rPr>
          <w:rFonts w:eastAsia="仿宋_GB2312;仿宋" w:hint="eastAsia"/>
          <w:sz w:val="32"/>
        </w:rPr>
      </w:pPr>
      <w:r>
        <w:rPr>
          <w:rFonts w:eastAsia="仿宋_GB2312;仿宋" w:hint="eastAsia"/>
          <w:sz w:val="32"/>
        </w:rPr>
      </w:r>
    </w:p>
    <w:p>
      <w:pPr>
        <w:pStyle w:val="Normal"/>
        <w:spacing w:lineRule="exact" w:line="560"/>
        <w:jc w:val="center"/>
        <w:rPr>
          <w:rFonts w:ascii="宋体" w:hAnsi="宋体" w:cs="宋体"/>
          <w:kern w:val="0"/>
          <w:sz w:val="44"/>
          <w:szCs w:val="44"/>
        </w:rPr>
      </w:pPr>
      <w:bookmarkStart w:id="0" w:name="2_3"/>
      <w:bookmarkStart w:id="1" w:name="sub5297635_2_3"/>
      <w:bookmarkEnd w:id="0"/>
      <w:bookmarkEnd w:id="1"/>
      <w:r>
        <w:rPr>
          <w:rFonts w:ascii="宋体" w:hAnsi="宋体" w:cs="宋体"/>
          <w:kern w:val="0"/>
          <w:sz w:val="44"/>
          <w:szCs w:val="44"/>
        </w:rPr>
        <w:t>乌鲁木齐市人民代表大会代表议案处理办法</w:t>
      </w:r>
    </w:p>
    <w:p>
      <w:pPr>
        <w:pStyle w:val="Normal"/>
        <w:spacing w:lineRule="exact" w:line="560"/>
        <w:jc w:val="center"/>
        <w:rPr>
          <w:rFonts w:ascii="宋体" w:hAnsi="宋体" w:eastAsia="方正小标宋_GBK;微软雅黑" w:cs="宋体"/>
          <w:kern w:val="0"/>
          <w:sz w:val="32"/>
          <w:szCs w:val="44"/>
        </w:rPr>
      </w:pPr>
      <w:r>
        <w:rPr>
          <w:rFonts w:eastAsia="方正小标宋_GBK;微软雅黑" w:cs="宋体" w:ascii="宋体" w:hAnsi="宋体"/>
          <w:kern w:val="0"/>
          <w:sz w:val="32"/>
          <w:szCs w:val="44"/>
        </w:rPr>
      </w:r>
    </w:p>
    <w:p>
      <w:pPr>
        <w:pStyle w:val="Normal"/>
        <w:tabs>
          <w:tab w:val="clear" w:pos="420"/>
          <w:tab w:val="left" w:pos="720" w:leader="none"/>
          <w:tab w:val="left" w:pos="8280" w:leader="none"/>
        </w:tabs>
        <w:spacing w:lineRule="exact" w:line="560"/>
        <w:ind w:start="850" w:end="819"/>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2021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14</w:t>
      </w:r>
      <w:r>
        <w:rPr>
          <w:rFonts w:ascii="楷体_GB2312;楷体" w:hAnsi="楷体_GB2312;楷体" w:hint="eastAsia" w:eastAsia="楷体_GB2312;楷体"/>
          <w:sz w:val="32"/>
          <w:szCs w:val="32"/>
        </w:rPr>
        <w:t xml:space="preserve">日乌鲁木齐市第十六届人民代表大会第五次会议通过  </w:t>
      </w:r>
      <w:r>
        <w:rPr>
          <w:rFonts w:eastAsia="楷体_GB2312;楷体" w:hint="eastAsia" w:ascii="楷体_GB2312;楷体" w:hAnsi="楷体_GB2312;楷体"/>
          <w:sz w:val="32"/>
          <w:szCs w:val="32"/>
        </w:rPr>
        <w:t>2021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3</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25</w:t>
      </w:r>
      <w:r>
        <w:rPr>
          <w:rFonts w:ascii="楷体_GB2312;楷体" w:hAnsi="楷体_GB2312;楷体" w:hint="eastAsia" w:eastAsia="楷体_GB2312;楷体"/>
          <w:sz w:val="32"/>
          <w:szCs w:val="32"/>
        </w:rPr>
        <w:t>日新疆维吾尔自治区第十三届人民代表大会常务委员会第二十四次</w:t>
      </w:r>
    </w:p>
    <w:p>
      <w:pPr>
        <w:pStyle w:val="Normal"/>
        <w:tabs>
          <w:tab w:val="clear" w:pos="420"/>
          <w:tab w:val="left" w:pos="720" w:leader="none"/>
          <w:tab w:val="left" w:pos="8280" w:leader="none"/>
        </w:tabs>
        <w:spacing w:lineRule="exact" w:line="560"/>
        <w:ind w:start="850" w:end="819"/>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会议批准）</w:t>
      </w:r>
    </w:p>
    <w:p>
      <w:pPr>
        <w:pStyle w:val="Normal"/>
        <w:tabs>
          <w:tab w:val="clear" w:pos="420"/>
          <w:tab w:val="left" w:pos="720" w:leader="none"/>
          <w:tab w:val="left" w:pos="8280" w:leader="none"/>
        </w:tabs>
        <w:spacing w:lineRule="exact" w:line="560"/>
        <w:ind w:start="850" w:end="819"/>
        <w:jc w:val="center"/>
        <w:rPr>
          <w:rFonts w:ascii="楷体_GB2312;楷体" w:hAnsi="楷体_GB2312;楷体" w:eastAsia="楷体_GB2312;楷体" w:hint="eastAsia"/>
          <w:sz w:val="32"/>
          <w:szCs w:val="32"/>
        </w:rPr>
      </w:pPr>
      <w:r>
        <w:rPr>
          <w:rFonts w:eastAsia="楷体_GB2312;楷体" w:hint="eastAsia" w:ascii="楷体_GB2312;楷体" w:hAnsi="楷体_GB2312;楷体"/>
          <w:sz w:val="32"/>
          <w:szCs w:val="32"/>
        </w:rPr>
      </w:r>
    </w:p>
    <w:p>
      <w:pPr>
        <w:pStyle w:val="Normal"/>
        <w:spacing w:lineRule="exact" w:line="560"/>
        <w:jc w:val="center"/>
        <w:rPr>
          <w:rFonts w:ascii="楷体_GB2312;楷体" w:hAnsi="楷体_GB2312;楷体" w:eastAsia="楷体_GB2312;楷体" w:hint="eastAsia"/>
          <w:kern w:val="0"/>
          <w:sz w:val="32"/>
          <w:szCs w:val="32"/>
        </w:rPr>
      </w:pPr>
      <w:bookmarkStart w:id="2" w:name="sub5297635_2_1"/>
      <w:bookmarkStart w:id="3" w:name="2_1"/>
      <w:bookmarkEnd w:id="2"/>
      <w:bookmarkEnd w:id="3"/>
      <w:r>
        <w:rPr>
          <w:rFonts w:ascii="楷体_GB2312;楷体" w:hAnsi="楷体_GB2312;楷体" w:hint="eastAsia" w:eastAsia="楷体_GB2312;楷体"/>
          <w:kern w:val="0"/>
          <w:sz w:val="32"/>
          <w:szCs w:val="32"/>
        </w:rPr>
        <w:t>目    录</w:t>
      </w:r>
    </w:p>
    <w:p>
      <w:pPr>
        <w:pStyle w:val="Style15"/>
        <w:spacing w:lineRule="exact" w:line="560" w:before="0" w:after="0"/>
        <w:ind w:firstLineChars="200" w:startChars="0" w:start="0" w:endChars="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第一章  总  则</w:t>
      </w:r>
    </w:p>
    <w:p>
      <w:pPr>
        <w:pStyle w:val="Style15"/>
        <w:spacing w:lineRule="exact" w:line="560" w:before="0" w:after="0"/>
        <w:ind w:firstLineChars="200" w:startChars="0" w:start="0" w:endChars="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第二章  代表议案的基本要求</w:t>
      </w:r>
    </w:p>
    <w:p>
      <w:pPr>
        <w:pStyle w:val="Style15"/>
        <w:spacing w:lineRule="exact" w:line="560" w:before="0" w:after="0"/>
        <w:ind w:firstLineChars="200" w:startChars="0" w:start="0" w:endChars="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第三章  代表议案的提出</w:t>
      </w:r>
    </w:p>
    <w:p>
      <w:pPr>
        <w:pStyle w:val="Style15"/>
        <w:spacing w:lineRule="exact" w:line="560" w:before="0" w:after="0"/>
        <w:ind w:firstLineChars="200" w:startChars="0" w:start="0" w:endChars="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第四章  代表议案的处理</w:t>
      </w:r>
    </w:p>
    <w:p>
      <w:pPr>
        <w:pStyle w:val="Style15"/>
        <w:spacing w:lineRule="exact" w:line="560" w:before="0" w:after="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第五章  附  则</w:t>
      </w:r>
    </w:p>
    <w:p>
      <w:pPr>
        <w:pStyle w:val="Normal"/>
        <w:spacing w:lineRule="exact" w:line="560"/>
        <w:rPr>
          <w:rFonts w:ascii="楷体_GB2312;楷体" w:hAnsi="楷体_GB2312;楷体" w:eastAsia="楷体_GB2312;楷体" w:hint="eastAsia"/>
          <w:b/>
          <w:color w:val="000000"/>
          <w:kern w:val="0"/>
          <w:sz w:val="32"/>
          <w:szCs w:val="32"/>
        </w:rPr>
      </w:pPr>
      <w:r>
        <w:rPr>
          <w:rFonts w:eastAsia="楷体_GB2312;楷体" w:hint="eastAsia" w:ascii="楷体_GB2312;楷体" w:hAnsi="楷体_GB2312;楷体"/>
          <w:b/>
          <w:color w:val="000000"/>
          <w:kern w:val="0"/>
          <w:sz w:val="32"/>
          <w:szCs w:val="32"/>
        </w:rPr>
      </w:r>
    </w:p>
    <w:p>
      <w:pPr>
        <w:pStyle w:val="Style15"/>
        <w:spacing w:lineRule="exact" w:line="560" w:before="0" w:after="0"/>
        <w:jc w:val="center"/>
        <w:rPr>
          <w:rFonts w:eastAsia="方正黑体_GBK;微软雅黑"/>
          <w:color w:val="333333"/>
          <w:sz w:val="32"/>
          <w:szCs w:val="32"/>
        </w:rPr>
      </w:pPr>
      <w:r>
        <w:rPr>
          <w:rFonts w:eastAsia="方正黑体_GBK;微软雅黑"/>
          <w:color w:val="333333"/>
          <w:sz w:val="32"/>
          <w:szCs w:val="32"/>
        </w:rPr>
        <w:t>第一章</w:t>
      </w:r>
      <w:r>
        <w:rPr>
          <w:rFonts w:hint="eastAsia" w:eastAsia="方正黑体_GBK;微软雅黑"/>
          <w:color w:val="333333"/>
          <w:sz w:val="32"/>
          <w:szCs w:val="32"/>
        </w:rPr>
        <w:t xml:space="preserve">  </w:t>
      </w:r>
      <w:r>
        <w:rPr>
          <w:rFonts w:eastAsia="方正黑体_GBK;微软雅黑"/>
          <w:color w:val="333333"/>
          <w:sz w:val="32"/>
          <w:szCs w:val="32"/>
        </w:rPr>
        <w:t>总</w:t>
      </w:r>
      <w:r>
        <w:rPr>
          <w:rFonts w:hint="eastAsia" w:eastAsia="方正黑体_GBK;微软雅黑"/>
          <w:color w:val="333333"/>
          <w:sz w:val="32"/>
          <w:szCs w:val="32"/>
        </w:rPr>
        <w:t xml:space="preserve">  </w:t>
      </w:r>
      <w:r>
        <w:rPr>
          <w:rFonts w:eastAsia="方正黑体_GBK;微软雅黑"/>
          <w:color w:val="333333"/>
          <w:sz w:val="32"/>
          <w:szCs w:val="32"/>
        </w:rPr>
        <w:t>则</w:t>
      </w:r>
    </w:p>
    <w:p>
      <w:pPr>
        <w:pStyle w:val="Style15"/>
        <w:spacing w:lineRule="exact" w:line="560" w:before="0" w:after="0"/>
        <w:jc w:val="both"/>
        <w:rPr>
          <w:rFonts w:eastAsia="方正黑体_GBK;微软雅黑"/>
          <w:color w:val="333333"/>
          <w:sz w:val="32"/>
          <w:szCs w:val="32"/>
        </w:rPr>
      </w:pPr>
      <w:r>
        <w:rPr>
          <w:rFonts w:eastAsia="方正黑体_GBK;微软雅黑"/>
          <w:color w:val="333333"/>
          <w:sz w:val="32"/>
          <w:szCs w:val="32"/>
        </w:rPr>
      </w:r>
    </w:p>
    <w:p>
      <w:pPr>
        <w:pStyle w:val="Style15"/>
        <w:spacing w:lineRule="exact" w:line="560" w:before="0" w:after="0"/>
        <w:ind w:firstLine="640" w:end="0"/>
        <w:jc w:val="both"/>
        <w:rPr>
          <w:rFonts w:eastAsia="仿宋_GB2312;仿宋"/>
          <w:kern w:val="2"/>
          <w:sz w:val="32"/>
          <w:szCs w:val="32"/>
        </w:rPr>
      </w:pPr>
      <w:r>
        <w:rPr>
          <w:rFonts w:eastAsia="方正黑体_GBK;微软雅黑"/>
          <w:bCs/>
          <w:color w:val="333333"/>
          <w:sz w:val="32"/>
          <w:szCs w:val="32"/>
        </w:rPr>
        <w:t xml:space="preserve">第一条  </w:t>
      </w:r>
      <w:r>
        <w:rPr>
          <w:rFonts w:eastAsia="仿宋_GB2312;仿宋"/>
          <w:kern w:val="2"/>
          <w:sz w:val="32"/>
          <w:szCs w:val="32"/>
        </w:rPr>
        <w:t>为了依法处理乌鲁木齐市人民代表大会代表提出的议案，根据《中华人民共和国地方各级人民代表大会和地方各级人民政府组织法》《中华人民共和国全国人民代表大会和地方各级人民代表大会代表法》《新疆维吾尔自治区人民代表大会代表议案处理办法》等有关法律法规规定，制定本办法。</w:t>
      </w:r>
    </w:p>
    <w:p>
      <w:pPr>
        <w:pStyle w:val="Style15"/>
        <w:spacing w:lineRule="exact" w:line="560" w:before="0" w:after="0"/>
        <w:ind w:firstLine="640" w:end="0"/>
        <w:jc w:val="both"/>
        <w:rPr>
          <w:rFonts w:eastAsia="仿宋_GB2312;仿宋"/>
          <w:kern w:val="2"/>
          <w:sz w:val="32"/>
          <w:szCs w:val="32"/>
        </w:rPr>
      </w:pPr>
      <w:r>
        <w:rPr>
          <w:rFonts w:eastAsia="方正黑体_GBK;微软雅黑"/>
          <w:bCs/>
          <w:color w:val="333333"/>
          <w:sz w:val="32"/>
          <w:szCs w:val="32"/>
        </w:rPr>
        <w:t xml:space="preserve">第二条  </w:t>
      </w:r>
      <w:r>
        <w:rPr>
          <w:rFonts w:eastAsia="仿宋_GB2312;仿宋"/>
          <w:kern w:val="2"/>
          <w:sz w:val="32"/>
          <w:szCs w:val="32"/>
        </w:rPr>
        <w:t xml:space="preserve">代表议案处理工作要以习近平新时代中国特色社会主义思想为指导，坚持党的领导、人民当家作主、依法治国有机统一，完整准确贯彻新时代党的治疆方略，牢牢扭住新疆工作总目标，依法保障代表履行职责。 </w:t>
      </w:r>
    </w:p>
    <w:p>
      <w:pPr>
        <w:pStyle w:val="Style15"/>
        <w:spacing w:lineRule="exact" w:line="560" w:before="0" w:after="0"/>
        <w:ind w:firstLine="640" w:end="0"/>
        <w:jc w:val="both"/>
        <w:rPr>
          <w:rFonts w:eastAsia="仿宋_GB2312;仿宋"/>
          <w:kern w:val="2"/>
          <w:sz w:val="32"/>
          <w:szCs w:val="32"/>
        </w:rPr>
      </w:pPr>
      <w:r>
        <w:rPr>
          <w:rFonts w:eastAsia="方正黑体_GBK;微软雅黑"/>
          <w:bCs/>
          <w:color w:val="333333"/>
          <w:sz w:val="32"/>
          <w:szCs w:val="32"/>
        </w:rPr>
        <w:t xml:space="preserve">第三条  </w:t>
      </w:r>
      <w:r>
        <w:rPr>
          <w:rFonts w:eastAsia="仿宋_GB2312;仿宋"/>
          <w:kern w:val="2"/>
          <w:sz w:val="32"/>
          <w:szCs w:val="32"/>
        </w:rPr>
        <w:t>本办法所称代表议案处理，是指市人民代表大会十名以上的代表联名，向市人民代表大会提出属于市人民代表大会及其常务委员会职权范围内的议事原案，交由人大各专门委员会和有关机关、组织进行处理。</w:t>
      </w:r>
    </w:p>
    <w:p>
      <w:pPr>
        <w:pStyle w:val="Style15"/>
        <w:spacing w:lineRule="exact" w:line="560" w:before="0" w:after="0"/>
        <w:jc w:val="both"/>
        <w:rPr>
          <w:rFonts w:eastAsia="方正黑体_GBK;微软雅黑"/>
          <w:color w:val="333333"/>
          <w:kern w:val="2"/>
          <w:sz w:val="32"/>
          <w:szCs w:val="32"/>
        </w:rPr>
      </w:pPr>
      <w:r>
        <w:rPr>
          <w:rFonts w:eastAsia="方正黑体_GBK;微软雅黑"/>
          <w:color w:val="333333"/>
          <w:kern w:val="2"/>
          <w:sz w:val="32"/>
          <w:szCs w:val="32"/>
        </w:rPr>
      </w:r>
    </w:p>
    <w:p>
      <w:pPr>
        <w:pStyle w:val="Style15"/>
        <w:spacing w:lineRule="exact" w:line="560" w:before="0" w:after="0"/>
        <w:jc w:val="center"/>
        <w:rPr>
          <w:rFonts w:eastAsia="方正黑体_GBK;微软雅黑"/>
          <w:color w:val="333333"/>
          <w:sz w:val="32"/>
          <w:szCs w:val="32"/>
        </w:rPr>
      </w:pPr>
      <w:r>
        <w:rPr>
          <w:rFonts w:eastAsia="方正黑体_GBK;微软雅黑"/>
          <w:color w:val="333333"/>
          <w:sz w:val="32"/>
          <w:szCs w:val="32"/>
        </w:rPr>
        <w:t xml:space="preserve">第二章 </w:t>
      </w:r>
      <w:r>
        <w:rPr>
          <w:rFonts w:hint="eastAsia" w:eastAsia="方正黑体_GBK;微软雅黑"/>
          <w:color w:val="333333"/>
          <w:sz w:val="32"/>
          <w:szCs w:val="32"/>
        </w:rPr>
        <w:t xml:space="preserve"> </w:t>
      </w:r>
      <w:r>
        <w:rPr>
          <w:rFonts w:eastAsia="方正黑体_GBK;微软雅黑"/>
          <w:color w:val="333333"/>
          <w:sz w:val="32"/>
          <w:szCs w:val="32"/>
        </w:rPr>
        <w:t>代表议案的基本要求</w:t>
      </w:r>
    </w:p>
    <w:p>
      <w:pPr>
        <w:pStyle w:val="Style15"/>
        <w:spacing w:lineRule="exact" w:line="560" w:before="0" w:after="0"/>
        <w:jc w:val="both"/>
        <w:rPr>
          <w:rFonts w:eastAsia="方正黑体_GBK;微软雅黑"/>
          <w:color w:val="333333"/>
          <w:sz w:val="32"/>
          <w:szCs w:val="32"/>
        </w:rPr>
      </w:pPr>
      <w:r>
        <w:rPr>
          <w:rFonts w:eastAsia="方正黑体_GBK;微软雅黑"/>
          <w:color w:val="333333"/>
          <w:sz w:val="32"/>
          <w:szCs w:val="32"/>
        </w:rPr>
      </w:r>
    </w:p>
    <w:p>
      <w:pPr>
        <w:pStyle w:val="Style15"/>
        <w:spacing w:lineRule="exact" w:line="560" w:before="0" w:after="0"/>
        <w:ind w:firstLine="640" w:end="0"/>
        <w:jc w:val="both"/>
        <w:rPr>
          <w:rFonts w:eastAsia="仿宋_GB2312;仿宋"/>
          <w:kern w:val="2"/>
          <w:sz w:val="32"/>
          <w:szCs w:val="32"/>
        </w:rPr>
      </w:pPr>
      <w:r>
        <w:rPr>
          <w:rFonts w:eastAsia="方正黑体_GBK;微软雅黑"/>
          <w:bCs/>
          <w:color w:val="333333"/>
          <w:sz w:val="32"/>
          <w:szCs w:val="32"/>
        </w:rPr>
        <w:t xml:space="preserve">第四条  </w:t>
      </w:r>
      <w:r>
        <w:rPr>
          <w:rFonts w:eastAsia="仿宋_GB2312;仿宋"/>
          <w:kern w:val="2"/>
          <w:sz w:val="32"/>
          <w:szCs w:val="32"/>
        </w:rPr>
        <w:t>代表议案应当符合下列条件：</w:t>
      </w:r>
    </w:p>
    <w:p>
      <w:pPr>
        <w:pStyle w:val="Style15"/>
        <w:spacing w:lineRule="exact" w:line="560" w:before="0" w:after="0"/>
        <w:ind w:firstLine="640" w:end="0"/>
        <w:jc w:val="both"/>
        <w:rPr>
          <w:rFonts w:eastAsia="仿宋_GB2312;仿宋"/>
          <w:kern w:val="2"/>
          <w:sz w:val="32"/>
          <w:szCs w:val="32"/>
        </w:rPr>
      </w:pPr>
      <w:r>
        <w:rPr>
          <w:rFonts w:eastAsia="仿宋_GB2312;仿宋"/>
          <w:kern w:val="2"/>
          <w:sz w:val="32"/>
          <w:szCs w:val="32"/>
        </w:rPr>
        <w:t>（一）由十名以上代表联名向市人民代表大会提出；</w:t>
      </w:r>
    </w:p>
    <w:p>
      <w:pPr>
        <w:pStyle w:val="Style15"/>
        <w:spacing w:lineRule="exact" w:line="560" w:before="0" w:after="0"/>
        <w:ind w:firstLine="640" w:end="0"/>
        <w:jc w:val="both"/>
        <w:rPr>
          <w:rFonts w:eastAsia="仿宋_GB2312;仿宋"/>
          <w:kern w:val="2"/>
          <w:sz w:val="32"/>
          <w:szCs w:val="32"/>
        </w:rPr>
      </w:pPr>
      <w:r>
        <w:rPr>
          <w:rFonts w:eastAsia="仿宋_GB2312;仿宋"/>
          <w:kern w:val="2"/>
          <w:sz w:val="32"/>
          <w:szCs w:val="32"/>
        </w:rPr>
        <w:t>（二）内容属于市人民代表大会及其常务委员会职权范围内的事项；</w:t>
      </w:r>
    </w:p>
    <w:p>
      <w:pPr>
        <w:pStyle w:val="Style15"/>
        <w:spacing w:lineRule="exact" w:line="560" w:before="0" w:after="0"/>
        <w:ind w:firstLine="640" w:end="0"/>
        <w:jc w:val="both"/>
        <w:rPr>
          <w:rFonts w:eastAsia="仿宋_GB2312;仿宋"/>
          <w:kern w:val="2"/>
          <w:sz w:val="32"/>
          <w:szCs w:val="32"/>
        </w:rPr>
      </w:pPr>
      <w:r>
        <w:rPr>
          <w:rFonts w:eastAsia="仿宋_GB2312;仿宋"/>
          <w:kern w:val="2"/>
          <w:sz w:val="32"/>
          <w:szCs w:val="32"/>
        </w:rPr>
        <w:t>（三）要求列入市人民代表大会及其常务委员会会议议程进行审议的事项。</w:t>
      </w:r>
    </w:p>
    <w:p>
      <w:pPr>
        <w:pStyle w:val="Style15"/>
        <w:spacing w:lineRule="exact" w:line="560" w:before="0" w:after="0"/>
        <w:ind w:firstLine="640" w:end="0"/>
        <w:jc w:val="both"/>
        <w:rPr>
          <w:rFonts w:eastAsia="仿宋_GB2312;仿宋"/>
          <w:kern w:val="2"/>
          <w:sz w:val="32"/>
          <w:szCs w:val="32"/>
        </w:rPr>
      </w:pPr>
      <w:r>
        <w:rPr>
          <w:rFonts w:eastAsia="方正黑体_GBK;微软雅黑"/>
          <w:bCs/>
          <w:color w:val="333333"/>
          <w:sz w:val="32"/>
          <w:szCs w:val="32"/>
        </w:rPr>
        <w:t xml:space="preserve">第五条  </w:t>
      </w:r>
      <w:r>
        <w:rPr>
          <w:rFonts w:eastAsia="仿宋_GB2312;仿宋"/>
          <w:kern w:val="2"/>
          <w:sz w:val="32"/>
          <w:szCs w:val="32"/>
        </w:rPr>
        <w:t>下列事项可以作为代表议案提出：</w:t>
      </w:r>
    </w:p>
    <w:p>
      <w:pPr>
        <w:pStyle w:val="Style15"/>
        <w:spacing w:lineRule="exact" w:line="560" w:before="0" w:after="0"/>
        <w:ind w:firstLine="640" w:end="0"/>
        <w:jc w:val="both"/>
        <w:rPr>
          <w:rFonts w:eastAsia="仿宋_GB2312;仿宋"/>
          <w:kern w:val="2"/>
          <w:sz w:val="32"/>
          <w:szCs w:val="32"/>
        </w:rPr>
      </w:pPr>
      <w:r>
        <w:rPr>
          <w:rFonts w:eastAsia="仿宋_GB2312;仿宋"/>
          <w:kern w:val="2"/>
          <w:sz w:val="32"/>
          <w:szCs w:val="32"/>
        </w:rPr>
        <w:t>（一）制定、修改、废止地方性法规，解释地方性法规的事项；</w:t>
      </w:r>
    </w:p>
    <w:p>
      <w:pPr>
        <w:pStyle w:val="Style15"/>
        <w:spacing w:lineRule="exact" w:line="560" w:before="0" w:after="0"/>
        <w:ind w:firstLine="640" w:end="0"/>
        <w:jc w:val="both"/>
        <w:rPr>
          <w:rFonts w:eastAsia="仿宋_GB2312;仿宋"/>
          <w:kern w:val="2"/>
          <w:sz w:val="32"/>
          <w:szCs w:val="32"/>
        </w:rPr>
      </w:pPr>
      <w:r>
        <w:rPr>
          <w:rFonts w:eastAsia="仿宋_GB2312;仿宋"/>
          <w:kern w:val="2"/>
          <w:sz w:val="32"/>
          <w:szCs w:val="32"/>
        </w:rPr>
        <w:t>（二）对市人民政府和市监察委员会、市中级人民法院、市人民检察院监督工作中的有关事项；</w:t>
      </w:r>
    </w:p>
    <w:p>
      <w:pPr>
        <w:pStyle w:val="Style15"/>
        <w:spacing w:lineRule="exact" w:line="560" w:before="0" w:after="0"/>
        <w:ind w:firstLine="640" w:end="0"/>
        <w:jc w:val="both"/>
        <w:rPr>
          <w:rFonts w:eastAsia="仿宋_GB2312;仿宋"/>
          <w:kern w:val="2"/>
          <w:sz w:val="32"/>
          <w:szCs w:val="32"/>
        </w:rPr>
      </w:pPr>
      <w:r>
        <w:rPr>
          <w:rFonts w:eastAsia="仿宋_GB2312;仿宋"/>
          <w:kern w:val="2"/>
          <w:sz w:val="32"/>
          <w:szCs w:val="32"/>
        </w:rPr>
        <w:t>（三）应当由市人民代表大会及其常务委员会讨论、决定的经济建设、政治建设、文化建设、社会建设和生态文明建设等重大事项；</w:t>
      </w:r>
    </w:p>
    <w:p>
      <w:pPr>
        <w:pStyle w:val="Style15"/>
        <w:spacing w:lineRule="exact" w:line="560" w:before="0" w:after="0"/>
        <w:ind w:firstLine="640" w:end="0"/>
        <w:jc w:val="both"/>
        <w:rPr>
          <w:rFonts w:eastAsia="仿宋_GB2312;仿宋"/>
          <w:kern w:val="2"/>
          <w:sz w:val="32"/>
          <w:szCs w:val="32"/>
        </w:rPr>
      </w:pPr>
      <w:r>
        <w:rPr>
          <w:rFonts w:eastAsia="仿宋_GB2312;仿宋"/>
          <w:kern w:val="2"/>
          <w:sz w:val="32"/>
          <w:szCs w:val="32"/>
        </w:rPr>
        <w:t>（四）市人民代表大会职权范围内的其他事项。</w:t>
      </w:r>
    </w:p>
    <w:p>
      <w:pPr>
        <w:pStyle w:val="Style15"/>
        <w:spacing w:lineRule="exact" w:line="560" w:before="0" w:after="0"/>
        <w:ind w:firstLine="640" w:end="0"/>
        <w:jc w:val="both"/>
        <w:rPr>
          <w:rFonts w:eastAsia="仿宋_GB2312;仿宋"/>
          <w:kern w:val="2"/>
          <w:sz w:val="32"/>
          <w:szCs w:val="32"/>
        </w:rPr>
      </w:pPr>
      <w:r>
        <w:rPr>
          <w:rFonts w:eastAsia="方正黑体_GBK;微软雅黑"/>
          <w:bCs/>
          <w:color w:val="333333"/>
          <w:sz w:val="32"/>
          <w:szCs w:val="32"/>
        </w:rPr>
        <w:t xml:space="preserve">第六条  </w:t>
      </w:r>
      <w:r>
        <w:rPr>
          <w:rFonts w:eastAsia="仿宋_GB2312;仿宋"/>
          <w:kern w:val="2"/>
          <w:sz w:val="32"/>
          <w:szCs w:val="32"/>
        </w:rPr>
        <w:t>下列事项不应当作为议案提出：</w:t>
      </w:r>
    </w:p>
    <w:p>
      <w:pPr>
        <w:pStyle w:val="Style15"/>
        <w:spacing w:lineRule="exact" w:line="560" w:before="0" w:after="0"/>
        <w:ind w:firstLine="640" w:end="0"/>
        <w:jc w:val="both"/>
        <w:rPr>
          <w:rFonts w:eastAsia="仿宋_GB2312;仿宋"/>
          <w:kern w:val="2"/>
          <w:sz w:val="32"/>
          <w:szCs w:val="32"/>
        </w:rPr>
      </w:pPr>
      <w:r>
        <w:rPr>
          <w:rFonts w:eastAsia="仿宋_GB2312;仿宋"/>
          <w:kern w:val="2"/>
          <w:sz w:val="32"/>
          <w:szCs w:val="32"/>
        </w:rPr>
        <w:t>（一）自治区人民代表大会及其常务委员会、自治区人民政府职权范围内的事项；</w:t>
      </w:r>
    </w:p>
    <w:p>
      <w:pPr>
        <w:pStyle w:val="Style15"/>
        <w:spacing w:lineRule="exact" w:line="560" w:before="0" w:after="0"/>
        <w:ind w:firstLine="640" w:end="0"/>
        <w:jc w:val="both"/>
        <w:rPr>
          <w:rFonts w:eastAsia="仿宋_GB2312;仿宋"/>
          <w:kern w:val="2"/>
          <w:sz w:val="32"/>
          <w:szCs w:val="32"/>
        </w:rPr>
      </w:pPr>
      <w:r>
        <w:rPr>
          <w:rFonts w:eastAsia="仿宋_GB2312;仿宋"/>
          <w:kern w:val="2"/>
          <w:sz w:val="32"/>
          <w:szCs w:val="32"/>
        </w:rPr>
        <w:t>（二）市人民政府及其所属部门职权范围内的事项；</w:t>
      </w:r>
    </w:p>
    <w:p>
      <w:pPr>
        <w:pStyle w:val="Style15"/>
        <w:spacing w:lineRule="exact" w:line="560" w:before="0" w:after="0"/>
        <w:ind w:firstLine="640" w:end="0"/>
        <w:jc w:val="both"/>
        <w:rPr>
          <w:sz w:val="32"/>
        </w:rPr>
      </w:pPr>
      <w:r>
        <w:rPr>
          <w:rFonts w:eastAsia="仿宋_GB2312;仿宋"/>
          <w:kern w:val="2"/>
          <w:sz w:val="32"/>
          <w:szCs w:val="32"/>
        </w:rPr>
        <w:t>（三）应当由区（县）人民代表大会及其常务委员会、乡镇人民代表大会主席团、人民政府处理的地方事务；</w:t>
      </w:r>
    </w:p>
    <w:p>
      <w:pPr>
        <w:pStyle w:val="Style15"/>
        <w:spacing w:lineRule="exact" w:line="560" w:before="0" w:after="0"/>
        <w:ind w:firstLine="640" w:end="0"/>
        <w:jc w:val="both"/>
        <w:rPr>
          <w:rFonts w:eastAsia="仿宋_GB2312;仿宋"/>
          <w:kern w:val="2"/>
          <w:sz w:val="32"/>
          <w:szCs w:val="32"/>
        </w:rPr>
      </w:pPr>
      <w:r>
        <w:rPr>
          <w:rFonts w:eastAsia="仿宋_GB2312;仿宋"/>
          <w:kern w:val="2"/>
          <w:sz w:val="32"/>
          <w:szCs w:val="32"/>
        </w:rPr>
        <w:t>（四）监察委员会和人民法院、人民检察院监察权、审判权、检察权范围内的事项；</w:t>
      </w:r>
    </w:p>
    <w:p>
      <w:pPr>
        <w:pStyle w:val="Style15"/>
        <w:spacing w:lineRule="exact" w:line="560" w:before="0" w:after="0"/>
        <w:ind w:firstLine="640" w:end="0"/>
        <w:jc w:val="both"/>
        <w:rPr>
          <w:rFonts w:eastAsia="仿宋_GB2312;仿宋"/>
          <w:kern w:val="2"/>
          <w:sz w:val="32"/>
          <w:szCs w:val="32"/>
        </w:rPr>
      </w:pPr>
      <w:r>
        <w:rPr>
          <w:rFonts w:eastAsia="仿宋_GB2312;仿宋"/>
          <w:kern w:val="2"/>
          <w:sz w:val="32"/>
          <w:szCs w:val="32"/>
        </w:rPr>
        <w:t>（五）政党、社会团体、事业组织、企业单位和个人的事务；</w:t>
      </w:r>
    </w:p>
    <w:p>
      <w:pPr>
        <w:pStyle w:val="Style15"/>
        <w:spacing w:lineRule="exact" w:line="560" w:before="0" w:after="0"/>
        <w:ind w:firstLine="640" w:end="0"/>
        <w:jc w:val="both"/>
        <w:rPr>
          <w:rFonts w:eastAsia="仿宋_GB2312;仿宋"/>
          <w:kern w:val="2"/>
          <w:sz w:val="32"/>
          <w:szCs w:val="32"/>
        </w:rPr>
      </w:pPr>
      <w:r>
        <w:rPr>
          <w:rFonts w:eastAsia="仿宋_GB2312;仿宋"/>
          <w:kern w:val="2"/>
          <w:sz w:val="32"/>
          <w:szCs w:val="32"/>
        </w:rPr>
        <w:t>（六）其他不属于市人民代表大会及其常务委员会职权范围内的事项。</w:t>
      </w:r>
    </w:p>
    <w:p>
      <w:pPr>
        <w:pStyle w:val="Style15"/>
        <w:spacing w:lineRule="exact" w:line="560" w:before="0" w:after="0"/>
        <w:ind w:firstLine="640" w:end="0"/>
        <w:jc w:val="both"/>
        <w:rPr>
          <w:rFonts w:eastAsia="仿宋_GB2312;仿宋"/>
          <w:kern w:val="2"/>
          <w:sz w:val="32"/>
          <w:szCs w:val="32"/>
        </w:rPr>
      </w:pPr>
      <w:r>
        <w:rPr>
          <w:rFonts w:eastAsia="方正黑体_GBK;微软雅黑"/>
          <w:bCs/>
          <w:color w:val="333333"/>
          <w:sz w:val="32"/>
          <w:szCs w:val="32"/>
        </w:rPr>
        <w:t xml:space="preserve">第七条  </w:t>
      </w:r>
      <w:r>
        <w:rPr>
          <w:rFonts w:eastAsia="仿宋_GB2312;仿宋"/>
          <w:kern w:val="2"/>
          <w:sz w:val="32"/>
          <w:szCs w:val="32"/>
        </w:rPr>
        <w:t>代表议案应当一事一案，有案由、案据和方案。案由应当明确清楚，案据应当充分合理，方案应当具体可行。</w:t>
      </w:r>
    </w:p>
    <w:p>
      <w:pPr>
        <w:pStyle w:val="Style15"/>
        <w:spacing w:lineRule="exact" w:line="560" w:before="0" w:after="0"/>
        <w:ind w:firstLine="640" w:end="0"/>
        <w:jc w:val="both"/>
        <w:rPr>
          <w:rFonts w:eastAsia="仿宋_GB2312;仿宋"/>
          <w:kern w:val="2"/>
          <w:sz w:val="32"/>
          <w:szCs w:val="32"/>
        </w:rPr>
      </w:pPr>
      <w:r>
        <w:rPr>
          <w:rFonts w:eastAsia="仿宋_GB2312;仿宋"/>
          <w:kern w:val="2"/>
          <w:sz w:val="32"/>
          <w:szCs w:val="32"/>
        </w:rPr>
        <w:t>代表提出地方性法规案的，应当同时提出法规草案文本及其说明，或者提出立法的必要性、有关依据和主要内容。</w:t>
      </w:r>
    </w:p>
    <w:p>
      <w:pPr>
        <w:pStyle w:val="Style15"/>
        <w:spacing w:lineRule="exact" w:line="560" w:before="0" w:after="0"/>
        <w:ind w:firstLine="640" w:end="0"/>
        <w:jc w:val="both"/>
        <w:rPr>
          <w:rFonts w:eastAsia="黑体"/>
          <w:color w:val="333333"/>
          <w:kern w:val="2"/>
          <w:sz w:val="32"/>
          <w:szCs w:val="32"/>
        </w:rPr>
      </w:pPr>
      <w:r>
        <w:rPr>
          <w:rFonts w:eastAsia="黑体"/>
          <w:color w:val="333333"/>
          <w:kern w:val="2"/>
          <w:sz w:val="32"/>
          <w:szCs w:val="32"/>
        </w:rPr>
      </w:r>
    </w:p>
    <w:p>
      <w:pPr>
        <w:pStyle w:val="Style15"/>
        <w:spacing w:lineRule="exact" w:line="560" w:before="0" w:after="0"/>
        <w:jc w:val="center"/>
        <w:rPr>
          <w:rFonts w:eastAsia="方正黑体_GBK;微软雅黑"/>
          <w:color w:val="333333"/>
          <w:sz w:val="32"/>
          <w:szCs w:val="32"/>
        </w:rPr>
      </w:pPr>
      <w:r>
        <w:rPr>
          <w:rFonts w:eastAsia="方正黑体_GBK;微软雅黑"/>
          <w:color w:val="333333"/>
          <w:sz w:val="32"/>
          <w:szCs w:val="32"/>
        </w:rPr>
        <w:t xml:space="preserve">第三章 </w:t>
      </w:r>
      <w:r>
        <w:rPr>
          <w:rFonts w:hint="eastAsia" w:eastAsia="方正黑体_GBK;微软雅黑"/>
          <w:color w:val="333333"/>
          <w:sz w:val="32"/>
          <w:szCs w:val="32"/>
        </w:rPr>
        <w:t xml:space="preserve"> </w:t>
      </w:r>
      <w:r>
        <w:rPr>
          <w:rFonts w:eastAsia="方正黑体_GBK;微软雅黑"/>
          <w:color w:val="333333"/>
          <w:sz w:val="32"/>
          <w:szCs w:val="32"/>
        </w:rPr>
        <w:t>代表议案的提出</w:t>
      </w:r>
    </w:p>
    <w:p>
      <w:pPr>
        <w:pStyle w:val="Style15"/>
        <w:spacing w:lineRule="exact" w:line="560" w:before="0" w:after="0"/>
        <w:jc w:val="both"/>
        <w:rPr>
          <w:rFonts w:eastAsia="方正黑体_GBK;微软雅黑"/>
          <w:color w:val="333333"/>
          <w:sz w:val="32"/>
          <w:szCs w:val="32"/>
        </w:rPr>
      </w:pPr>
      <w:r>
        <w:rPr>
          <w:rFonts w:eastAsia="方正黑体_GBK;微软雅黑"/>
          <w:color w:val="333333"/>
          <w:sz w:val="32"/>
          <w:szCs w:val="32"/>
        </w:rPr>
      </w:r>
    </w:p>
    <w:p>
      <w:pPr>
        <w:pStyle w:val="Style15"/>
        <w:spacing w:lineRule="exact" w:line="560" w:before="0" w:after="0"/>
        <w:ind w:firstLine="640" w:end="0"/>
        <w:jc w:val="both"/>
        <w:rPr>
          <w:rFonts w:eastAsia="仿宋_GB2312;仿宋"/>
          <w:kern w:val="2"/>
          <w:sz w:val="32"/>
          <w:szCs w:val="32"/>
        </w:rPr>
      </w:pPr>
      <w:r>
        <w:rPr>
          <w:rFonts w:eastAsia="方正黑体_GBK;微软雅黑"/>
          <w:bCs/>
          <w:color w:val="333333"/>
          <w:sz w:val="32"/>
          <w:szCs w:val="32"/>
        </w:rPr>
        <w:t xml:space="preserve">第八条  </w:t>
      </w:r>
      <w:r>
        <w:rPr>
          <w:rFonts w:eastAsia="仿宋_GB2312;仿宋"/>
          <w:kern w:val="2"/>
          <w:sz w:val="32"/>
          <w:szCs w:val="32"/>
        </w:rPr>
        <w:t>代表应当通过视察、专题调研、联系原选举单位和人民群众等多种形式，围绕经济社会发展重大问题和人民群众普遍关心的问题，深入基层广泛听取意见，在认真酝酿并充分准备的基础上提出议案。</w:t>
      </w:r>
    </w:p>
    <w:p>
      <w:pPr>
        <w:pStyle w:val="Style15"/>
        <w:spacing w:lineRule="exact" w:line="560" w:before="0" w:after="0"/>
        <w:ind w:firstLine="640" w:end="0"/>
        <w:jc w:val="both"/>
        <w:rPr>
          <w:rFonts w:eastAsia="仿宋_GB2312;仿宋"/>
          <w:kern w:val="2"/>
          <w:sz w:val="32"/>
          <w:szCs w:val="32"/>
        </w:rPr>
      </w:pPr>
      <w:r>
        <w:rPr>
          <w:rFonts w:eastAsia="方正黑体_GBK;微软雅黑"/>
          <w:bCs/>
          <w:color w:val="333333"/>
          <w:sz w:val="32"/>
          <w:szCs w:val="32"/>
        </w:rPr>
        <w:t xml:space="preserve">第九条  </w:t>
      </w:r>
      <w:r>
        <w:rPr>
          <w:rFonts w:eastAsia="仿宋_GB2312;仿宋"/>
          <w:kern w:val="2"/>
          <w:sz w:val="32"/>
          <w:szCs w:val="32"/>
        </w:rPr>
        <w:t>代表议案一般在大会会议期间提出，由各代表团在大会规定的议案截止时间前送交大会秘书处。大会秘书处应当对代表提出的议案进行整理分类。对不符合议案基本要求的，可以建议提议案代表进行修改、完善，或者将议案改作建议、批评和意见提出。</w:t>
      </w:r>
    </w:p>
    <w:p>
      <w:pPr>
        <w:pStyle w:val="Style15"/>
        <w:spacing w:lineRule="exact" w:line="560" w:before="0" w:after="0"/>
        <w:ind w:firstLine="640" w:end="0"/>
        <w:jc w:val="both"/>
        <w:rPr>
          <w:rFonts w:eastAsia="仿宋_GB2312;仿宋"/>
          <w:kern w:val="2"/>
          <w:sz w:val="32"/>
          <w:szCs w:val="32"/>
        </w:rPr>
      </w:pPr>
      <w:r>
        <w:rPr>
          <w:rFonts w:eastAsia="方正黑体_GBK;微软雅黑"/>
          <w:bCs/>
          <w:color w:val="333333"/>
          <w:sz w:val="32"/>
          <w:szCs w:val="32"/>
        </w:rPr>
        <w:t xml:space="preserve">第十条  </w:t>
      </w:r>
      <w:r>
        <w:rPr>
          <w:rFonts w:eastAsia="仿宋_GB2312;仿宋"/>
          <w:kern w:val="2"/>
          <w:sz w:val="32"/>
          <w:szCs w:val="32"/>
        </w:rPr>
        <w:t>符合代表议案基本条件的，可以在大会闭会期间提出。属于地方性法规案的，依照《乌鲁木齐市制定地方性法规条例》的规定，可以先向市人民代表大会常务委员会提出；其他议案符合议案基本要求的，在下次大会会议举行时，送交大会秘书处，与会议期间提出的代表议案一并处理。</w:t>
      </w:r>
    </w:p>
    <w:p>
      <w:pPr>
        <w:pStyle w:val="Style15"/>
        <w:spacing w:lineRule="exact" w:line="560" w:before="0" w:after="0"/>
        <w:ind w:firstLine="640" w:end="0"/>
        <w:jc w:val="both"/>
        <w:rPr>
          <w:rFonts w:eastAsia="仿宋_GB2312;仿宋"/>
          <w:color w:val="333333"/>
          <w:sz w:val="32"/>
          <w:szCs w:val="32"/>
        </w:rPr>
      </w:pPr>
      <w:r>
        <w:rPr>
          <w:rFonts w:eastAsia="方正黑体_GBK;微软雅黑"/>
          <w:bCs/>
          <w:color w:val="333333"/>
          <w:sz w:val="32"/>
          <w:szCs w:val="32"/>
        </w:rPr>
        <w:t xml:space="preserve">第十一条  </w:t>
      </w:r>
      <w:r>
        <w:rPr>
          <w:rFonts w:eastAsia="仿宋_GB2312;仿宋"/>
          <w:kern w:val="2"/>
          <w:sz w:val="32"/>
          <w:szCs w:val="32"/>
        </w:rPr>
        <w:t>代表联名提出议案，领衔代表应当让参加联名附议的代表了解议案内容。附议代表应当在审阅议案文本并同意后，签名附议。</w:t>
      </w:r>
    </w:p>
    <w:p>
      <w:pPr>
        <w:pStyle w:val="Style15"/>
        <w:spacing w:lineRule="exact" w:line="560" w:before="0" w:after="0"/>
        <w:jc w:val="both"/>
        <w:rPr>
          <w:rFonts w:eastAsia="方正黑体_GBK;微软雅黑"/>
          <w:color w:val="333333"/>
          <w:sz w:val="32"/>
          <w:szCs w:val="32"/>
        </w:rPr>
      </w:pPr>
      <w:r>
        <w:rPr>
          <w:rFonts w:eastAsia="方正黑体_GBK;微软雅黑"/>
          <w:color w:val="333333"/>
          <w:sz w:val="32"/>
          <w:szCs w:val="32"/>
        </w:rPr>
      </w:r>
    </w:p>
    <w:p>
      <w:pPr>
        <w:pStyle w:val="Style15"/>
        <w:spacing w:lineRule="exact" w:line="560" w:before="0" w:after="0"/>
        <w:jc w:val="center"/>
        <w:rPr>
          <w:rFonts w:eastAsia="方正黑体_GBK;微软雅黑"/>
          <w:color w:val="333333"/>
          <w:sz w:val="32"/>
          <w:szCs w:val="32"/>
        </w:rPr>
      </w:pPr>
      <w:r>
        <w:rPr>
          <w:rFonts w:eastAsia="方正黑体_GBK;微软雅黑"/>
          <w:color w:val="333333"/>
          <w:sz w:val="32"/>
          <w:szCs w:val="32"/>
        </w:rPr>
        <w:t xml:space="preserve">第四章 </w:t>
      </w:r>
      <w:r>
        <w:rPr>
          <w:rFonts w:hint="eastAsia" w:eastAsia="方正黑体_GBK;微软雅黑"/>
          <w:color w:val="333333"/>
          <w:sz w:val="32"/>
          <w:szCs w:val="32"/>
        </w:rPr>
        <w:t xml:space="preserve"> </w:t>
      </w:r>
      <w:r>
        <w:rPr>
          <w:rFonts w:eastAsia="方正黑体_GBK;微软雅黑"/>
          <w:color w:val="333333"/>
          <w:sz w:val="32"/>
          <w:szCs w:val="32"/>
        </w:rPr>
        <w:t>代表议案的处理</w:t>
      </w:r>
    </w:p>
    <w:p>
      <w:pPr>
        <w:pStyle w:val="Style15"/>
        <w:spacing w:lineRule="exact" w:line="560" w:before="0" w:after="0"/>
        <w:ind w:firstLine="643" w:end="0"/>
        <w:jc w:val="both"/>
        <w:rPr>
          <w:rFonts w:eastAsia="仿宋_GB2312;仿宋"/>
          <w:b/>
          <w:color w:val="333333"/>
          <w:sz w:val="32"/>
          <w:szCs w:val="32"/>
        </w:rPr>
      </w:pPr>
      <w:r>
        <w:rPr>
          <w:rFonts w:eastAsia="仿宋_GB2312;仿宋"/>
          <w:b/>
          <w:color w:val="333333"/>
          <w:sz w:val="32"/>
          <w:szCs w:val="32"/>
        </w:rPr>
        <w:t xml:space="preserve"> </w:t>
      </w:r>
    </w:p>
    <w:p>
      <w:pPr>
        <w:pStyle w:val="Style15"/>
        <w:spacing w:lineRule="exact" w:line="560" w:before="0" w:after="0"/>
        <w:ind w:firstLine="640" w:end="0"/>
        <w:jc w:val="both"/>
        <w:rPr>
          <w:rFonts w:eastAsia="仿宋_GB2312;仿宋"/>
          <w:kern w:val="2"/>
          <w:sz w:val="32"/>
          <w:szCs w:val="32"/>
        </w:rPr>
      </w:pPr>
      <w:r>
        <w:rPr>
          <w:rFonts w:eastAsia="方正黑体_GBK;微软雅黑"/>
          <w:bCs/>
          <w:color w:val="333333"/>
          <w:sz w:val="32"/>
          <w:szCs w:val="32"/>
        </w:rPr>
        <w:t xml:space="preserve">第十二条  </w:t>
      </w:r>
      <w:r>
        <w:rPr>
          <w:rFonts w:eastAsia="仿宋_GB2312;仿宋"/>
          <w:kern w:val="2"/>
          <w:sz w:val="32"/>
          <w:szCs w:val="32"/>
        </w:rPr>
        <w:t>大会秘书处应当召开有各专门委员会负责人参加的代表议案处理协调工作会议，研究议案处理意见建议，向大会主席团提出议案处理意见的报告。</w:t>
      </w:r>
    </w:p>
    <w:p>
      <w:pPr>
        <w:pStyle w:val="Style15"/>
        <w:spacing w:lineRule="exact" w:line="560" w:before="0" w:after="0"/>
        <w:ind w:firstLine="640" w:end="0"/>
        <w:jc w:val="both"/>
        <w:rPr>
          <w:rFonts w:eastAsia="仿宋_GB2312;仿宋"/>
          <w:kern w:val="2"/>
          <w:sz w:val="32"/>
          <w:szCs w:val="32"/>
        </w:rPr>
      </w:pPr>
      <w:r>
        <w:rPr>
          <w:rFonts w:eastAsia="仿宋_GB2312;仿宋"/>
          <w:kern w:val="2"/>
          <w:sz w:val="32"/>
          <w:szCs w:val="32"/>
        </w:rPr>
        <w:t>大会主席团根据大会秘书处的报告，决定代表议案是否列入本次会议议程，或者会后交有关专门委员会审议。主席团通过的大会秘书处关于议案处理意见的报告，印发大会全体代表。</w:t>
      </w:r>
    </w:p>
    <w:p>
      <w:pPr>
        <w:pStyle w:val="Style15"/>
        <w:spacing w:lineRule="exact" w:line="560" w:before="0" w:after="0"/>
        <w:ind w:firstLine="640" w:end="0"/>
        <w:jc w:val="both"/>
        <w:rPr>
          <w:rFonts w:eastAsia="仿宋_GB2312;仿宋"/>
          <w:kern w:val="2"/>
          <w:sz w:val="32"/>
          <w:szCs w:val="32"/>
        </w:rPr>
      </w:pPr>
      <w:r>
        <w:rPr>
          <w:rFonts w:eastAsia="方正黑体_GBK;微软雅黑"/>
          <w:bCs/>
          <w:color w:val="333333"/>
          <w:sz w:val="32"/>
          <w:szCs w:val="32"/>
        </w:rPr>
        <w:t xml:space="preserve">第十三条  </w:t>
      </w:r>
      <w:r>
        <w:rPr>
          <w:rFonts w:eastAsia="仿宋_GB2312;仿宋"/>
          <w:kern w:val="2"/>
          <w:sz w:val="32"/>
          <w:szCs w:val="32"/>
        </w:rPr>
        <w:t>大会主席团决定列入本次会议议程的代表议案，应当交由各代表团进行审议，并同时交有关专门委员会进行审议、提出报告，再由主席团审议决定是否提请大会全体会议表决。</w:t>
      </w:r>
    </w:p>
    <w:p>
      <w:pPr>
        <w:pStyle w:val="Style15"/>
        <w:spacing w:lineRule="exact" w:line="560" w:before="0" w:after="0"/>
        <w:ind w:firstLine="640" w:end="0"/>
        <w:jc w:val="both"/>
        <w:rPr>
          <w:rFonts w:eastAsia="仿宋_GB2312;仿宋"/>
          <w:kern w:val="2"/>
          <w:sz w:val="32"/>
          <w:szCs w:val="32"/>
        </w:rPr>
      </w:pPr>
      <w:r>
        <w:rPr>
          <w:rFonts w:eastAsia="仿宋_GB2312;仿宋"/>
          <w:kern w:val="2"/>
          <w:sz w:val="32"/>
          <w:szCs w:val="32"/>
        </w:rPr>
        <w:t>列入会议议程的议案，在交付表决前，提出议案的代表要求撤回的，经主席团同意，对该项议案的审议即行终止。</w:t>
      </w:r>
    </w:p>
    <w:p>
      <w:pPr>
        <w:pStyle w:val="Style15"/>
        <w:spacing w:lineRule="exact" w:line="560" w:before="0" w:after="0"/>
        <w:ind w:firstLine="640" w:end="0"/>
        <w:jc w:val="both"/>
        <w:rPr>
          <w:rFonts w:eastAsia="仿宋_GB2312;仿宋"/>
          <w:kern w:val="2"/>
          <w:sz w:val="32"/>
          <w:szCs w:val="32"/>
        </w:rPr>
      </w:pPr>
      <w:r>
        <w:rPr>
          <w:rFonts w:eastAsia="方正黑体_GBK;微软雅黑"/>
          <w:bCs/>
          <w:color w:val="333333"/>
          <w:sz w:val="32"/>
          <w:szCs w:val="32"/>
        </w:rPr>
        <w:t xml:space="preserve">第十四条  </w:t>
      </w:r>
      <w:r>
        <w:rPr>
          <w:rFonts w:eastAsia="仿宋_GB2312;仿宋"/>
          <w:kern w:val="2"/>
          <w:sz w:val="32"/>
          <w:szCs w:val="32"/>
        </w:rPr>
        <w:t>大会闭会后，专门委员会审议大会主席团交付的代表议案，先由相关工作委员会进行研究分析，提出代表议案审议工作的安排建议，专门委员会应当对工作委员会提出的代表议案审议工作的安排建议进行审议，做出决定。</w:t>
      </w:r>
    </w:p>
    <w:p>
      <w:pPr>
        <w:pStyle w:val="Style15"/>
        <w:spacing w:lineRule="exact" w:line="560" w:before="0" w:after="0"/>
        <w:ind w:firstLine="640" w:end="0"/>
        <w:jc w:val="both"/>
        <w:rPr>
          <w:rFonts w:eastAsia="仿宋_GB2312;仿宋"/>
          <w:color w:val="333333"/>
          <w:sz w:val="32"/>
          <w:szCs w:val="32"/>
        </w:rPr>
      </w:pPr>
      <w:r>
        <w:rPr>
          <w:rFonts w:eastAsia="方正黑体_GBK;微软雅黑"/>
          <w:bCs/>
          <w:color w:val="333333"/>
          <w:sz w:val="32"/>
          <w:szCs w:val="32"/>
        </w:rPr>
        <w:t xml:space="preserve">第十五条  </w:t>
      </w:r>
      <w:r>
        <w:rPr>
          <w:rFonts w:eastAsia="仿宋_GB2312;仿宋"/>
          <w:kern w:val="2"/>
          <w:sz w:val="32"/>
          <w:szCs w:val="32"/>
        </w:rPr>
        <w:t>专门委员会审议代表议案，需要征求有关机关、组织意见再进行审议的，应当在大会闭会之日起一个月内，将代表议案交由有关机关、组织研究。有关机关、组织应当在收到议案后三个月内向专门委员会提出意见。</w:t>
      </w:r>
    </w:p>
    <w:p>
      <w:pPr>
        <w:pStyle w:val="Style15"/>
        <w:spacing w:lineRule="exact" w:line="560" w:before="0" w:after="0"/>
        <w:ind w:firstLine="640" w:end="0"/>
        <w:jc w:val="both"/>
        <w:rPr>
          <w:rFonts w:eastAsia="仿宋_GB2312;仿宋"/>
          <w:kern w:val="2"/>
          <w:sz w:val="32"/>
          <w:szCs w:val="32"/>
        </w:rPr>
      </w:pPr>
      <w:r>
        <w:rPr>
          <w:rFonts w:eastAsia="方正黑体_GBK;微软雅黑"/>
          <w:bCs/>
          <w:color w:val="333333"/>
          <w:sz w:val="32"/>
          <w:szCs w:val="32"/>
        </w:rPr>
        <w:t xml:space="preserve">第十六条  </w:t>
      </w:r>
      <w:r>
        <w:rPr>
          <w:rFonts w:eastAsia="仿宋_GB2312;仿宋"/>
          <w:kern w:val="2"/>
          <w:sz w:val="32"/>
          <w:szCs w:val="32"/>
        </w:rPr>
        <w:t>相关工作委员会在研究处理代表议案时，可以邀请提出议案的代表参加调研、座谈等，进行联系和沟通，听取提议案代表对议案处理的意见。</w:t>
      </w:r>
    </w:p>
    <w:p>
      <w:pPr>
        <w:pStyle w:val="Style15"/>
        <w:spacing w:lineRule="exact" w:line="560" w:before="0" w:after="0"/>
        <w:ind w:firstLine="640" w:end="0"/>
        <w:jc w:val="both"/>
        <w:rPr>
          <w:rFonts w:eastAsia="方正黑体_GBK;微软雅黑"/>
          <w:bCs/>
          <w:color w:val="333333"/>
          <w:sz w:val="32"/>
          <w:szCs w:val="32"/>
        </w:rPr>
      </w:pPr>
      <w:r>
        <w:rPr>
          <w:rFonts w:eastAsia="方正黑体_GBK;微软雅黑"/>
          <w:bCs/>
          <w:color w:val="333333"/>
          <w:sz w:val="32"/>
          <w:szCs w:val="32"/>
        </w:rPr>
        <w:t xml:space="preserve">第十七条   </w:t>
      </w:r>
      <w:r>
        <w:rPr>
          <w:rFonts w:eastAsia="仿宋_GB2312;仿宋"/>
          <w:kern w:val="2"/>
          <w:sz w:val="32"/>
          <w:szCs w:val="32"/>
        </w:rPr>
        <w:t>相关工作委员会在认真审查的基础上，提出代表议案审议结果的报告草案，经专门委员会全体会议审议通过后，提请市人民代表大会常务委员会审议。</w:t>
      </w:r>
    </w:p>
    <w:p>
      <w:pPr>
        <w:pStyle w:val="Style15"/>
        <w:spacing w:lineRule="exact" w:line="560" w:before="0" w:after="0"/>
        <w:jc w:val="both"/>
        <w:rPr>
          <w:rFonts w:eastAsia="仿宋_GB2312;仿宋"/>
          <w:kern w:val="2"/>
          <w:sz w:val="32"/>
          <w:szCs w:val="32"/>
        </w:rPr>
      </w:pPr>
      <w:r>
        <w:rPr>
          <w:rFonts w:eastAsia="仿宋_GB2312;仿宋"/>
          <w:kern w:val="2"/>
          <w:sz w:val="32"/>
          <w:szCs w:val="32"/>
        </w:rPr>
        <w:t>审议结果报告应当包括议案的主要内容，听取和采纳有关机关、组织和提议案代表意见的情况，审议意见等内容。必要时，可以以附件作详细说明。</w:t>
      </w:r>
    </w:p>
    <w:p>
      <w:pPr>
        <w:pStyle w:val="Style15"/>
        <w:spacing w:lineRule="exact" w:line="560" w:before="0" w:after="0"/>
        <w:ind w:firstLineChars="200" w:startChars="0" w:start="0" w:endChars="0" w:end="0"/>
        <w:jc w:val="both"/>
        <w:rPr>
          <w:rFonts w:eastAsia="仿宋_GB2312;仿宋"/>
          <w:kern w:val="2"/>
          <w:sz w:val="32"/>
          <w:szCs w:val="32"/>
        </w:rPr>
      </w:pPr>
      <w:r>
        <w:rPr>
          <w:rFonts w:eastAsia="仿宋_GB2312;仿宋"/>
          <w:kern w:val="2"/>
          <w:sz w:val="32"/>
          <w:szCs w:val="32"/>
        </w:rPr>
        <w:t>对于切实可行的代表议案，应当建议列入市人民代表大会会议议程或者其常务委员会会议议程；对于暂时不能列入会议议程的议案，可以建议列入市人民代表大会常务委员会的立法规划或者相关工作计划。</w:t>
      </w:r>
    </w:p>
    <w:p>
      <w:pPr>
        <w:pStyle w:val="Style15"/>
        <w:spacing w:lineRule="exact" w:line="560" w:before="0" w:after="0"/>
        <w:ind w:firstLineChars="200" w:startChars="0" w:start="0" w:endChars="0" w:end="0"/>
        <w:jc w:val="both"/>
        <w:rPr>
          <w:rFonts w:eastAsia="仿宋_GB2312;仿宋"/>
          <w:color w:val="333333"/>
          <w:sz w:val="32"/>
          <w:szCs w:val="32"/>
        </w:rPr>
      </w:pPr>
      <w:r>
        <w:rPr>
          <w:rFonts w:eastAsia="方正黑体_GBK;微软雅黑"/>
          <w:bCs/>
          <w:color w:val="333333"/>
          <w:sz w:val="32"/>
          <w:szCs w:val="32"/>
        </w:rPr>
        <w:t xml:space="preserve">第十八条  </w:t>
      </w:r>
      <w:r>
        <w:rPr>
          <w:rFonts w:eastAsia="仿宋_GB2312;仿宋"/>
          <w:kern w:val="2"/>
          <w:sz w:val="32"/>
          <w:szCs w:val="32"/>
        </w:rPr>
        <w:t>经市人民代表大会常务委员会会议审议通过的代表议案审议结果报告，印发下次市人民代表大会会议。</w:t>
      </w:r>
    </w:p>
    <w:p>
      <w:pPr>
        <w:pStyle w:val="Style15"/>
        <w:spacing w:lineRule="exact" w:line="560" w:before="0" w:after="0"/>
        <w:jc w:val="both"/>
        <w:rPr>
          <w:rFonts w:eastAsia="仿宋_GB2312;仿宋"/>
          <w:color w:val="333333"/>
          <w:sz w:val="32"/>
          <w:szCs w:val="32"/>
        </w:rPr>
      </w:pPr>
      <w:r>
        <w:rPr>
          <w:rFonts w:eastAsia="仿宋_GB2312;仿宋"/>
          <w:color w:val="333333"/>
          <w:sz w:val="32"/>
          <w:szCs w:val="32"/>
        </w:rPr>
      </w:r>
    </w:p>
    <w:p>
      <w:pPr>
        <w:pStyle w:val="Style15"/>
        <w:spacing w:lineRule="exact" w:line="560" w:before="0" w:after="0"/>
        <w:jc w:val="center"/>
        <w:rPr>
          <w:rFonts w:eastAsia="黑体"/>
          <w:color w:val="000000"/>
          <w:sz w:val="32"/>
          <w:szCs w:val="32"/>
        </w:rPr>
      </w:pPr>
      <w:r>
        <w:rPr>
          <w:rFonts w:eastAsia="黑体"/>
          <w:color w:val="000000"/>
          <w:sz w:val="32"/>
          <w:szCs w:val="32"/>
        </w:rPr>
        <w:t xml:space="preserve">第五章 </w:t>
      </w:r>
      <w:r>
        <w:rPr>
          <w:rFonts w:hint="eastAsia" w:eastAsia="黑体"/>
          <w:color w:val="000000"/>
          <w:sz w:val="32"/>
          <w:szCs w:val="32"/>
        </w:rPr>
        <w:t xml:space="preserve"> </w:t>
      </w:r>
      <w:r>
        <w:rPr>
          <w:rFonts w:eastAsia="黑体"/>
          <w:color w:val="000000"/>
          <w:sz w:val="32"/>
          <w:szCs w:val="32"/>
        </w:rPr>
        <w:t>附</w:t>
      </w:r>
      <w:r>
        <w:rPr>
          <w:rFonts w:hint="eastAsia" w:eastAsia="黑体"/>
          <w:color w:val="000000"/>
          <w:sz w:val="32"/>
          <w:szCs w:val="32"/>
        </w:rPr>
        <w:t xml:space="preserve">  </w:t>
      </w:r>
      <w:r>
        <w:rPr>
          <w:rFonts w:eastAsia="黑体"/>
          <w:color w:val="000000"/>
          <w:sz w:val="32"/>
          <w:szCs w:val="32"/>
        </w:rPr>
        <w:t>则</w:t>
      </w:r>
    </w:p>
    <w:p>
      <w:pPr>
        <w:pStyle w:val="Style15"/>
        <w:spacing w:lineRule="exact" w:line="560" w:before="0" w:after="0"/>
        <w:jc w:val="both"/>
        <w:rPr>
          <w:rFonts w:eastAsia="黑体"/>
          <w:color w:val="333333"/>
          <w:sz w:val="32"/>
          <w:szCs w:val="32"/>
        </w:rPr>
      </w:pPr>
      <w:r>
        <w:rPr>
          <w:rFonts w:eastAsia="黑体"/>
          <w:color w:val="333333"/>
          <w:sz w:val="32"/>
          <w:szCs w:val="32"/>
        </w:rPr>
      </w:r>
    </w:p>
    <w:p>
      <w:pPr>
        <w:pStyle w:val="Style15"/>
        <w:spacing w:lineRule="exact" w:line="560" w:before="0" w:after="0"/>
        <w:ind w:firstLineChars="200" w:startChars="0" w:start="0" w:endChars="0" w:end="0"/>
        <w:jc w:val="both"/>
        <w:rPr>
          <w:rFonts w:ascii="仿宋_GB2312;仿宋" w:hAnsi="仿宋_GB2312;仿宋" w:eastAsia="仿宋_GB2312;仿宋" w:hint="eastAsia"/>
          <w:kern w:val="2"/>
          <w:sz w:val="32"/>
          <w:szCs w:val="32"/>
        </w:rPr>
      </w:pPr>
      <w:r>
        <w:rPr>
          <w:rFonts w:eastAsia="方正黑体_GBK;微软雅黑"/>
          <w:bCs/>
          <w:color w:val="333333"/>
          <w:sz w:val="32"/>
          <w:szCs w:val="32"/>
        </w:rPr>
        <w:t xml:space="preserve">第十九条  </w:t>
      </w:r>
      <w:r>
        <w:rPr>
          <w:rFonts w:ascii="仿宋_GB2312;仿宋" w:hAnsi="仿宋_GB2312;仿宋" w:hint="eastAsia" w:eastAsia="仿宋_GB2312;仿宋"/>
          <w:kern w:val="2"/>
          <w:sz w:val="32"/>
          <w:szCs w:val="32"/>
        </w:rPr>
        <w:t>本办法自</w:t>
      </w:r>
      <w:r>
        <w:rPr>
          <w:rFonts w:eastAsia="仿宋_GB2312;仿宋" w:hint="eastAsia" w:ascii="仿宋_GB2312;仿宋" w:hAnsi="仿宋_GB2312;仿宋"/>
          <w:sz w:val="32"/>
        </w:rPr>
        <w:t>2021</w:t>
      </w:r>
      <w:r>
        <w:rPr>
          <w:rFonts w:ascii="仿宋_GB2312;仿宋" w:hAnsi="仿宋_GB2312;仿宋" w:hint="eastAsia" w:eastAsia="仿宋_GB2312;仿宋"/>
          <w:sz w:val="32"/>
        </w:rPr>
        <w:t>年</w:t>
      </w:r>
      <w:r>
        <w:rPr>
          <w:rFonts w:eastAsia="仿宋_GB2312;仿宋" w:hint="eastAsia" w:ascii="仿宋_GB2312;仿宋" w:hAnsi="仿宋_GB2312;仿宋"/>
          <w:sz w:val="32"/>
        </w:rPr>
        <w:t>6</w:t>
      </w:r>
      <w:r>
        <w:rPr>
          <w:rFonts w:ascii="仿宋_GB2312;仿宋" w:hAnsi="仿宋_GB2312;仿宋" w:hint="eastAsia" w:eastAsia="仿宋_GB2312;仿宋"/>
          <w:sz w:val="32"/>
        </w:rPr>
        <w:t>月</w:t>
      </w:r>
      <w:r>
        <w:rPr>
          <w:rFonts w:eastAsia="仿宋_GB2312;仿宋" w:hint="eastAsia" w:ascii="仿宋_GB2312;仿宋" w:hAnsi="仿宋_GB2312;仿宋"/>
          <w:sz w:val="32"/>
        </w:rPr>
        <w:t>10</w:t>
      </w:r>
      <w:r>
        <w:rPr>
          <w:rFonts w:ascii="仿宋_GB2312;仿宋" w:hAnsi="仿宋_GB2312;仿宋" w:hint="eastAsia" w:eastAsia="仿宋_GB2312;仿宋"/>
          <w:sz w:val="32"/>
        </w:rPr>
        <w:t>日</w:t>
      </w:r>
      <w:r>
        <w:rPr>
          <w:rFonts w:ascii="仿宋_GB2312;仿宋" w:hAnsi="仿宋_GB2312;仿宋" w:hint="eastAsia" w:eastAsia="仿宋_GB2312;仿宋"/>
          <w:kern w:val="2"/>
          <w:sz w:val="32"/>
          <w:szCs w:val="32"/>
        </w:rPr>
        <w:t>起施行。</w:t>
      </w:r>
      <w:r>
        <w:rPr>
          <w:rFonts w:eastAsia="仿宋_GB2312;仿宋" w:hint="eastAsia" w:ascii="仿宋_GB2312;仿宋" w:hAnsi="仿宋_GB2312;仿宋"/>
          <w:kern w:val="2"/>
          <w:sz w:val="32"/>
          <w:szCs w:val="32"/>
        </w:rPr>
        <w:t>2005</w:t>
      </w:r>
      <w:r>
        <w:rPr>
          <w:rFonts w:ascii="仿宋_GB2312;仿宋" w:hAnsi="仿宋_GB2312;仿宋" w:hint="eastAsia" w:eastAsia="仿宋_GB2312;仿宋"/>
          <w:kern w:val="2"/>
          <w:sz w:val="32"/>
          <w:szCs w:val="32"/>
        </w:rPr>
        <w:t>年</w:t>
      </w:r>
      <w:r>
        <w:rPr>
          <w:rFonts w:eastAsia="仿宋_GB2312;仿宋" w:hint="eastAsia" w:ascii="仿宋_GB2312;仿宋" w:hAnsi="仿宋_GB2312;仿宋"/>
          <w:kern w:val="2"/>
          <w:sz w:val="32"/>
          <w:szCs w:val="32"/>
        </w:rPr>
        <w:t>2</w:t>
      </w:r>
      <w:r>
        <w:rPr>
          <w:rFonts w:ascii="仿宋_GB2312;仿宋" w:hAnsi="仿宋_GB2312;仿宋" w:hint="eastAsia" w:eastAsia="仿宋_GB2312;仿宋"/>
          <w:kern w:val="2"/>
          <w:sz w:val="32"/>
          <w:szCs w:val="32"/>
        </w:rPr>
        <w:t>月</w:t>
      </w:r>
      <w:r>
        <w:rPr>
          <w:rFonts w:eastAsia="仿宋_GB2312;仿宋" w:hint="eastAsia" w:ascii="仿宋_GB2312;仿宋" w:hAnsi="仿宋_GB2312;仿宋"/>
          <w:kern w:val="2"/>
          <w:sz w:val="32"/>
          <w:szCs w:val="32"/>
        </w:rPr>
        <w:t>1</w:t>
      </w:r>
      <w:r>
        <w:rPr>
          <w:rFonts w:ascii="仿宋_GB2312;仿宋" w:hAnsi="仿宋_GB2312;仿宋" w:hint="eastAsia" w:eastAsia="仿宋_GB2312;仿宋"/>
          <w:kern w:val="2"/>
          <w:sz w:val="32"/>
          <w:szCs w:val="32"/>
        </w:rPr>
        <w:t>日乌鲁木齐市第十三届人民代表大会第三次会议通过的《乌鲁木齐市人民代表大会议案和建议、批评、意见办理规定》同时废止。</w:t>
      </w:r>
    </w:p>
    <w:p>
      <w:pPr>
        <w:pStyle w:val="Style15"/>
        <w:spacing w:lineRule="exact" w:line="560" w:before="0" w:after="0"/>
        <w:jc w:val="both"/>
        <w:rPr>
          <w:rFonts w:ascii="仿宋_GB2312;仿宋" w:hAnsi="仿宋_GB2312;仿宋" w:eastAsia="仿宋_GB2312;仿宋" w:hint="eastAsia"/>
          <w:kern w:val="2"/>
          <w:sz w:val="32"/>
          <w:szCs w:val="32"/>
        </w:rPr>
      </w:pPr>
      <w:r>
        <w:rPr>
          <w:rFonts w:eastAsia="仿宋_GB2312;仿宋" w:hint="eastAsia" w:ascii="仿宋_GB2312;仿宋" w:hAnsi="仿宋_GB2312;仿宋"/>
          <w:kern w:val="2"/>
          <w:sz w:val="32"/>
          <w:szCs w:val="32"/>
        </w:rPr>
      </w:r>
    </w:p>
    <w:p>
      <w:pPr>
        <w:pStyle w:val="Style15"/>
        <w:spacing w:lineRule="exact" w:line="560" w:before="0" w:after="0"/>
        <w:ind w:firstLine="640" w:end="0"/>
        <w:jc w:val="both"/>
        <w:rPr>
          <w:rFonts w:eastAsia="仿宋_GB2312;仿宋"/>
          <w:kern w:val="2"/>
          <w:sz w:val="32"/>
          <w:szCs w:val="32"/>
        </w:rPr>
      </w:pPr>
      <w:r>
        <w:rPr>
          <w:rFonts w:eastAsia="仿宋_GB2312;仿宋"/>
          <w:kern w:val="2"/>
          <w:sz w:val="32"/>
          <w:szCs w:val="32"/>
        </w:rPr>
      </w:r>
    </w:p>
    <w:sectPr>
      <w:headerReference w:type="default" r:id="rId2"/>
      <w:footerReference w:type="default" r:id="rId3"/>
      <w:type w:val="nextPage"/>
      <w:pgSz w:w="11906" w:h="16838"/>
      <w:pgMar w:left="1531" w:right="1531" w:gutter="0" w:header="85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_GB2312">
    <w:altName w:val="楷体"/>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1"/>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Normal"/>
                            <w:pBdr/>
                            <w:rPr>
                              <w:sz w:val="28"/>
                              <w:szCs w:val="28"/>
                            </w:rPr>
                          </w:pPr>
                          <w:r>
                            <w:rP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Normal"/>
                      <w:pBdr/>
                      <w:rPr>
                        <w:sz w:val="28"/>
                        <w:szCs w:val="28"/>
                      </w:rPr>
                    </w:pPr>
                    <w:r>
                      <w:rP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1"/>
      <w:rPr/>
    </w:pPr>
    <w:r>
      <w:rPr/>
    </w:r>
    <w:r>
      <mc:AlternateContent>
        <mc:Choice Requires="wps">
          <w:drawing>
            <wp:inline distT="0" distB="0" distL="0" distR="0">
              <wp:extent cx="5615940" cy="971550"/>
              <wp:effectExtent l="0" t="0" r="0" b="0"/>
              <wp:docPr id="1" name="Frame2"/>
              <a:graphic xmlns:a="http://schemas.openxmlformats.org/drawingml/2006/main">
                <a:graphicData uri="http://schemas.microsoft.com/office/word/2010/wordprocessingShape">
                  <wps:wsp>
                    <wps:cNvSpPr txBox="1"/>
                    <wps:spPr>
                      <a:xfrm>
                        <a:off x="0" y="0"/>
                        <a:ext cx="5615940" cy="971550"/>
                      </a:xfrm>
                      <a:prstGeom prst="rect"/>
                      <a:solidFill>
                        <a:srgbClr val="FFFFFF">
                          <a:alpha val="0"/>
                        </a:srgbClr>
                      </a:solidFill>
                    </wps:spPr>
                    <wps:txbx>
                      <w:txbxContent>
                        <w:p>
                          <w:pPr>
                            <w:pStyle w:val="Normal"/>
                            <w:spacing w:lineRule="atLeast" w:line="334"/>
                            <w:rPr>
                              <w:rFonts w:hint="eastAsia"/>
                            </w:rPr>
                          </w:pPr>
                          <w:r>
                            <w:rPr>
                              <w:rFonts w:hint="eastAsia"/>
                            </w:rPr>
                          </w:r>
                        </w:p>
                      </w:txbxContent>
                    </wps:txbx>
                    <wps:bodyPr anchor="t" lIns="635" tIns="635" rIns="635" bIns="635">
                      <a:noAutofit/>
                    </wps:bodyPr>
                  </wps:wsp>
                </a:graphicData>
              </a:graphic>
            </wp:inline>
          </w:drawing>
        </mc:Choice>
        <mc:Fallback>
          <w:pict>
            <v:rect fillcolor="#FFFFFF" style="position:absolute;rotation:-0;width:442.2pt;height:76.5pt;mso-wrap-distance-left:0pt;mso-wrap-distance-right:0pt;mso-wrap-distance-top:0pt;mso-wrap-distance-bottom:0pt;margin-top:0pt;mso-position-vertical-relative:text;margin-left:0pt;mso-position-horizontal:center;mso-position-horizontal-relative:text">
              <v:fill opacity="0f"/>
              <v:textbox inset="0.000694444444444445in,0.000694444444444445in,0.000694444444444445in,0.000694444444444445in">
                <w:txbxContent>
                  <w:p>
                    <w:pPr>
                      <w:pStyle w:val="Normal"/>
                      <w:spacing w:lineRule="atLeast" w:line="334"/>
                      <w:rPr>
                        <w:rFonts w:hint="eastAsia"/>
                      </w:rPr>
                    </w:pPr>
                    <w:r>
                      <w:rPr>
                        <w:rFonts w:hint="eastAsia"/>
                      </w:rPr>
                    </w:r>
                  </w:p>
                </w:txbxContent>
              </v:textbox>
              <w10:wrap type="square"/>
            </v:rect>
          </w:pict>
        </mc:Fallback>
      </mc:AlternateContent>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Strong">
    <w:name w:val="Strong"/>
    <w:qFormat/>
    <w:rPr>
      <w:rFonts w:cs="Times New Roman"/>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100" w:after="100"/>
      <w:jc w:val="start"/>
    </w:pPr>
    <w:rPr>
      <w:kern w:val="0"/>
      <w:sz w:val="24"/>
    </w:rPr>
  </w:style>
  <w:style w:type="paragraph" w:styleId="Style0">
    <w:name w:val="_Style 0"/>
    <w:qFormat/>
    <w:pPr>
      <w:widowControl w:val="false"/>
      <w:bidi w:val="0"/>
      <w:spacing w:lineRule="exact" w:line="560"/>
      <w:jc w:val="both"/>
    </w:pPr>
    <w:rPr>
      <w:rFonts w:ascii="Times New Roman" w:hAnsi="Times New Roman" w:eastAsia="宋体" w:cs="Times New Roman"/>
      <w:color w:val="auto"/>
      <w:sz w:val="20"/>
      <w:szCs w:val="20"/>
      <w:lang w:bidi="ar-SA" w:val="en-US" w:eastAsia="zh-CN"/>
    </w:rPr>
  </w:style>
  <w:style w:type="paragraph" w:styleId="Char">
    <w:name w:val=" Char"/>
    <w:basedOn w:val="Normal"/>
    <w:qFormat/>
    <w:pPr>
      <w:widowControl/>
      <w:spacing w:lineRule="exact" w:line="240" w:before="0" w:after="160"/>
      <w:jc w:val="start"/>
    </w:pPr>
    <w:rPr/>
  </w:style>
  <w:style w:type="paragraph" w:styleId="p0">
    <w:name w:val="p0"/>
    <w:basedOn w:val="Normal"/>
    <w:qFormat/>
    <w:pPr>
      <w:widowControl/>
    </w:pPr>
    <w:rPr>
      <w:kern w:val="0"/>
      <w:szCs w:val="21"/>
    </w:rPr>
  </w:style>
  <w:style w:type="paragraph" w:styleId="NormalWeb">
    <w:name w:val="Normal (Web)"/>
    <w:basedOn w:val="Normal"/>
    <w:qFormat/>
    <w:pPr>
      <w:spacing w:before="100" w:after="100"/>
      <w:jc w:val="start"/>
    </w:pPr>
    <w:rPr>
      <w:rFonts w:ascii="Calibri" w:hAnsi="Calibri" w:cs="Calibri"/>
      <w:kern w:val="0"/>
      <w:sz w:val="24"/>
      <w:szCs w:val="24"/>
    </w:rPr>
  </w:style>
  <w:style w:type="paragraph" w:styleId="p16">
    <w:name w:val="p16"/>
    <w:basedOn w:val="Normal"/>
    <w:qFormat/>
    <w:pPr>
      <w:widowControl/>
      <w:spacing w:before="100" w:after="100"/>
      <w:jc w:val="start"/>
    </w:pPr>
    <w:rPr>
      <w:rFonts w:ascii="宋体" w:hAnsi="宋体" w:cs="宋体"/>
      <w:kern w:val="0"/>
      <w:sz w:val="24"/>
    </w:rPr>
  </w:style>
  <w:style w:type="paragraph" w:styleId="Normal1">
    <w:name w:val="Normal1"/>
    <w:qFormat/>
    <w:pPr>
      <w:widowControl/>
      <w:bidi w:val="0"/>
      <w:jc w:val="both"/>
    </w:pPr>
    <w:rPr>
      <w:rFonts w:ascii="Times New Roman" w:hAnsi="Times New Roman" w:eastAsia="宋体" w:cs="Times New Roman"/>
      <w:color w:val="auto"/>
      <w:kern w:val="2"/>
      <w:sz w:val="21"/>
      <w:szCs w:val="21"/>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2015-12-28T11:38:00Z</dcterms:created>
  <dc:creator>User</dc:creator>
  <dc:description/>
  <dc:language>en-US</dc:language>
  <cp:lastModifiedBy>PC400</cp:lastModifiedBy>
  <cp:lastPrinted>2021-01-19T11:27:00Z</cp:lastPrinted>
  <dcterms:modified xsi:type="dcterms:W3CDTF">2021-07-29T15:00:10Z</dcterms:modified>
  <cp:revision>72</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B6DEF224D45741A6B5C47E194B9B6E05</vt:lpwstr>
  </property>
  <property fmtid="{D5CDD505-2E9C-101B-9397-08002B2CF9AE}" pid="3" name="KSOProductBuildVer">
    <vt:lpwstr>2052-11.1.0.10503</vt:lpwstr>
  </property>
</Properties>
</file>