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pacing w:lineRule="exact" w:line="560"/>
        <w:jc w:val="center"/>
        <w:rPr>
          <w:rFonts w:hint="eastAsia"/>
          <w:spacing w:val="-11"/>
          <w:sz w:val="44"/>
          <w:szCs w:val="44"/>
        </w:rPr>
      </w:pPr>
      <w:r>
        <w:rPr>
          <w:rFonts w:hint="eastAsia"/>
          <w:spacing w:val="-11"/>
          <w:sz w:val="44"/>
          <w:szCs w:val="44"/>
        </w:rPr>
      </w:r>
    </w:p>
    <w:p>
      <w:pPr>
        <w:pStyle w:val="Normal"/>
        <w:widowControl/>
        <w:spacing w:lineRule="exact" w:line="560"/>
        <w:jc w:val="center"/>
        <w:rPr>
          <w:rFonts w:hint="eastAsia"/>
          <w:spacing w:val="-11"/>
          <w:sz w:val="44"/>
          <w:szCs w:val="44"/>
        </w:rPr>
      </w:pPr>
      <w:r>
        <w:rPr>
          <w:rFonts w:hint="eastAsia"/>
          <w:spacing w:val="-11"/>
          <w:sz w:val="44"/>
          <w:szCs w:val="44"/>
        </w:rPr>
      </w:r>
    </w:p>
    <w:p>
      <w:pPr>
        <w:pStyle w:val="Normal"/>
        <w:widowControl/>
        <w:spacing w:lineRule="exact" w:line="560"/>
        <w:jc w:val="center"/>
        <w:rPr>
          <w:sz w:val="44"/>
          <w:szCs w:val="44"/>
        </w:rPr>
      </w:pPr>
      <w:r>
        <w:rPr>
          <w:rFonts w:hint="eastAsia"/>
          <w:spacing w:val="-11"/>
          <w:sz w:val="44"/>
          <w:szCs w:val="44"/>
        </w:rPr>
        <w:t>乌鲁木齐甘泉堡经济技术开发区（工业区）条例</w:t>
      </w:r>
    </w:p>
    <w:p>
      <w:pPr>
        <w:pStyle w:val="Normal"/>
        <w:widowControl/>
        <w:tabs>
          <w:tab w:val="clear" w:pos="420"/>
          <w:tab w:val="left" w:pos="720" w:leader="none"/>
          <w:tab w:val="left" w:pos="8280" w:leader="none"/>
        </w:tabs>
        <w:spacing w:lineRule="exact" w:line="560"/>
        <w:ind w:firstLineChars="0" w:firstLine="0" w:startChars="0" w:start="0" w:endChars="296"/>
        <w:jc w:val="both"/>
        <w:rPr>
          <w:rFonts w:eastAsia="楷体_GB2312;楷体" w:hint="eastAsia"/>
          <w:sz w:val="32"/>
          <w:szCs w:val="32"/>
        </w:rPr>
      </w:pPr>
      <w:r>
        <w:rPr>
          <w:rFonts w:eastAsia="楷体_GB2312;楷体" w:hint="eastAsia"/>
          <w:sz w:val="32"/>
          <w:szCs w:val="32"/>
        </w:rPr>
      </w:r>
    </w:p>
    <w:p>
      <w:pPr>
        <w:pStyle w:val="Normal"/>
        <w:widowControl/>
        <w:tabs>
          <w:tab w:val="clear" w:pos="420"/>
          <w:tab w:val="left" w:pos="720" w:leader="none"/>
          <w:tab w:val="left" w:pos="8280" w:leader="none"/>
        </w:tabs>
        <w:spacing w:lineRule="exact" w:line="560"/>
        <w:ind w:firstLineChars="0" w:firstLine="0" w:startChars="200" w:endChars="296"/>
        <w:jc w:val="both"/>
        <w:rPr>
          <w:rFonts w:eastAsia="楷体_GB2312;楷体" w:hint="eastAsia"/>
          <w:sz w:val="32"/>
          <w:szCs w:val="32"/>
        </w:rPr>
      </w:pPr>
      <w:r>
        <w:rPr>
          <w:rFonts w:hint="eastAsia" w:eastAsia="楷体_GB2312;楷体"/>
          <w:sz w:val="32"/>
          <w:szCs w:val="32"/>
        </w:rPr>
        <w:t>（</w:t>
      </w:r>
      <w:r>
        <w:rPr>
          <w:rFonts w:eastAsia="楷体_GB2312;楷体" w:hint="eastAsia"/>
          <w:sz w:val="32"/>
          <w:szCs w:val="32"/>
        </w:rPr>
        <w:t>2022</w:t>
      </w:r>
      <w:r>
        <w:rPr>
          <w:rFonts w:hint="eastAsia" w:eastAsia="楷体_GB2312;楷体"/>
          <w:sz w:val="32"/>
          <w:szCs w:val="32"/>
        </w:rPr>
        <w:t>年</w:t>
      </w:r>
      <w:r>
        <w:rPr>
          <w:rFonts w:eastAsia="楷体_GB2312;楷体" w:hint="eastAsia"/>
          <w:sz w:val="32"/>
          <w:szCs w:val="32"/>
        </w:rPr>
        <w:t>4</w:t>
      </w:r>
      <w:r>
        <w:rPr>
          <w:rFonts w:hint="eastAsia" w:eastAsia="楷体_GB2312;楷体"/>
          <w:sz w:val="32"/>
          <w:szCs w:val="32"/>
        </w:rPr>
        <w:t>月</w:t>
      </w:r>
      <w:r>
        <w:rPr>
          <w:rFonts w:eastAsia="楷体_GB2312;楷体" w:hint="eastAsia"/>
          <w:sz w:val="32"/>
          <w:szCs w:val="32"/>
        </w:rPr>
        <w:t>19</w:t>
      </w:r>
      <w:r>
        <w:rPr>
          <w:rFonts w:hint="eastAsia" w:eastAsia="楷体_GB2312;楷体"/>
          <w:sz w:val="32"/>
          <w:szCs w:val="32"/>
        </w:rPr>
        <w:t>日乌鲁木齐市第十七届人民代表大会</w:t>
      </w:r>
    </w:p>
    <w:p>
      <w:pPr>
        <w:pStyle w:val="Normal"/>
        <w:widowControl/>
        <w:tabs>
          <w:tab w:val="clear" w:pos="420"/>
          <w:tab w:val="left" w:pos="720" w:leader="none"/>
          <w:tab w:val="left" w:pos="8280" w:leader="none"/>
        </w:tabs>
        <w:spacing w:lineRule="exact" w:line="560"/>
        <w:ind w:firstLineChars="0" w:firstLine="0" w:startChars="200" w:endChars="296"/>
        <w:jc w:val="both"/>
        <w:rPr>
          <w:rFonts w:eastAsia="楷体_GB2312;楷体" w:hint="eastAsia"/>
          <w:sz w:val="32"/>
          <w:szCs w:val="32"/>
        </w:rPr>
      </w:pPr>
      <w:r>
        <w:rPr>
          <w:rFonts w:hint="eastAsia" w:eastAsia="楷体_GB2312;楷体"/>
          <w:sz w:val="32"/>
          <w:szCs w:val="32"/>
        </w:rPr>
        <w:t xml:space="preserve">常务委员会第二次会议通过 </w:t>
      </w:r>
      <w:r>
        <w:rPr>
          <w:rFonts w:eastAsia="楷体_GB2312;楷体" w:hint="eastAsia"/>
          <w:color w:val="000000"/>
          <w:spacing w:val="-20"/>
          <w:sz w:val="32"/>
          <w:szCs w:val="32"/>
        </w:rPr>
        <w:t>2022</w:t>
      </w:r>
      <w:r>
        <w:rPr>
          <w:rFonts w:hint="eastAsia" w:eastAsia="楷体_GB2312;楷体"/>
          <w:color w:val="000000"/>
          <w:spacing w:val="-20"/>
          <w:sz w:val="32"/>
          <w:szCs w:val="32"/>
        </w:rPr>
        <w:t>年</w:t>
      </w:r>
      <w:r>
        <w:rPr>
          <w:rFonts w:eastAsia="楷体_GB2312;楷体" w:hint="eastAsia"/>
          <w:color w:val="000000"/>
          <w:spacing w:val="-20"/>
          <w:sz w:val="32"/>
          <w:szCs w:val="32"/>
        </w:rPr>
        <w:t>5</w:t>
      </w:r>
      <w:r>
        <w:rPr>
          <w:rFonts w:hint="eastAsia" w:eastAsia="楷体_GB2312;楷体"/>
          <w:color w:val="000000"/>
          <w:spacing w:val="-20"/>
          <w:sz w:val="32"/>
          <w:szCs w:val="32"/>
        </w:rPr>
        <w:t>月</w:t>
      </w:r>
      <w:r>
        <w:rPr>
          <w:rFonts w:eastAsia="楷体_GB2312;楷体" w:hint="eastAsia"/>
          <w:color w:val="000000"/>
          <w:spacing w:val="-20"/>
          <w:sz w:val="32"/>
          <w:szCs w:val="32"/>
        </w:rPr>
        <w:t>27</w:t>
      </w:r>
      <w:r>
        <w:rPr>
          <w:rFonts w:hint="eastAsia" w:eastAsia="楷体_GB2312;楷体"/>
          <w:color w:val="000000"/>
          <w:spacing w:val="-20"/>
          <w:sz w:val="32"/>
          <w:szCs w:val="32"/>
        </w:rPr>
        <w:t>日</w:t>
      </w:r>
      <w:r>
        <w:rPr>
          <w:rFonts w:hint="eastAsia" w:eastAsia="楷体_GB2312;楷体"/>
          <w:sz w:val="32"/>
          <w:szCs w:val="32"/>
        </w:rPr>
        <w:t>新疆维吾</w:t>
      </w:r>
    </w:p>
    <w:p>
      <w:pPr>
        <w:pStyle w:val="Normal"/>
        <w:widowControl/>
        <w:tabs>
          <w:tab w:val="clear" w:pos="420"/>
          <w:tab w:val="left" w:pos="720" w:leader="none"/>
          <w:tab w:val="left" w:pos="8280" w:leader="none"/>
        </w:tabs>
        <w:spacing w:lineRule="exact" w:line="560"/>
        <w:ind w:firstLineChars="0" w:firstLine="0" w:startChars="200" w:endChars="296"/>
        <w:jc w:val="both"/>
        <w:rPr>
          <w:rFonts w:eastAsia="楷体_GB2312;楷体"/>
          <w:sz w:val="32"/>
          <w:szCs w:val="32"/>
        </w:rPr>
      </w:pPr>
      <w:r>
        <w:rPr>
          <w:rFonts w:hint="eastAsia" w:eastAsia="楷体_GB2312;楷体"/>
          <w:sz w:val="32"/>
          <w:szCs w:val="32"/>
        </w:rPr>
        <w:t>尔自治区第十三届人民代表大会常务委员会第</w:t>
      </w:r>
      <w:r>
        <w:rPr>
          <w:rFonts w:hint="eastAsia" w:eastAsia="楷体_GB2312;楷体"/>
          <w:color w:val="000000"/>
          <w:sz w:val="32"/>
          <w:szCs w:val="32"/>
        </w:rPr>
        <w:t>三十三次</w:t>
      </w:r>
      <w:r>
        <w:rPr>
          <w:rFonts w:hint="eastAsia" w:eastAsia="楷体_GB2312;楷体"/>
          <w:sz w:val="32"/>
          <w:szCs w:val="32"/>
        </w:rPr>
        <w:t>会议批准）</w:t>
      </w:r>
    </w:p>
    <w:p>
      <w:pPr>
        <w:pStyle w:val="Normal"/>
        <w:tabs>
          <w:tab w:val="clear" w:pos="420"/>
          <w:tab w:val="left" w:pos="5880" w:leader="none"/>
        </w:tabs>
        <w:spacing w:lineRule="exact" w:line="560"/>
        <w:ind w:firstLineChars="200" w:startChars="0" w:start="0" w:endChars="0" w:end="0"/>
        <w:rPr>
          <w:rFonts w:eastAsia="仿宋_GB2312;仿宋"/>
          <w:sz w:val="32"/>
          <w:szCs w:val="32"/>
        </w:rPr>
      </w:pPr>
      <w:r>
        <w:rPr>
          <w:rFonts w:eastAsia="仿宋_GB2312;仿宋"/>
          <w:sz w:val="32"/>
          <w:szCs w:val="32"/>
        </w:rPr>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ascii="黑体" w:hAnsi="黑体" w:cs="黑体" w:hint="eastAsia" w:eastAsia="黑体"/>
          <w:sz w:val="32"/>
          <w:szCs w:val="32"/>
          <w:shd w:fill="FFFFFF" w:val="clear"/>
          <w:lang w:bidi="ar"/>
        </w:rPr>
        <w:t>第一条</w:t>
      </w:r>
      <w:r>
        <w:rPr>
          <w:rFonts w:hint="eastAsia" w:eastAsia="仿宋_GB2312;仿宋"/>
          <w:sz w:val="32"/>
          <w:szCs w:val="32"/>
          <w:shd w:fill="FFFFFF" w:val="clear"/>
          <w:lang w:bidi="ar"/>
        </w:rPr>
        <w:t xml:space="preserve">  为了完整准确贯彻新时代党的治疆方略，牢牢扭住社会稳定和长治久安总目标，促进乌鲁木齐甘泉堡经济技术开发区（工业区）的建设与发展，根据有关法律、法规，结合本市实际，制定本条例。</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ascii="黑体" w:hAnsi="黑体" w:cs="黑体" w:hint="eastAsia" w:eastAsia="黑体"/>
          <w:sz w:val="32"/>
          <w:szCs w:val="32"/>
          <w:shd w:fill="FFFFFF" w:val="clear"/>
          <w:lang w:bidi="ar"/>
        </w:rPr>
        <w:t>第二条</w:t>
      </w:r>
      <w:r>
        <w:rPr>
          <w:rFonts w:hint="eastAsia" w:eastAsia="仿宋_GB2312;仿宋"/>
          <w:sz w:val="32"/>
          <w:szCs w:val="32"/>
          <w:shd w:fill="FFFFFF" w:val="clear"/>
          <w:lang w:bidi="ar"/>
        </w:rPr>
        <w:t xml:space="preserve">  经国务院批准设立的乌鲁木齐甘泉堡经济技术开发区和经自治区人民政府批准设立的乌鲁木齐市甘泉堡工业区（乌鲁木齐市行政区域范围内）的开发、建设和管理，适用本条例。</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ascii="黑体" w:hAnsi="黑体" w:cs="黑体" w:hint="eastAsia" w:eastAsia="黑体"/>
          <w:sz w:val="32"/>
          <w:szCs w:val="32"/>
          <w:shd w:fill="FFFFFF" w:val="clear"/>
          <w:lang w:bidi="ar"/>
        </w:rPr>
        <w:t>第三条</w:t>
      </w:r>
      <w:r>
        <w:rPr>
          <w:rFonts w:hint="eastAsia" w:eastAsia="仿宋_GB2312;仿宋"/>
          <w:sz w:val="32"/>
          <w:szCs w:val="32"/>
          <w:shd w:fill="FFFFFF" w:val="clear"/>
          <w:lang w:bidi="ar"/>
        </w:rPr>
        <w:t xml:space="preserve">  乌鲁木齐甘泉堡经济技术开发区（工业区）（以下简称开发区）的建设和发展应当坚持规划引领、市场导向、创新驱动、产业集聚、生态优先、用地集约的原则。</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ascii="黑体" w:hAnsi="黑体" w:cs="黑体" w:hint="eastAsia" w:eastAsia="黑体"/>
          <w:sz w:val="32"/>
          <w:szCs w:val="32"/>
          <w:shd w:fill="FFFFFF" w:val="clear"/>
          <w:lang w:bidi="ar"/>
        </w:rPr>
        <w:t>第四条</w:t>
      </w:r>
      <w:r>
        <w:rPr>
          <w:rFonts w:hint="eastAsia" w:eastAsia="仿宋_GB2312;仿宋"/>
          <w:sz w:val="32"/>
          <w:szCs w:val="32"/>
          <w:shd w:fill="FFFFFF" w:val="clear"/>
          <w:lang w:bidi="ar"/>
        </w:rPr>
        <w:t xml:space="preserve">  开发区管委会是自治区人民政府的派出机构，受市人民政府委托，行使市一级经济管理权限和行政管理职能。</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ascii="黑体" w:hAnsi="黑体" w:cs="黑体" w:hint="eastAsia" w:eastAsia="黑体"/>
          <w:sz w:val="32"/>
          <w:szCs w:val="32"/>
          <w:shd w:fill="FFFFFF" w:val="clear"/>
          <w:lang w:bidi="ar"/>
        </w:rPr>
        <w:t>第五条</w:t>
      </w:r>
      <w:r>
        <w:rPr>
          <w:rFonts w:hint="eastAsia" w:eastAsia="仿宋_GB2312;仿宋"/>
          <w:sz w:val="32"/>
          <w:szCs w:val="32"/>
          <w:shd w:fill="FFFFFF" w:val="clear"/>
          <w:lang w:bidi="ar"/>
        </w:rPr>
        <w:t xml:space="preserve">  开发区管委会履行下列职责：</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hint="eastAsia" w:eastAsia="仿宋_GB2312;仿宋"/>
          <w:sz w:val="32"/>
          <w:szCs w:val="32"/>
          <w:shd w:fill="FFFFFF" w:val="clear"/>
          <w:lang w:bidi="ar"/>
        </w:rPr>
        <w:t>（一）贯彻执行法律、法规、规章及有关开发区的政策；</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hint="eastAsia" w:eastAsia="仿宋_GB2312;仿宋"/>
          <w:sz w:val="32"/>
          <w:szCs w:val="32"/>
          <w:shd w:fill="FFFFFF" w:val="clear"/>
          <w:lang w:bidi="ar"/>
        </w:rPr>
        <w:t>（二）依法行使国家、自治区、市人民政府赋予开发区的审批权限；</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hint="eastAsia" w:eastAsia="仿宋_GB2312;仿宋"/>
          <w:sz w:val="32"/>
          <w:szCs w:val="32"/>
          <w:shd w:fill="FFFFFF" w:val="clear"/>
          <w:lang w:bidi="ar"/>
        </w:rPr>
        <w:t>（三）制定并组织实施开发区的各项管理规定、激励措施、促进投资和生产经营的政策；</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hint="eastAsia" w:eastAsia="仿宋_GB2312;仿宋"/>
          <w:sz w:val="32"/>
          <w:szCs w:val="32"/>
          <w:shd w:fill="FFFFFF" w:val="clear"/>
          <w:lang w:bidi="ar"/>
        </w:rPr>
        <w:t>（四）组织编制开发区总体规划和各领域专项规划，经批准后组织实施；</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hint="eastAsia" w:eastAsia="仿宋_GB2312;仿宋"/>
          <w:sz w:val="32"/>
          <w:szCs w:val="32"/>
          <w:shd w:fill="FFFFFF" w:val="clear"/>
          <w:lang w:bidi="ar"/>
        </w:rPr>
        <w:t>（五）组织实施开发区配套改革试验总体方案和工作计划；</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hint="eastAsia" w:eastAsia="仿宋_GB2312;仿宋"/>
          <w:sz w:val="32"/>
          <w:szCs w:val="32"/>
          <w:shd w:fill="FFFFFF" w:val="clear"/>
          <w:lang w:bidi="ar"/>
        </w:rPr>
        <w:t xml:space="preserve">（六）负责开发区的经贸发展和招商引资工作，依照权限审批、核准和备案入驻开发区的各类投资项目； </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hint="eastAsia" w:eastAsia="仿宋_GB2312;仿宋"/>
          <w:sz w:val="32"/>
          <w:szCs w:val="32"/>
          <w:shd w:fill="FFFFFF" w:val="clear"/>
          <w:lang w:bidi="ar"/>
        </w:rPr>
        <w:t>（七）负责开发区的财政预决算、国有资产管理、投融资和金融管理工作；</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hint="eastAsia" w:eastAsia="仿宋_GB2312;仿宋"/>
          <w:sz w:val="32"/>
          <w:szCs w:val="32"/>
          <w:shd w:fill="FFFFFF" w:val="clear"/>
          <w:lang w:bidi="ar"/>
        </w:rPr>
        <w:t>（八）负责开发区的生态环境保护、安全生产监督管理等服务工作；</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hint="eastAsia" w:eastAsia="仿宋_GB2312;仿宋"/>
          <w:sz w:val="32"/>
          <w:szCs w:val="32"/>
          <w:shd w:fill="FFFFFF" w:val="clear"/>
          <w:lang w:bidi="ar"/>
        </w:rPr>
        <w:t>（九）指导、协调开发区内的派出机构、分支机构的工作；</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hint="eastAsia" w:eastAsia="仿宋_GB2312;仿宋"/>
          <w:sz w:val="32"/>
          <w:szCs w:val="32"/>
          <w:shd w:fill="FFFFFF" w:val="clear"/>
          <w:lang w:bidi="ar"/>
        </w:rPr>
        <w:t>（十）自治区人民政府和市人民政府授予的其他职责。</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textAlignment w:val="auto"/>
        <w:rPr>
          <w:rFonts w:eastAsia="仿宋_GB2312;仿宋" w:hint="eastAsia"/>
          <w:sz w:val="32"/>
          <w:szCs w:val="32"/>
          <w:shd w:fill="FFFFFF" w:val="clear"/>
          <w:lang w:bidi="ar"/>
        </w:rPr>
      </w:pPr>
      <w:r>
        <w:rPr>
          <w:rFonts w:ascii="黑体" w:hAnsi="黑体" w:cs="黑体" w:hint="eastAsia" w:eastAsia="黑体"/>
          <w:sz w:val="32"/>
          <w:szCs w:val="32"/>
          <w:shd w:fill="FFFFFF" w:val="clear"/>
          <w:lang w:bidi="ar"/>
        </w:rPr>
        <w:t>第六条</w:t>
      </w:r>
      <w:r>
        <w:rPr>
          <w:rFonts w:hint="eastAsia" w:eastAsia="仿宋_GB2312;仿宋"/>
          <w:sz w:val="32"/>
          <w:szCs w:val="32"/>
          <w:shd w:fill="FFFFFF" w:val="clear"/>
          <w:lang w:bidi="ar"/>
        </w:rPr>
        <w:t xml:space="preserve">  开发区管委会应当健全依法决策机制，规范行政决策程序；建立重大决策公众参与、专家论证、风险评估、合法性审查、集体讨论决定制度。</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textAlignment w:val="auto"/>
        <w:rPr>
          <w:rFonts w:eastAsia="仿宋_GB2312;仿宋" w:hint="eastAsia"/>
          <w:sz w:val="32"/>
          <w:szCs w:val="32"/>
          <w:shd w:fill="FFFFFF" w:val="clear"/>
          <w:lang w:bidi="ar"/>
        </w:rPr>
      </w:pPr>
      <w:r>
        <w:rPr>
          <w:rFonts w:ascii="黑体" w:hAnsi="黑体" w:cs="黑体" w:hint="eastAsia" w:eastAsia="黑体"/>
          <w:sz w:val="32"/>
          <w:szCs w:val="32"/>
          <w:shd w:fill="FFFFFF" w:val="clear"/>
          <w:lang w:bidi="ar"/>
        </w:rPr>
        <w:t>第七条</w:t>
      </w:r>
      <w:r>
        <w:rPr>
          <w:rFonts w:hint="eastAsia" w:eastAsia="仿宋_GB2312;仿宋"/>
          <w:sz w:val="32"/>
          <w:szCs w:val="32"/>
          <w:shd w:fill="FFFFFF" w:val="clear"/>
          <w:lang w:bidi="ar"/>
        </w:rPr>
        <w:t xml:space="preserve">  开发区管委会在国家、自治区、市人民政府规定的权限范围内，建立统一的财政、统计、登记、自然资源、企业注册等管理制度。</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hint="eastAsia" w:eastAsia="仿宋_GB2312;仿宋"/>
          <w:sz w:val="32"/>
          <w:szCs w:val="32"/>
          <w:shd w:fill="FFFFFF" w:val="clear"/>
          <w:lang w:bidi="ar"/>
        </w:rPr>
        <w:t>开发区管委会应当建立联席会议制度，听取有关方面的意见建议，定期研究决定开发区建设和管理相关事项。</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ascii="黑体" w:hAnsi="黑体" w:cs="黑体" w:hint="eastAsia" w:eastAsia="黑体"/>
          <w:sz w:val="32"/>
          <w:szCs w:val="32"/>
          <w:shd w:fill="FFFFFF" w:val="clear"/>
          <w:lang w:bidi="ar"/>
        </w:rPr>
        <w:t>第八条</w:t>
      </w:r>
      <w:r>
        <w:rPr>
          <w:rFonts w:hint="eastAsia" w:eastAsia="仿宋_GB2312;仿宋"/>
          <w:sz w:val="32"/>
          <w:szCs w:val="32"/>
          <w:shd w:fill="FFFFFF" w:val="clear"/>
          <w:lang w:bidi="ar"/>
        </w:rPr>
        <w:t xml:space="preserve">  有关行政部门应当根据工作需要在开发区设立派出机构、分支机构；在开发区管委会的组织协调下，依法开展服务和管理。</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ascii="黑体" w:hAnsi="黑体" w:cs="黑体" w:hint="eastAsia" w:eastAsia="黑体"/>
          <w:sz w:val="32"/>
          <w:szCs w:val="32"/>
          <w:shd w:fill="FFFFFF" w:val="clear"/>
          <w:lang w:bidi="ar"/>
        </w:rPr>
        <w:t>第九条</w:t>
      </w:r>
      <w:r>
        <w:rPr>
          <w:rFonts w:hint="eastAsia" w:eastAsia="仿宋_GB2312;仿宋"/>
          <w:sz w:val="32"/>
          <w:szCs w:val="32"/>
          <w:shd w:fill="FFFFFF" w:val="clear"/>
          <w:lang w:bidi="ar"/>
        </w:rPr>
        <w:t xml:space="preserve">  开发区内的土地开发、基础设施和公共设施的建设应当根据法律法规规定的程序和方式进行。</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ascii="黑体" w:hAnsi="黑体" w:cs="黑体" w:hint="eastAsia" w:eastAsia="黑体"/>
          <w:sz w:val="32"/>
          <w:szCs w:val="32"/>
          <w:shd w:fill="FFFFFF" w:val="clear"/>
          <w:lang w:bidi="ar"/>
        </w:rPr>
        <w:t>第十条</w:t>
      </w:r>
      <w:r>
        <w:rPr>
          <w:rFonts w:hint="eastAsia" w:eastAsia="仿宋_GB2312;仿宋"/>
          <w:sz w:val="32"/>
          <w:szCs w:val="32"/>
          <w:shd w:fill="FFFFFF" w:val="clear"/>
          <w:lang w:bidi="ar"/>
        </w:rPr>
        <w:t xml:space="preserve">  国家鼓励发展的新产业、新业态，优先安排发展用地。开发区建立土地利用创新制度，建立动态评估、监督管理、考核与奖惩机制，采取以下土地利用管理方式：</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hint="eastAsia" w:eastAsia="仿宋_GB2312;仿宋"/>
          <w:sz w:val="32"/>
          <w:szCs w:val="32"/>
          <w:shd w:fill="FFFFFF" w:val="clear"/>
          <w:lang w:bidi="ar"/>
        </w:rPr>
        <w:t>（一）工业、仓储、物流用地推行长期租赁、先租后让、租让结合、弹性年期方式供应；</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hint="eastAsia" w:eastAsia="仿宋_GB2312;仿宋"/>
          <w:sz w:val="32"/>
          <w:szCs w:val="32"/>
          <w:shd w:fill="FFFFFF" w:val="clear"/>
          <w:lang w:bidi="ar"/>
        </w:rPr>
        <w:t>（二）公益类教育、文化、养老等产业项目用地符合划拨用地目录的，可以划拨供地；</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hint="eastAsia" w:eastAsia="仿宋_GB2312;仿宋"/>
          <w:sz w:val="32"/>
          <w:szCs w:val="32"/>
          <w:shd w:fill="FFFFFF" w:val="clear"/>
          <w:lang w:bidi="ar"/>
        </w:rPr>
        <w:t>（三）支持产业用地实行“标准地”出让，提高配置效率。</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textAlignment w:val="auto"/>
        <w:rPr>
          <w:rFonts w:eastAsia="仿宋_GB2312;仿宋" w:hint="eastAsia"/>
          <w:sz w:val="32"/>
          <w:szCs w:val="32"/>
          <w:shd w:fill="FFFFFF" w:val="clear"/>
          <w:lang w:bidi="ar"/>
        </w:rPr>
      </w:pPr>
      <w:r>
        <w:rPr>
          <w:rFonts w:ascii="黑体" w:hAnsi="黑体" w:cs="黑体" w:hint="eastAsia" w:eastAsia="黑体"/>
          <w:sz w:val="32"/>
          <w:szCs w:val="32"/>
          <w:shd w:fill="FFFFFF" w:val="clear"/>
          <w:lang w:bidi="ar"/>
        </w:rPr>
        <w:t>第十一条</w:t>
      </w:r>
      <w:r>
        <w:rPr>
          <w:rFonts w:hint="eastAsia" w:eastAsia="仿宋_GB2312;仿宋"/>
          <w:sz w:val="32"/>
          <w:szCs w:val="32"/>
          <w:shd w:fill="FFFFFF" w:val="clear"/>
          <w:lang w:bidi="ar"/>
        </w:rPr>
        <w:t xml:space="preserve">  开发区管委会应当依法对投资建设项目的产业政策、规划选址、规划条件、环境评价、安全评价、用地标准等内容进行审核。</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textAlignment w:val="auto"/>
        <w:rPr>
          <w:rFonts w:eastAsia="仿宋_GB2312;仿宋" w:hint="eastAsia"/>
          <w:sz w:val="32"/>
          <w:szCs w:val="32"/>
          <w:shd w:fill="FFFFFF" w:val="clear"/>
          <w:lang w:bidi="ar"/>
        </w:rPr>
      </w:pPr>
      <w:r>
        <w:rPr>
          <w:rFonts w:hint="eastAsia" w:eastAsia="仿宋_GB2312;仿宋"/>
          <w:sz w:val="32"/>
          <w:szCs w:val="32"/>
          <w:shd w:fill="FFFFFF" w:val="clear"/>
          <w:lang w:bidi="ar"/>
        </w:rPr>
        <w:t>开发区管委会推行容缺审批、告知承诺等管理方式，实施先建后验管理新模式，依法公布行政权力清单和责任清单，优化营商环境，提高服务效率。</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ascii="黑体" w:hAnsi="黑体" w:cs="黑体" w:hint="eastAsia" w:eastAsia="黑体"/>
          <w:sz w:val="32"/>
          <w:szCs w:val="32"/>
          <w:shd w:fill="FFFFFF" w:val="clear"/>
          <w:lang w:bidi="ar"/>
        </w:rPr>
        <w:t>第十二条</w:t>
      </w:r>
      <w:r>
        <w:rPr>
          <w:rFonts w:hint="eastAsia" w:eastAsia="仿宋_GB2312;仿宋"/>
          <w:sz w:val="32"/>
          <w:szCs w:val="32"/>
          <w:shd w:fill="FFFFFF" w:val="clear"/>
          <w:lang w:bidi="ar"/>
        </w:rPr>
        <w:t xml:space="preserve">  开发区管委会应当建立严格的生态环境保护制度，严禁不符合生态环境保护规定的产业项目进入园区。</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ascii="黑体" w:hAnsi="黑体" w:cs="黑体" w:hint="eastAsia" w:eastAsia="黑体"/>
          <w:sz w:val="32"/>
          <w:szCs w:val="32"/>
          <w:shd w:fill="FFFFFF" w:val="clear"/>
          <w:lang w:bidi="ar"/>
        </w:rPr>
        <w:t>第十三条</w:t>
      </w:r>
      <w:r>
        <w:rPr>
          <w:rFonts w:hint="eastAsia" w:eastAsia="仿宋_GB2312;仿宋"/>
          <w:sz w:val="32"/>
          <w:szCs w:val="32"/>
          <w:shd w:fill="FFFFFF" w:val="clear"/>
          <w:lang w:bidi="ar"/>
        </w:rPr>
        <w:t xml:space="preserve">  开发区可以设立专项发展资金和发展基金，用于产业扶持、人才服务、科研资助、创业扶持、基础设施和公共设施建设等支出。</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ascii="黑体" w:hAnsi="黑体" w:cs="黑体" w:hint="eastAsia" w:eastAsia="黑体"/>
          <w:sz w:val="32"/>
          <w:szCs w:val="32"/>
          <w:shd w:fill="FFFFFF" w:val="clear"/>
          <w:lang w:bidi="ar"/>
        </w:rPr>
        <w:t>第十四条</w:t>
      </w:r>
      <w:r>
        <w:rPr>
          <w:rFonts w:hint="eastAsia" w:eastAsia="仿宋_GB2312;仿宋"/>
          <w:sz w:val="32"/>
          <w:szCs w:val="32"/>
          <w:shd w:fill="FFFFFF" w:val="clear"/>
          <w:lang w:bidi="ar"/>
        </w:rPr>
        <w:t xml:space="preserve">  开发区管委会应当建立上市后备企业资源库，大力支持开发区内企业通过挂牌、上市融资发展，结合开发区实际出台针对区内企业挂牌、上市的专项资金扶持政策。</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ascii="黑体" w:hAnsi="黑体" w:cs="黑体" w:hint="eastAsia" w:eastAsia="黑体"/>
          <w:sz w:val="32"/>
          <w:szCs w:val="32"/>
          <w:shd w:fill="FFFFFF" w:val="clear"/>
          <w:lang w:bidi="ar"/>
        </w:rPr>
        <w:t>第十五条</w:t>
      </w:r>
      <w:r>
        <w:rPr>
          <w:rFonts w:hint="eastAsia" w:eastAsia="仿宋_GB2312;仿宋"/>
          <w:sz w:val="32"/>
          <w:szCs w:val="32"/>
          <w:shd w:fill="FFFFFF" w:val="clear"/>
          <w:lang w:bidi="ar"/>
        </w:rPr>
        <w:t xml:space="preserve">  投资者在开发区进行投资，按照规定享受国家、自治区、市人民政府关于开发区的各项优惠政策。</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hint="eastAsia" w:eastAsia="仿宋_GB2312;仿宋"/>
          <w:sz w:val="32"/>
          <w:szCs w:val="32"/>
          <w:shd w:fill="FFFFFF" w:val="clear"/>
          <w:lang w:bidi="ar"/>
        </w:rPr>
        <w:t>开发区管委会应当建立健全投诉受理机制，依法及时、公正公平地处理投诉案件，依法维护投资者的投资、收益和其他合法权益。</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ascii="黑体" w:hAnsi="黑体" w:cs="黑体" w:hint="eastAsia" w:eastAsia="黑体"/>
          <w:sz w:val="32"/>
          <w:szCs w:val="32"/>
          <w:shd w:fill="FFFFFF" w:val="clear"/>
          <w:lang w:bidi="ar"/>
        </w:rPr>
        <w:t>第十六条</w:t>
      </w:r>
      <w:r>
        <w:rPr>
          <w:rFonts w:hint="eastAsia" w:eastAsia="仿宋_GB2312;仿宋"/>
          <w:sz w:val="32"/>
          <w:szCs w:val="32"/>
          <w:shd w:fill="FFFFFF" w:val="clear"/>
          <w:lang w:bidi="ar"/>
        </w:rPr>
        <w:t xml:space="preserve">  鼓励各类投资基金和金融机构在开发区设立分支机构，开展金融投资服务。</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hint="eastAsia" w:eastAsia="仿宋_GB2312;仿宋"/>
          <w:sz w:val="32"/>
          <w:szCs w:val="32"/>
          <w:shd w:fill="FFFFFF" w:val="clear"/>
          <w:lang w:bidi="ar"/>
        </w:rPr>
        <w:t>鼓励政策性银行、商业银行对符合条件的开发区内基础设施项目及公用事业项目给予信贷支持。</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textAlignment w:val="auto"/>
        <w:rPr>
          <w:rFonts w:eastAsia="仿宋_GB2312;仿宋" w:hint="eastAsia"/>
          <w:sz w:val="32"/>
          <w:szCs w:val="32"/>
          <w:shd w:fill="FFFFFF" w:val="clear"/>
          <w:lang w:bidi="ar"/>
        </w:rPr>
      </w:pPr>
      <w:r>
        <w:rPr>
          <w:rFonts w:ascii="黑体" w:hAnsi="黑体" w:cs="黑体" w:hint="eastAsia" w:eastAsia="黑体"/>
          <w:sz w:val="32"/>
          <w:szCs w:val="32"/>
          <w:shd w:fill="FFFFFF" w:val="clear"/>
          <w:lang w:bidi="ar"/>
        </w:rPr>
        <w:t>第十七条</w:t>
      </w:r>
      <w:r>
        <w:rPr>
          <w:rFonts w:hint="eastAsia" w:eastAsia="仿宋_GB2312;仿宋"/>
          <w:sz w:val="32"/>
          <w:szCs w:val="32"/>
          <w:shd w:fill="FFFFFF" w:val="clear"/>
          <w:lang w:bidi="ar"/>
        </w:rPr>
        <w:t xml:space="preserve">  鼓励在开发区内设立金融服务、法律服务、资产评估、信用评级、投资咨询、知识产权交易、人才资源服务等中介服务机构，为开发区的生产经营和创新创业活动提供服务。</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textAlignment w:val="auto"/>
        <w:rPr>
          <w:rFonts w:eastAsia="仿宋_GB2312;仿宋" w:hint="eastAsia"/>
          <w:sz w:val="32"/>
          <w:szCs w:val="32"/>
          <w:shd w:fill="FFFFFF" w:val="clear"/>
          <w:lang w:bidi="ar"/>
        </w:rPr>
      </w:pPr>
      <w:r>
        <w:rPr>
          <w:rFonts w:ascii="黑体" w:hAnsi="黑体" w:cs="黑体" w:hint="eastAsia" w:eastAsia="黑体"/>
          <w:sz w:val="32"/>
          <w:szCs w:val="32"/>
          <w:shd w:fill="FFFFFF" w:val="clear"/>
          <w:lang w:bidi="ar"/>
        </w:rPr>
        <w:t>第十八条</w:t>
      </w:r>
      <w:r>
        <w:rPr>
          <w:rFonts w:hint="eastAsia" w:eastAsia="仿宋_GB2312;仿宋"/>
          <w:sz w:val="32"/>
          <w:szCs w:val="32"/>
          <w:shd w:fill="FFFFFF" w:val="clear"/>
          <w:lang w:bidi="ar"/>
        </w:rPr>
        <w:t xml:space="preserve">  鼓励企业、高等院校、科研机构以及其他组织和个人，在开发区投资兴办科技创新园区、科技研发机构，开展技术创新和科技服务。</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ascii="黑体" w:hAnsi="黑体" w:cs="黑体" w:hint="eastAsia" w:eastAsia="黑体"/>
          <w:sz w:val="32"/>
          <w:szCs w:val="32"/>
          <w:shd w:fill="FFFFFF" w:val="clear"/>
          <w:lang w:bidi="ar"/>
        </w:rPr>
        <w:t>第十九条</w:t>
      </w:r>
      <w:r>
        <w:rPr>
          <w:rFonts w:hint="eastAsia" w:eastAsia="仿宋_GB2312;仿宋"/>
          <w:sz w:val="32"/>
          <w:szCs w:val="32"/>
          <w:shd w:fill="FFFFFF" w:val="clear"/>
          <w:lang w:bidi="ar"/>
        </w:rPr>
        <w:t xml:space="preserve">  开发区管委会应当制定人才发展中长期规划，支持开发区内企业人才的引进培养，对引进的高层次人才、高技能人才创新创业给予专项支持。</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hint="eastAsia" w:eastAsia="仿宋_GB2312;仿宋"/>
          <w:sz w:val="32"/>
          <w:szCs w:val="32"/>
          <w:shd w:fill="FFFFFF" w:val="clear"/>
          <w:lang w:bidi="ar"/>
        </w:rPr>
        <w:t>开发区应当完善人才管理制度，建立健全人才培养、引进、使用、流动、评价、激励和服务等制度，鼓励各类科技人员、高级管理人员、留学归国人员到开发区创业兴业。</w:t>
      </w:r>
    </w:p>
    <w:p>
      <w:pPr>
        <w:pStyle w:val="Normal"/>
        <w:keepNext w:val="false"/>
        <w:keepLines w:val="false"/>
        <w:pageBreakBefore w:val="false"/>
        <w:widowControl/>
        <w:shd w:fill="FFFFFF" w:val="clear"/>
        <w:kinsoku w:val="true"/>
        <w:overflowPunct w:val="true"/>
        <w:autoSpaceDE w:val="true"/>
        <w:bidi w:val="0"/>
        <w:snapToGrid w:val="true"/>
        <w:spacing w:lineRule="exact" w:line="560"/>
        <w:ind w:firstLineChars="200" w:startChars="0" w:start="0" w:endChars="0" w:end="0"/>
        <w:textAlignment w:val="auto"/>
        <w:rPr>
          <w:rFonts w:eastAsia="仿宋_GB2312;仿宋" w:hint="eastAsia"/>
          <w:sz w:val="32"/>
          <w:szCs w:val="32"/>
          <w:shd w:fill="FFFFFF" w:val="clear"/>
          <w:lang w:bidi="ar"/>
        </w:rPr>
      </w:pPr>
      <w:r>
        <w:rPr>
          <w:rFonts w:hint="eastAsia" w:eastAsia="仿宋_GB2312;仿宋"/>
          <w:sz w:val="32"/>
          <w:szCs w:val="32"/>
          <w:shd w:fill="FFFFFF" w:val="clear"/>
          <w:lang w:bidi="ar"/>
        </w:rPr>
        <w:t>对在开发区内的企业和科研机构从事研究开发工作的领军人才、高级人才，给予住房、科研经费、医疗服务、子女入学等方面的优惠待遇，并在户口迁移、职称评定等方面提供服务。</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ascii="黑体" w:hAnsi="黑体" w:cs="黑体" w:hint="eastAsia" w:eastAsia="黑体"/>
          <w:sz w:val="32"/>
          <w:szCs w:val="32"/>
          <w:shd w:fill="FFFFFF" w:val="clear"/>
          <w:lang w:bidi="ar"/>
        </w:rPr>
        <w:t>第二十条</w:t>
      </w:r>
      <w:r>
        <w:rPr>
          <w:rFonts w:hint="eastAsia" w:eastAsia="仿宋_GB2312;仿宋"/>
          <w:sz w:val="32"/>
          <w:szCs w:val="32"/>
          <w:shd w:fill="FFFFFF" w:val="clear"/>
          <w:lang w:bidi="ar"/>
        </w:rPr>
        <w:t xml:space="preserve">  开发区应当执行国家、自治区、市有关劳动用工、劳动保护、安全生产、工业卫生、社会保障等方面的规定，优化劳动环境，维护劳动者的合法权益。</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ascii="黑体" w:hAnsi="黑体" w:cs="黑体" w:hint="eastAsia" w:eastAsia="黑体"/>
          <w:sz w:val="32"/>
          <w:szCs w:val="32"/>
          <w:shd w:fill="FFFFFF" w:val="clear"/>
          <w:lang w:bidi="ar"/>
        </w:rPr>
        <w:t>第二十一条</w:t>
      </w:r>
      <w:r>
        <w:rPr>
          <w:rFonts w:hint="eastAsia" w:eastAsia="仿宋_GB2312;仿宋"/>
          <w:sz w:val="32"/>
          <w:szCs w:val="32"/>
          <w:shd w:fill="FFFFFF" w:val="clear"/>
          <w:lang w:bidi="ar"/>
        </w:rPr>
        <w:t xml:space="preserve">  开发区可以根据建设发展需要，推行聘任制和雇员制等模式，按照相关规定制定引进人才工资制度。</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textAlignment w:val="auto"/>
        <w:rPr>
          <w:rFonts w:eastAsia="仿宋_GB2312;仿宋" w:hint="eastAsia"/>
          <w:sz w:val="32"/>
          <w:szCs w:val="32"/>
          <w:shd w:fill="FFFFFF" w:val="clear"/>
          <w:lang w:bidi="ar"/>
        </w:rPr>
      </w:pPr>
      <w:r>
        <w:rPr>
          <w:rFonts w:ascii="黑体" w:hAnsi="黑体" w:cs="黑体" w:hint="eastAsia" w:eastAsia="黑体"/>
          <w:sz w:val="32"/>
          <w:szCs w:val="32"/>
          <w:shd w:fill="FFFFFF" w:val="clear"/>
          <w:lang w:bidi="ar"/>
        </w:rPr>
        <w:t>第二十二条</w:t>
      </w:r>
      <w:r>
        <w:rPr>
          <w:rFonts w:hint="eastAsia" w:eastAsia="仿宋_GB2312;仿宋"/>
          <w:sz w:val="32"/>
          <w:szCs w:val="32"/>
          <w:shd w:fill="FFFFFF" w:val="clear"/>
          <w:lang w:bidi="ar"/>
        </w:rPr>
        <w:t xml:space="preserve">  开发区管委会实行政务公开，应当通过网站等方式，公布行政许可事项、收费事项、办事程序、办理时限和服务信息等，对涉及公共利益的重大事项应当举行听证。</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textAlignment w:val="auto"/>
        <w:rPr>
          <w:rFonts w:eastAsia="仿宋_GB2312;仿宋" w:hint="eastAsia"/>
          <w:sz w:val="32"/>
          <w:szCs w:val="32"/>
          <w:shd w:fill="FFFFFF" w:val="clear"/>
          <w:lang w:bidi="ar"/>
        </w:rPr>
      </w:pPr>
      <w:r>
        <w:rPr>
          <w:rFonts w:ascii="黑体" w:hAnsi="黑体" w:cs="黑体" w:hint="eastAsia" w:eastAsia="黑体"/>
          <w:sz w:val="32"/>
          <w:szCs w:val="32"/>
          <w:shd w:fill="FFFFFF" w:val="clear"/>
          <w:lang w:bidi="ar"/>
        </w:rPr>
        <w:t>第二十三条</w:t>
      </w:r>
      <w:r>
        <w:rPr>
          <w:rFonts w:hint="eastAsia" w:eastAsia="仿宋_GB2312;仿宋"/>
          <w:sz w:val="32"/>
          <w:szCs w:val="32"/>
          <w:shd w:fill="FFFFFF" w:val="clear"/>
          <w:lang w:bidi="ar"/>
        </w:rPr>
        <w:t xml:space="preserve">  开发区管委会应当建立政务服务平台，优化行政许可和服务流程，推行一个窗口受理、集中办理、限时办结和一站式服务等制度，为投资者提供优质、便捷的服务。</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textAlignment w:val="auto"/>
        <w:rPr>
          <w:rFonts w:eastAsia="仿宋_GB2312;仿宋" w:hint="eastAsia"/>
          <w:sz w:val="32"/>
          <w:szCs w:val="32"/>
          <w:shd w:fill="FFFFFF" w:val="clear"/>
          <w:lang w:bidi="ar"/>
        </w:rPr>
      </w:pPr>
      <w:r>
        <w:rPr>
          <w:rFonts w:ascii="黑体" w:hAnsi="黑体" w:cs="黑体" w:hint="eastAsia" w:eastAsia="黑体"/>
          <w:sz w:val="32"/>
          <w:szCs w:val="32"/>
          <w:shd w:fill="FFFFFF" w:val="clear"/>
          <w:lang w:bidi="ar"/>
        </w:rPr>
        <w:t>第二十四条</w:t>
      </w:r>
      <w:r>
        <w:rPr>
          <w:rFonts w:hint="eastAsia" w:eastAsia="仿宋_GB2312;仿宋"/>
          <w:sz w:val="32"/>
          <w:szCs w:val="32"/>
          <w:shd w:fill="FFFFFF" w:val="clear"/>
          <w:lang w:bidi="ar"/>
        </w:rPr>
        <w:t xml:space="preserve">  开发区管委会应当开展管理服务创新，建立创新容错免责机制。</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ascii="黑体" w:hAnsi="黑体" w:cs="黑体" w:hint="eastAsia" w:eastAsia="黑体"/>
          <w:sz w:val="32"/>
          <w:szCs w:val="32"/>
          <w:shd w:fill="FFFFFF" w:val="clear"/>
          <w:lang w:bidi="ar"/>
        </w:rPr>
        <w:t>第二十五条</w:t>
      </w:r>
      <w:r>
        <w:rPr>
          <w:rFonts w:hint="eastAsia" w:eastAsia="仿宋_GB2312;仿宋"/>
          <w:sz w:val="32"/>
          <w:szCs w:val="32"/>
          <w:shd w:fill="FFFFFF" w:val="clear"/>
          <w:lang w:bidi="ar"/>
        </w:rPr>
        <w:t xml:space="preserve">  开发区管委会、有关行政机关及其工作人员玩忽职守、徇私舞弊、滥用职权的，由其所在单位或者上级机关依法给予行政处理；构成犯罪的，由司法机关依法追究刑事责任；造成损失的，依法承担赔偿责任。</w:t>
      </w:r>
    </w:p>
    <w:p>
      <w:pPr>
        <w:pStyle w:val="Normal"/>
        <w:widowControl/>
        <w:shd w:fill="FFFFFF" w:val="clear"/>
        <w:spacing w:lineRule="exact" w:line="560"/>
        <w:ind w:firstLineChars="200" w:startChars="0" w:start="0" w:endChars="0" w:end="0"/>
        <w:rPr>
          <w:shd w:fill="FFFFFF" w:val="clear"/>
        </w:rPr>
      </w:pPr>
      <w:r>
        <w:rPr>
          <w:rFonts w:ascii="黑体" w:hAnsi="黑体" w:cs="黑体" w:hint="eastAsia" w:eastAsia="黑体"/>
          <w:sz w:val="32"/>
          <w:szCs w:val="32"/>
          <w:shd w:fill="FFFFFF" w:val="clear"/>
          <w:lang w:bidi="ar"/>
        </w:rPr>
        <w:t>第二十六条</w:t>
      </w:r>
      <w:r>
        <w:rPr>
          <w:rFonts w:hint="eastAsia" w:eastAsia="仿宋_GB2312;仿宋"/>
          <w:sz w:val="32"/>
          <w:szCs w:val="32"/>
          <w:shd w:fill="FFFFFF" w:val="clear"/>
          <w:lang w:bidi="ar"/>
        </w:rPr>
        <w:t xml:space="preserve">  本条例</w:t>
      </w:r>
      <w:r>
        <w:rPr>
          <w:rFonts w:hint="eastAsia" w:eastAsia="仿宋_GB2312;仿宋"/>
          <w:color w:val="000000"/>
          <w:sz w:val="32"/>
          <w:szCs w:val="32"/>
          <w:shd w:fill="FFFFFF" w:val="clear"/>
          <w:lang w:bidi="ar"/>
        </w:rPr>
        <w:t>自</w:t>
      </w:r>
      <w:r>
        <w:rPr>
          <w:rFonts w:eastAsia="仿宋_GB2312;仿宋" w:hint="eastAsia"/>
          <w:color w:val="000000"/>
          <w:sz w:val="32"/>
          <w:szCs w:val="32"/>
          <w:shd w:fill="FFFFFF" w:val="clear"/>
          <w:lang w:bidi="ar"/>
        </w:rPr>
        <w:t>2022</w:t>
      </w:r>
      <w:r>
        <w:rPr>
          <w:rFonts w:hint="eastAsia" w:eastAsia="仿宋_GB2312;仿宋"/>
          <w:color w:val="000000"/>
          <w:sz w:val="32"/>
          <w:szCs w:val="32"/>
          <w:shd w:fill="FFFFFF" w:val="clear"/>
          <w:lang w:bidi="ar"/>
        </w:rPr>
        <w:t>年</w:t>
      </w:r>
      <w:r>
        <w:rPr>
          <w:rFonts w:eastAsia="仿宋_GB2312;仿宋" w:hint="eastAsia"/>
          <w:color w:val="000000"/>
          <w:sz w:val="32"/>
          <w:szCs w:val="32"/>
          <w:shd w:fill="FFFFFF" w:val="clear"/>
          <w:lang w:bidi="ar"/>
        </w:rPr>
        <w:t>7</w:t>
      </w:r>
      <w:r>
        <w:rPr>
          <w:rFonts w:hint="eastAsia" w:eastAsia="仿宋_GB2312;仿宋"/>
          <w:color w:val="000000"/>
          <w:sz w:val="32"/>
          <w:szCs w:val="32"/>
          <w:shd w:fill="FFFFFF" w:val="clear"/>
          <w:lang w:bidi="ar"/>
        </w:rPr>
        <w:t>月</w:t>
      </w:r>
      <w:r>
        <w:rPr>
          <w:rFonts w:eastAsia="仿宋_GB2312;仿宋" w:hint="eastAsia"/>
          <w:color w:val="000000"/>
          <w:sz w:val="32"/>
          <w:szCs w:val="32"/>
          <w:shd w:fill="FFFFFF" w:val="clear"/>
          <w:lang w:bidi="ar"/>
        </w:rPr>
        <w:t>1</w:t>
      </w:r>
      <w:r>
        <w:rPr>
          <w:rFonts w:hint="eastAsia" w:eastAsia="仿宋_GB2312;仿宋"/>
          <w:color w:val="000000"/>
          <w:sz w:val="32"/>
          <w:szCs w:val="32"/>
          <w:shd w:fill="FFFFFF" w:val="clear"/>
          <w:lang w:bidi="ar"/>
        </w:rPr>
        <w:t>日</w:t>
      </w:r>
      <w:r>
        <w:rPr>
          <w:rFonts w:hint="eastAsia" w:eastAsia="仿宋_GB2312;仿宋"/>
          <w:sz w:val="32"/>
          <w:szCs w:val="32"/>
          <w:shd w:fill="FFFFFF" w:val="clear"/>
          <w:lang w:bidi="ar"/>
        </w:rPr>
        <w:t>起施行。</w:t>
      </w:r>
    </w:p>
    <w:p>
      <w:pPr>
        <w:pStyle w:val="Normal"/>
        <w:spacing w:lineRule="exact" w:line="560"/>
        <w:rPr>
          <w:rFonts w:hint="eastAsia"/>
          <w:shd w:fill="FFFFFF" w:val="clear"/>
        </w:rPr>
      </w:pPr>
      <w:r>
        <w:rPr>
          <w:rFonts w:hint="eastAsia"/>
          <w:shd w:fill="FFFFFF" w:val="clear"/>
        </w:rPr>
      </w:r>
    </w:p>
    <w:sectPr>
      <w:footerReference w:type="default" r:id="rId2"/>
      <w:type w:val="nextPage"/>
      <w:pgSz w:w="11906" w:h="16838"/>
      <w:pgMar w:left="1531" w:right="1531" w:gutter="0" w:header="0" w:top="2098" w:footer="992" w:bottom="2098"/>
      <w:pgNumType w:fmt="decimal"/>
      <w:formProt w:val="false"/>
      <w:textDirection w:val="lrTb"/>
      <w:docGrid w:type="lines" w:linePitch="57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t xml:space="preserve">  </w:t>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445135"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445135" cy="604520"/>
                      </a:xfrm>
                      <a:prstGeom prst="rect"/>
                      <a:solidFill>
                        <a:srgbClr val="FFFFFF">
                          <a:alpha val="0"/>
                        </a:srgbClr>
                      </a:solidFill>
                    </wps:spPr>
                    <wps:txbx>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35.05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r>
                      <w:rPr>
                        <w:rFonts w:hint="eastAsia"/>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FirstIndent21"/>
    <w:qFormat/>
    <w:pPr>
      <w:widowControl w:val="false"/>
      <w:bidi w:val="0"/>
      <w:jc w:val="both"/>
    </w:pPr>
    <w:rPr>
      <w:rFonts w:ascii="Times New Roman" w:hAnsi="Times New Roman" w:eastAsia="宋体" w:cs="Times New Roman"/>
      <w:color w:val="auto"/>
      <w:kern w:val="2"/>
      <w:sz w:val="21"/>
      <w:szCs w:val="20"/>
      <w:lang w:bidi="ar-SA" w:val="en-US" w:eastAsia="zh-CN"/>
    </w:rPr>
  </w:style>
  <w:style w:type="character" w:styleId="Style14">
    <w:name w:val="默认段落字体"/>
    <w:qFormat/>
    <w:rPr/>
  </w:style>
  <w:style w:type="character" w:styleId="Strong">
    <w:name w:val="Strong"/>
    <w:qFormat/>
    <w:rPr>
      <w:rFonts w:eastAsia="仿宋_GB2312;仿宋" w:cs="Times New Roman"/>
      <w:b/>
      <w:bCs/>
      <w:sz w:val="32"/>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1">
    <w:name w:val="Body Text Indent1"/>
    <w:basedOn w:val="Normal"/>
    <w:qFormat/>
    <w:pPr>
      <w:spacing w:before="0" w:after="120"/>
      <w:ind w:firstLineChars="0" w:firstLine="0" w:startChars="200" w:endChars="0" w:end="0"/>
    </w:pPr>
    <w:rPr/>
  </w:style>
  <w:style w:type="paragraph" w:styleId="BodyTextFirstIndent21">
    <w:name w:val="Body Text First Indent 21"/>
    <w:basedOn w:val="BodyTextIndent1"/>
    <w:qFormat/>
    <w:pPr>
      <w:ind w:firstLineChars="200" w:startChars="200" w:endChars="0" w:end="0"/>
    </w:pPr>
    <w:rPr>
      <w:rFonts w:ascii="Calibri" w:hAnsi="Calibri" w:cs="Calibri"/>
      <w:kern w:val="0"/>
      <w:sz w:val="20"/>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eastAsia="宋体" w:cs="Calibri"/>
      <w:spacing w:val="0"/>
      <w:sz w:val="21"/>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16320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2018-04-19T19:25:00Z</dcterms:created>
  <dc:creator>User</dc:creator>
  <dc:description/>
  <dc:language>en-US</dc:language>
  <cp:lastModifiedBy>PC400</cp:lastModifiedBy>
  <cp:lastPrinted>2018-04-20T19:01:00Z</cp:lastPrinted>
  <dcterms:modified xsi:type="dcterms:W3CDTF">2022-07-04T10:13:55Z</dcterms:modified>
  <cp:revision>2</cp:revision>
  <dc:subject/>
  <dc:title>乌鲁木齐市寄递物流安全管理条例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3A3622EA3E5C45B2B21627AEF70E803F</vt:lpwstr>
  </property>
  <property fmtid="{D5CDD505-2E9C-101B-9397-08002B2CF9AE}" pid="3" name="KSOProductBuildVer">
    <vt:lpwstr>2052-11.1.0.11830</vt:lpwstr>
  </property>
</Properties>
</file>