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hanging="0" w:start="0"/>
        <w:jc w:val="center"/>
        <w:textAlignment w:val="auto"/>
        <w:rPr>
          <w:rFonts w:ascii="宋体;方正书宋_GBK" w:hAnsi="宋体;方正书宋_GBK" w:eastAsia="宋体;方正书宋_GBK" w:cs="宋体;方正书宋_GBK" w:hint="eastAsia"/>
          <w:bCs/>
          <w:w w:val="97"/>
          <w:sz w:val="44"/>
          <w:szCs w:val="44"/>
        </w:rPr>
      </w:pPr>
      <w:r>
        <w:rPr>
          <w:rFonts w:eastAsia="宋体;方正书宋_GBK" w:cs="宋体;方正书宋_GBK" w:hint="eastAsia" w:ascii="宋体;方正书宋_GBK" w:hAnsi="宋体;方正书宋_GBK"/>
          <w:bCs/>
          <w:w w:val="97"/>
          <w:sz w:val="44"/>
          <w:szCs w:val="44"/>
        </w:rPr>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hanging="0" w:start="0"/>
        <w:jc w:val="center"/>
        <w:textAlignment w:val="auto"/>
        <w:rPr>
          <w:rFonts w:ascii="宋体;方正书宋_GBK" w:hAnsi="宋体;方正书宋_GBK" w:eastAsia="宋体;方正书宋_GBK" w:cs="宋体;方正书宋_GBK" w:hint="eastAsia"/>
          <w:bCs/>
          <w:w w:val="97"/>
          <w:sz w:val="44"/>
          <w:szCs w:val="44"/>
        </w:rPr>
      </w:pPr>
      <w:r>
        <w:rPr>
          <w:rFonts w:eastAsia="宋体;方正书宋_GBK" w:cs="宋体;方正书宋_GBK" w:hint="eastAsia" w:ascii="宋体;方正书宋_GBK" w:hAnsi="宋体;方正书宋_GBK"/>
          <w:bCs/>
          <w:w w:val="97"/>
          <w:sz w:val="44"/>
          <w:szCs w:val="44"/>
        </w:rPr>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hanging="0" w:start="0"/>
        <w:jc w:val="center"/>
        <w:textAlignment w:val="auto"/>
        <w:rPr>
          <w:rFonts w:ascii="宋体;方正书宋_GBK" w:hAnsi="宋体;方正书宋_GBK" w:eastAsia="宋体;方正书宋_GBK" w:cs="宋体;方正书宋_GBK" w:hint="eastAsia"/>
          <w:color w:val="000000"/>
          <w:kern w:val="0"/>
          <w:sz w:val="44"/>
          <w:szCs w:val="44"/>
          <w:lang w:bidi="ar"/>
        </w:rPr>
      </w:pPr>
      <w:r>
        <w:rPr>
          <w:rFonts w:ascii="宋体;方正书宋_GBK" w:hAnsi="宋体;方正书宋_GBK" w:cs="宋体;方正书宋_GBK" w:hint="eastAsia" w:eastAsia="宋体;方正书宋_GBK"/>
          <w:bCs/>
          <w:w w:val="97"/>
          <w:sz w:val="44"/>
          <w:szCs w:val="44"/>
        </w:rPr>
        <w:t>新疆维吾尔</w:t>
      </w:r>
      <w:r>
        <w:rPr>
          <w:rFonts w:ascii="宋体;方正书宋_GBK" w:hAnsi="宋体;方正书宋_GBK" w:cs="宋体;方正书宋_GBK" w:hint="eastAsia" w:eastAsia="宋体;方正书宋_GBK"/>
          <w:color w:val="000000"/>
          <w:kern w:val="0"/>
          <w:sz w:val="44"/>
          <w:szCs w:val="44"/>
          <w:lang w:bidi="ar"/>
        </w:rPr>
        <w:t>自治区老年人权益保障条例</w:t>
      </w:r>
    </w:p>
    <w:p>
      <w:pPr>
        <w:pStyle w:val="List"/>
        <w:keepNext w:val="false"/>
        <w:keepLines w:val="false"/>
        <w:pageBreakBefore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b w:val="false"/>
          <w:bCs w:val="false"/>
          <w:color w:val="000000"/>
          <w:kern w:val="0"/>
          <w:sz w:val="32"/>
          <w:szCs w:val="32"/>
          <w:u w:val="none"/>
          <w:lang w:bidi="ar"/>
        </w:rPr>
      </w:pPr>
      <w:r>
        <w:rPr>
          <w:rFonts w:eastAsia="楷体_GB2312" w:cs="Times New Roman"/>
          <w:b w:val="false"/>
          <w:bCs w:val="false"/>
          <w:color w:val="000000"/>
          <w:kern w:val="0"/>
          <w:sz w:val="32"/>
          <w:szCs w:val="32"/>
          <w:u w:val="none"/>
          <w:lang w:bidi="ar"/>
        </w:rPr>
      </w:r>
    </w:p>
    <w:p>
      <w:pPr>
        <w:pStyle w:val="List"/>
        <w:keepNext w:val="false"/>
        <w:keepLines w:val="false"/>
        <w:pageBreakBefore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b w:val="false"/>
          <w:bCs w:val="false"/>
          <w:color w:val="000000"/>
          <w:kern w:val="0"/>
          <w:sz w:val="32"/>
          <w:szCs w:val="32"/>
          <w:u w:val="none"/>
          <w:lang w:bidi="ar"/>
        </w:rPr>
      </w:pPr>
      <w:r>
        <w:rPr>
          <w:rFonts w:ascii="Times New Roman" w:hAnsi="Times New Roman" w:cs="Times New Roman" w:eastAsia="楷体_GB2312"/>
          <w:b w:val="false"/>
          <w:bCs w:val="false"/>
          <w:color w:val="000000"/>
          <w:kern w:val="0"/>
          <w:sz w:val="32"/>
          <w:szCs w:val="32"/>
          <w:u w:val="none"/>
          <w:lang w:bidi="ar"/>
        </w:rPr>
        <w:t>（</w:t>
      </w:r>
      <w:r>
        <w:rPr>
          <w:rFonts w:eastAsia="楷体_GB2312" w:cs="Times New Roman"/>
          <w:b w:val="false"/>
          <w:bCs w:val="false"/>
          <w:color w:val="000000"/>
          <w:kern w:val="0"/>
          <w:sz w:val="32"/>
          <w:szCs w:val="32"/>
          <w:u w:val="none"/>
          <w:lang w:bidi="ar"/>
        </w:rPr>
        <w:t>2022</w:t>
      </w:r>
      <w:r>
        <w:rPr>
          <w:rFonts w:ascii="Times New Roman" w:hAnsi="Times New Roman" w:cs="Times New Roman" w:eastAsia="楷体_GB2312"/>
          <w:b w:val="false"/>
          <w:bCs w:val="false"/>
          <w:color w:val="000000"/>
          <w:kern w:val="0"/>
          <w:sz w:val="32"/>
          <w:szCs w:val="32"/>
          <w:u w:val="none"/>
          <w:lang w:bidi="ar"/>
        </w:rPr>
        <w:t>年</w:t>
      </w:r>
      <w:r>
        <w:rPr>
          <w:rFonts w:eastAsia="楷体_GB2312" w:cs="Times New Roman"/>
          <w:b w:val="false"/>
          <w:bCs w:val="false"/>
          <w:color w:val="000000"/>
          <w:kern w:val="0"/>
          <w:sz w:val="32"/>
          <w:szCs w:val="32"/>
          <w:u w:val="none"/>
          <w:lang w:bidi="ar"/>
        </w:rPr>
        <w:t>7</w:t>
      </w:r>
      <w:r>
        <w:rPr>
          <w:rFonts w:ascii="Times New Roman" w:hAnsi="Times New Roman" w:cs="Times New Roman" w:eastAsia="楷体_GB2312"/>
          <w:b w:val="false"/>
          <w:bCs w:val="false"/>
          <w:color w:val="000000"/>
          <w:kern w:val="0"/>
          <w:sz w:val="32"/>
          <w:szCs w:val="32"/>
          <w:u w:val="none"/>
          <w:lang w:bidi="ar"/>
        </w:rPr>
        <w:t>月</w:t>
      </w:r>
      <w:r>
        <w:rPr>
          <w:rFonts w:eastAsia="楷体_GB2312" w:cs="Times New Roman" w:hint="eastAsia"/>
          <w:b w:val="false"/>
          <w:bCs w:val="false"/>
          <w:color w:val="000000"/>
          <w:kern w:val="0"/>
          <w:sz w:val="32"/>
          <w:szCs w:val="32"/>
          <w:u w:val="none"/>
          <w:lang w:bidi="ar"/>
        </w:rPr>
        <w:t>29</w:t>
      </w:r>
      <w:r>
        <w:rPr>
          <w:rFonts w:ascii="Times New Roman" w:hAnsi="Times New Roman" w:cs="Times New Roman" w:eastAsia="楷体_GB2312"/>
          <w:b w:val="false"/>
          <w:bCs w:val="false"/>
          <w:color w:val="000000"/>
          <w:kern w:val="0"/>
          <w:sz w:val="32"/>
          <w:szCs w:val="32"/>
          <w:u w:val="none"/>
          <w:lang w:bidi="ar"/>
        </w:rPr>
        <w:t>日新疆维吾尔自治区第十三届人民代表大会</w:t>
      </w:r>
    </w:p>
    <w:p>
      <w:pPr>
        <w:pStyle w:val="List"/>
        <w:keepNext w:val="false"/>
        <w:keepLines w:val="false"/>
        <w:pageBreakBefore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b w:val="false"/>
          <w:bCs w:val="false"/>
          <w:color w:val="000000"/>
          <w:kern w:val="0"/>
          <w:sz w:val="32"/>
          <w:szCs w:val="32"/>
          <w:u w:val="none"/>
          <w:lang w:bidi="ar"/>
        </w:rPr>
      </w:pPr>
      <w:r>
        <w:rPr>
          <w:rFonts w:ascii="Times New Roman" w:hAnsi="Times New Roman" w:cs="Times New Roman" w:eastAsia="楷体_GB2312"/>
          <w:b w:val="false"/>
          <w:bCs w:val="false"/>
          <w:color w:val="000000"/>
          <w:kern w:val="0"/>
          <w:sz w:val="32"/>
          <w:szCs w:val="32"/>
          <w:u w:val="none"/>
          <w:lang w:bidi="ar"/>
        </w:rPr>
        <w:t>常务委员会第三十四次会议通过）</w:t>
      </w:r>
    </w:p>
    <w:p>
      <w:pPr>
        <w:pStyle w:val="Normal"/>
        <w:keepNext w:val="false"/>
        <w:keepLines w:val="false"/>
        <w:pageBreakBefore w:val="false"/>
        <w:widowControl/>
        <w:kinsoku w:val="true"/>
        <w:overflowPunct w:val="true"/>
        <w:autoSpaceDE w:val="true"/>
        <w:bidi w:val="0"/>
        <w:snapToGrid w:val="true"/>
        <w:spacing w:lineRule="exact" w:line="560" w:before="156" w:after="156"/>
        <w:jc w:val="center"/>
        <w:textAlignment w:val="auto"/>
        <w:rPr>
          <w:rFonts w:ascii="黑体" w:hAnsi="黑体" w:eastAsia="黑体" w:cs="黑体" w:hint="eastAsia"/>
          <w:b w:val="false"/>
          <w:bCs w:val="false"/>
          <w:color w:val="000000"/>
          <w:kern w:val="0"/>
          <w:sz w:val="32"/>
          <w:szCs w:val="32"/>
          <w:u w:val="none"/>
          <w:lang w:bidi="ar"/>
        </w:rPr>
      </w:pPr>
      <w:r>
        <w:rPr>
          <w:rFonts w:eastAsia="黑体" w:cs="黑体" w:hint="eastAsia" w:ascii="黑体" w:hAnsi="黑体"/>
          <w:b w:val="false"/>
          <w:bCs w:val="false"/>
          <w:color w:val="000000"/>
          <w:kern w:val="0"/>
          <w:sz w:val="32"/>
          <w:szCs w:val="32"/>
          <w:u w:val="none"/>
          <w:lang w:bidi="ar"/>
        </w:rPr>
      </w:r>
    </w:p>
    <w:p>
      <w:pPr>
        <w:pStyle w:val="Normal"/>
        <w:keepNext w:val="false"/>
        <w:keepLines w:val="false"/>
        <w:pageBreakBefore w:val="false"/>
        <w:widowControl/>
        <w:kinsoku w:val="true"/>
        <w:overflowPunct w:val="true"/>
        <w:autoSpaceDE w:val="true"/>
        <w:bidi w:val="0"/>
        <w:snapToGrid w:val="true"/>
        <w:spacing w:lineRule="exact" w:line="560" w:before="156" w:after="156"/>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方正楷体_GBK" w:hAnsi="方正楷体_GBK" w:eastAsia="楷体_GB2312" w:cs="方正楷体_GBK"/>
          <w:color w:val="000000"/>
          <w:kern w:val="0"/>
          <w:sz w:val="32"/>
          <w:szCs w:val="32"/>
          <w:lang w:bidi="ar"/>
        </w:rPr>
      </w:pPr>
      <w:r>
        <w:rPr>
          <w:rFonts w:eastAsia="楷体_GB2312" w:cs="方正楷体_GBK" w:hint="eastAsia" w:ascii="方正楷体_GBK" w:hAnsi="方正楷体_GBK"/>
          <w:color w:val="000000"/>
          <w:kern w:val="0"/>
          <w:sz w:val="32"/>
          <w:szCs w:val="32"/>
          <w:lang w:bidi="ar"/>
        </w:rPr>
        <w:t xml:space="preserve">    </w:t>
      </w:r>
      <w:r>
        <w:rPr>
          <w:rFonts w:ascii="方正楷体_GBK" w:hAnsi="方正楷体_GBK" w:cs="方正楷体_GBK" w:hint="eastAsia" w:eastAsia="楷体_GB2312"/>
          <w:color w:val="000000"/>
          <w:kern w:val="0"/>
          <w:sz w:val="32"/>
          <w:szCs w:val="32"/>
          <w:lang w:bidi="ar"/>
        </w:rPr>
        <w:t>第一章  总则</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方正楷体_GBK" w:hAnsi="方正楷体_GBK" w:eastAsia="楷体_GB2312" w:cs="方正楷体_GBK" w:hint="eastAsia"/>
          <w:b w:val="false"/>
          <w:bCs w:val="false"/>
          <w:color w:val="000000"/>
          <w:kern w:val="0"/>
          <w:sz w:val="32"/>
          <w:szCs w:val="32"/>
          <w:u w:val="none"/>
          <w:lang w:bidi="ar"/>
        </w:rPr>
      </w:pPr>
      <w:r>
        <w:rPr>
          <w:rFonts w:eastAsia="楷体_GB2312" w:cs="方正楷体_GBK" w:hint="eastAsia" w:ascii="方正楷体_GBK" w:hAnsi="方正楷体_GBK"/>
          <w:b w:val="false"/>
          <w:bCs w:val="false"/>
          <w:color w:val="000000"/>
          <w:kern w:val="0"/>
          <w:sz w:val="32"/>
          <w:szCs w:val="32"/>
          <w:u w:val="none"/>
          <w:lang w:bidi="ar"/>
        </w:rPr>
        <w:t xml:space="preserve">    </w:t>
      </w:r>
      <w:r>
        <w:rPr>
          <w:rFonts w:ascii="方正楷体_GBK" w:hAnsi="方正楷体_GBK" w:cs="方正楷体_GBK" w:hint="eastAsia" w:eastAsia="楷体_GB2312"/>
          <w:b w:val="false"/>
          <w:bCs w:val="false"/>
          <w:color w:val="000000"/>
          <w:kern w:val="0"/>
          <w:sz w:val="32"/>
          <w:szCs w:val="32"/>
          <w:u w:val="none"/>
          <w:lang w:bidi="ar"/>
        </w:rPr>
        <w:t>第二章  家庭赡养与扶养</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方正楷体_GBK" w:hAnsi="方正楷体_GBK" w:eastAsia="楷体_GB2312" w:cs="方正楷体_GBK"/>
          <w:color w:val="000000"/>
          <w:kern w:val="0"/>
          <w:sz w:val="32"/>
          <w:szCs w:val="32"/>
          <w:lang w:bidi="ar"/>
        </w:rPr>
      </w:pPr>
      <w:r>
        <w:rPr>
          <w:rFonts w:eastAsia="楷体_GB2312" w:cs="方正楷体_GBK" w:hint="eastAsia" w:ascii="方正楷体_GBK" w:hAnsi="方正楷体_GBK"/>
          <w:color w:val="000000"/>
          <w:kern w:val="0"/>
          <w:sz w:val="32"/>
          <w:szCs w:val="32"/>
          <w:lang w:bidi="ar"/>
        </w:rPr>
        <w:t xml:space="preserve">    </w:t>
      </w:r>
      <w:r>
        <w:rPr>
          <w:rFonts w:ascii="方正楷体_GBK" w:hAnsi="方正楷体_GBK" w:cs="方正楷体_GBK" w:hint="eastAsia" w:eastAsia="楷体_GB2312"/>
          <w:color w:val="000000"/>
          <w:kern w:val="0"/>
          <w:sz w:val="32"/>
          <w:szCs w:val="32"/>
          <w:lang w:bidi="ar"/>
        </w:rPr>
        <w:t>第三章  社会保障与优待</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方正楷体_GBK" w:hAnsi="方正楷体_GBK" w:eastAsia="楷体_GB2312" w:cs="方正楷体_GBK"/>
          <w:color w:val="000000"/>
          <w:kern w:val="0"/>
          <w:sz w:val="32"/>
          <w:szCs w:val="32"/>
          <w:lang w:bidi="ar"/>
        </w:rPr>
      </w:pPr>
      <w:r>
        <w:rPr>
          <w:rFonts w:eastAsia="楷体_GB2312" w:cs="方正楷体_GBK" w:hint="eastAsia" w:ascii="方正楷体_GBK" w:hAnsi="方正楷体_GBK"/>
          <w:color w:val="000000"/>
          <w:kern w:val="0"/>
          <w:sz w:val="32"/>
          <w:szCs w:val="32"/>
          <w:lang w:bidi="ar"/>
        </w:rPr>
        <w:t xml:space="preserve">    </w:t>
      </w:r>
      <w:r>
        <w:rPr>
          <w:rFonts w:ascii="方正楷体_GBK" w:hAnsi="方正楷体_GBK" w:cs="方正楷体_GBK" w:hint="eastAsia" w:eastAsia="楷体_GB2312"/>
          <w:color w:val="000000"/>
          <w:kern w:val="0"/>
          <w:sz w:val="32"/>
          <w:szCs w:val="32"/>
          <w:lang w:bidi="ar"/>
        </w:rPr>
        <w:t>第四章  社会服务与宜居环境</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方正楷体_GBK" w:hAnsi="方正楷体_GBK" w:eastAsia="楷体_GB2312" w:cs="方正楷体_GBK"/>
          <w:color w:val="000000"/>
          <w:kern w:val="0"/>
          <w:sz w:val="32"/>
          <w:szCs w:val="32"/>
          <w:lang w:bidi="ar"/>
        </w:rPr>
      </w:pPr>
      <w:r>
        <w:rPr>
          <w:rFonts w:eastAsia="楷体_GB2312" w:cs="方正楷体_GBK" w:hint="eastAsia" w:ascii="方正楷体_GBK" w:hAnsi="方正楷体_GBK"/>
          <w:color w:val="000000"/>
          <w:kern w:val="0"/>
          <w:sz w:val="32"/>
          <w:szCs w:val="32"/>
          <w:lang w:bidi="ar"/>
        </w:rPr>
        <w:t xml:space="preserve">    </w:t>
      </w:r>
      <w:r>
        <w:rPr>
          <w:rFonts w:ascii="方正楷体_GBK" w:hAnsi="方正楷体_GBK" w:cs="方正楷体_GBK" w:hint="eastAsia" w:eastAsia="楷体_GB2312"/>
          <w:color w:val="000000"/>
          <w:kern w:val="0"/>
          <w:sz w:val="32"/>
          <w:szCs w:val="32"/>
          <w:lang w:bidi="ar"/>
        </w:rPr>
        <w:t>第五章  参与社会发展</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方正楷体_GBK" w:hAnsi="方正楷体_GBK" w:eastAsia="楷体_GB2312" w:cs="方正楷体_GBK"/>
          <w:color w:val="000000"/>
          <w:kern w:val="0"/>
          <w:sz w:val="32"/>
          <w:szCs w:val="32"/>
          <w:lang w:bidi="ar"/>
        </w:rPr>
      </w:pPr>
      <w:r>
        <w:rPr>
          <w:rFonts w:eastAsia="楷体_GB2312" w:cs="方正楷体_GBK" w:hint="eastAsia" w:ascii="方正楷体_GBK" w:hAnsi="方正楷体_GBK"/>
          <w:color w:val="000000"/>
          <w:kern w:val="0"/>
          <w:sz w:val="32"/>
          <w:szCs w:val="32"/>
          <w:lang w:bidi="ar"/>
        </w:rPr>
        <w:t xml:space="preserve">    </w:t>
      </w:r>
      <w:r>
        <w:rPr>
          <w:rFonts w:ascii="方正楷体_GBK" w:hAnsi="方正楷体_GBK" w:cs="方正楷体_GBK" w:hint="eastAsia" w:eastAsia="楷体_GB2312"/>
          <w:color w:val="000000"/>
          <w:kern w:val="0"/>
          <w:sz w:val="32"/>
          <w:szCs w:val="32"/>
          <w:lang w:bidi="ar"/>
        </w:rPr>
        <w:t>第六章  法律责任</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方正楷体_GBK" w:hAnsi="方正楷体_GBK" w:eastAsia="楷体_GB2312" w:cs="方正楷体_GBK"/>
          <w:color w:val="000000"/>
          <w:kern w:val="0"/>
          <w:sz w:val="32"/>
          <w:szCs w:val="32"/>
          <w:lang w:bidi="ar"/>
        </w:rPr>
      </w:pPr>
      <w:r>
        <w:rPr>
          <w:rFonts w:eastAsia="楷体_GB2312" w:cs="方正楷体_GBK" w:hint="eastAsia" w:ascii="方正楷体_GBK" w:hAnsi="方正楷体_GBK"/>
          <w:color w:val="000000"/>
          <w:kern w:val="0"/>
          <w:sz w:val="32"/>
          <w:szCs w:val="32"/>
          <w:lang w:bidi="ar"/>
        </w:rPr>
        <w:t xml:space="preserve">    </w:t>
      </w:r>
      <w:r>
        <w:rPr>
          <w:rFonts w:ascii="方正楷体_GBK" w:hAnsi="方正楷体_GBK" w:cs="方正楷体_GBK" w:hint="eastAsia" w:eastAsia="楷体_GB2312"/>
          <w:color w:val="000000"/>
          <w:kern w:val="0"/>
          <w:sz w:val="32"/>
          <w:szCs w:val="32"/>
          <w:lang w:bidi="ar"/>
        </w:rPr>
        <w:t>第七章  附则</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仿宋" w:hAnsi="仿宋" w:eastAsia="仿宋_GB2312" w:cs="仿宋"/>
          <w:color w:val="000000"/>
          <w:kern w:val="0"/>
          <w:sz w:val="32"/>
          <w:szCs w:val="32"/>
          <w:lang w:bidi="ar"/>
        </w:rPr>
      </w:pPr>
      <w:r>
        <w:rPr>
          <w:rFonts w:eastAsia="仿宋_GB2312" w:cs="仿宋" w:ascii="仿宋" w:hAnsi="仿宋"/>
          <w:color w:val="000000"/>
          <w:kern w:val="0"/>
          <w:sz w:val="32"/>
          <w:szCs w:val="32"/>
          <w:lang w:bidi="ar"/>
        </w:rPr>
      </w:r>
    </w:p>
    <w:p>
      <w:pPr>
        <w:pStyle w:val="Normal"/>
        <w:keepNext w:val="false"/>
        <w:keepLines w:val="false"/>
        <w:pageBreakBefore w:val="false"/>
        <w:widowControl/>
        <w:kinsoku w:val="true"/>
        <w:overflowPunct w:val="true"/>
        <w:autoSpaceDE w:val="true"/>
        <w:bidi w:val="0"/>
        <w:snapToGrid w:val="true"/>
        <w:spacing w:lineRule="exact" w:line="560" w:before="156" w:after="156"/>
        <w:ind w:firstLine="641" w:end="0"/>
        <w:jc w:val="start"/>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第一章  总  则</w:t>
      </w:r>
    </w:p>
    <w:p>
      <w:pPr>
        <w:pStyle w:val="Lis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bCs/>
          <w:color w:val="000000"/>
          <w:sz w:val="32"/>
          <w:szCs w:val="32"/>
        </w:rPr>
      </w:pPr>
      <w:r>
        <w:rPr>
          <w:rFonts w:ascii="黑体" w:hAnsi="黑体" w:cs="黑体" w:hint="eastAsia" w:eastAsia="黑体"/>
          <w:b w:val="false"/>
          <w:bCs w:val="false"/>
          <w:color w:val="000000"/>
          <w:sz w:val="32"/>
          <w:szCs w:val="32"/>
        </w:rPr>
        <w:t>第一条</w:t>
      </w:r>
      <w:r>
        <w:rPr>
          <w:rFonts w:ascii="仿宋" w:hAnsi="仿宋" w:cs="仿宋" w:hint="eastAsia" w:eastAsia="仿宋_GB2312"/>
          <w:b/>
          <w:bCs/>
          <w:color w:val="000000"/>
          <w:sz w:val="32"/>
          <w:szCs w:val="32"/>
        </w:rPr>
        <w:t xml:space="preserve"> </w:t>
      </w:r>
      <w:r>
        <w:rPr>
          <w:rFonts w:ascii="仿宋" w:hAnsi="仿宋" w:cs="仿宋" w:hint="eastAsia" w:eastAsia="仿宋_GB2312"/>
          <w:bCs/>
          <w:color w:val="000000"/>
          <w:sz w:val="32"/>
          <w:szCs w:val="32"/>
        </w:rPr>
        <w:t>为了保障老年人的合法权益，弘扬中华民族敬老、养老、助老的美德，促进老年人养老服务、健康服务、社会保障、社会参与、权益保障统筹发展，根据《中华人民共和国老年人权益保障法》和</w:t>
      </w:r>
      <w:r>
        <w:rPr>
          <w:rFonts w:ascii="仿宋" w:hAnsi="仿宋" w:cs="仿宋" w:hint="eastAsia" w:eastAsia="仿宋_GB2312"/>
          <w:bCs/>
          <w:color w:val="000000"/>
          <w:sz w:val="32"/>
          <w:szCs w:val="32"/>
          <w:lang w:eastAsia="zh-CN"/>
        </w:rPr>
        <w:t>有关</w:t>
      </w:r>
      <w:r>
        <w:rPr>
          <w:rFonts w:ascii="仿宋" w:hAnsi="仿宋" w:cs="仿宋" w:hint="eastAsia" w:eastAsia="仿宋_GB2312"/>
          <w:bCs/>
          <w:color w:val="000000"/>
          <w:sz w:val="32"/>
          <w:szCs w:val="32"/>
        </w:rPr>
        <w:t>法律法规，结合自治区实际，制定本条例。</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bCs/>
          <w:color w:val="000000"/>
          <w:sz w:val="32"/>
          <w:szCs w:val="32"/>
        </w:rPr>
      </w:pPr>
      <w:r>
        <w:rPr>
          <w:rFonts w:ascii="黑体" w:hAnsi="黑体" w:cs="黑体" w:hint="eastAsia" w:eastAsia="黑体"/>
          <w:b w:val="false"/>
          <w:bCs w:val="false"/>
          <w:color w:val="000000"/>
          <w:sz w:val="32"/>
          <w:szCs w:val="32"/>
        </w:rPr>
        <w:t xml:space="preserve">第二条 </w:t>
      </w:r>
      <w:r>
        <w:rPr>
          <w:rFonts w:ascii="仿宋" w:hAnsi="仿宋" w:cs="仿宋" w:hint="eastAsia" w:eastAsia="仿宋_GB2312"/>
          <w:bCs/>
          <w:color w:val="000000"/>
          <w:sz w:val="32"/>
          <w:szCs w:val="32"/>
        </w:rPr>
        <w:t>本条例所称老年人，是指自治区行政区域内六十周岁以上的公民。</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color w:val="000000"/>
          <w:sz w:val="32"/>
          <w:szCs w:val="32"/>
          <w:highlight w:val="none"/>
          <w:bdr w:val="single" w:sz="4" w:space="0" w:color="000000"/>
          <w:shd w:fill="auto" w:val="clear"/>
        </w:rPr>
      </w:pPr>
      <w:r>
        <w:rPr>
          <w:rFonts w:ascii="黑体" w:hAnsi="黑体" w:cs="黑体" w:hint="eastAsia" w:eastAsia="黑体"/>
          <w:b w:val="false"/>
          <w:bCs w:val="false"/>
          <w:color w:val="000000"/>
          <w:sz w:val="32"/>
          <w:szCs w:val="32"/>
        </w:rPr>
        <w:t xml:space="preserve">第三条 </w:t>
      </w:r>
      <w:r>
        <w:rPr>
          <w:rFonts w:ascii="仿宋" w:hAnsi="仿宋" w:cs="仿宋" w:hint="eastAsia" w:eastAsia="仿宋_GB2312"/>
          <w:color w:val="000000"/>
          <w:sz w:val="32"/>
          <w:szCs w:val="32"/>
        </w:rPr>
        <w:t>本条例</w:t>
      </w:r>
      <w:r>
        <w:rPr>
          <w:rFonts w:ascii="仿宋" w:hAnsi="仿宋" w:cs="仿宋" w:hint="eastAsia" w:eastAsia="仿宋_GB2312"/>
          <w:color w:val="000000"/>
          <w:sz w:val="32"/>
          <w:szCs w:val="32"/>
          <w:shd w:fill="auto" w:val="clear"/>
        </w:rPr>
        <w:t>适用于自治区行政区域内老年人权益保障及其有关工作。</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 xml:space="preserve">第四条 </w:t>
      </w:r>
      <w:r>
        <w:rPr>
          <w:rFonts w:ascii="仿宋" w:hAnsi="仿宋" w:cs="仿宋" w:hint="eastAsia" w:eastAsia="仿宋_GB2312"/>
          <w:bCs/>
          <w:color w:val="000000"/>
          <w:sz w:val="32"/>
          <w:szCs w:val="32"/>
        </w:rPr>
        <w:t>发展老龄事业遵循系统谋划、综合施策、整合资源、协调发展、突出重点、夯实基层的原则。</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hint="eastAsia"/>
        </w:rPr>
      </w:pPr>
      <w:r>
        <w:rPr>
          <w:rFonts w:ascii="黑体" w:hAnsi="黑体" w:cs="黑体" w:hint="eastAsia" w:eastAsia="黑体"/>
          <w:b w:val="false"/>
          <w:bCs w:val="false"/>
          <w:color w:val="000000"/>
          <w:sz w:val="32"/>
          <w:szCs w:val="32"/>
        </w:rPr>
        <w:t xml:space="preserve">第五条 </w:t>
      </w:r>
      <w:r>
        <w:rPr>
          <w:rFonts w:ascii="仿宋" w:hAnsi="仿宋" w:cs="仿宋" w:hint="eastAsia" w:eastAsia="仿宋_GB2312"/>
          <w:bCs/>
          <w:color w:val="000000"/>
          <w:sz w:val="32"/>
          <w:szCs w:val="32"/>
        </w:rPr>
        <w:t>县级以上人民政府应当将老龄事业纳入国民经济和社会发展规划，</w:t>
      </w:r>
      <w:r>
        <w:rPr>
          <w:rFonts w:ascii="仿宋" w:hAnsi="仿宋" w:cs="仿宋" w:hint="eastAsia" w:eastAsia="仿宋_GB2312"/>
          <w:b w:val="false"/>
          <w:bCs/>
          <w:color w:val="000000"/>
          <w:sz w:val="32"/>
          <w:szCs w:val="32"/>
          <w:u w:val="none"/>
        </w:rPr>
        <w:t>制定本行政区域的老龄事业发展规划和年度计划，</w:t>
      </w:r>
      <w:r>
        <w:rPr>
          <w:rFonts w:ascii="仿宋" w:hAnsi="仿宋" w:cs="仿宋" w:hint="eastAsia" w:eastAsia="仿宋_GB2312"/>
          <w:bCs/>
          <w:color w:val="000000"/>
          <w:sz w:val="32"/>
          <w:szCs w:val="32"/>
        </w:rPr>
        <w:t>鼓励支持社会力量参与养老服务，加大监管力度，将老龄事业经费列入本级财政预算，建立与经济社会发展水平和老龄化程度相适应的经费保障机制，并在福利彩票公益金留成部分中安排一定比例的资金用于养老服务事业。</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highlight w:val="none"/>
        </w:rPr>
      </w:pPr>
      <w:r>
        <w:rPr>
          <w:rFonts w:ascii="仿宋" w:hAnsi="仿宋" w:cs="仿宋" w:hint="eastAsia" w:eastAsia="仿宋_GB2312"/>
          <w:bCs/>
          <w:color w:val="000000"/>
          <w:sz w:val="32"/>
          <w:szCs w:val="32"/>
        </w:rPr>
        <w:t>乡镇人民政府、街道办事处负责本辖区老龄工作的组织和落实，并确定专门人员负责老龄工作。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val="false"/>
          <w:bCs/>
          <w:color w:val="000000"/>
          <w:sz w:val="32"/>
          <w:szCs w:val="32"/>
          <w:u w:val="none"/>
        </w:rPr>
      </w:pPr>
      <w:r>
        <w:rPr>
          <w:rFonts w:ascii="黑体" w:hAnsi="黑体" w:cs="黑体" w:hint="eastAsia" w:eastAsia="黑体"/>
          <w:b w:val="false"/>
          <w:bCs w:val="false"/>
          <w:color w:val="000000"/>
          <w:sz w:val="32"/>
          <w:szCs w:val="32"/>
        </w:rPr>
        <w:t>第六条</w:t>
      </w:r>
      <w:r>
        <w:rPr>
          <w:rFonts w:ascii="仿宋" w:hAnsi="仿宋" w:cs="仿宋" w:hint="eastAsia" w:eastAsia="仿宋_GB2312"/>
          <w:b/>
          <w:bCs/>
          <w:color w:val="000000"/>
          <w:sz w:val="32"/>
          <w:szCs w:val="32"/>
        </w:rPr>
        <w:t xml:space="preserve"> </w:t>
      </w:r>
      <w:r>
        <w:rPr>
          <w:rFonts w:ascii="仿宋" w:hAnsi="仿宋" w:cs="仿宋" w:hint="eastAsia" w:eastAsia="仿宋_GB2312"/>
          <w:b w:val="false"/>
          <w:bCs/>
          <w:color w:val="000000"/>
          <w:sz w:val="32"/>
          <w:szCs w:val="32"/>
          <w:u w:val="none"/>
        </w:rPr>
        <w:t>县级以上老龄工作委员会统筹协调本行政区域内老龄工作。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val="false"/>
          <w:bCs/>
          <w:color w:val="000000"/>
          <w:sz w:val="32"/>
          <w:szCs w:val="32"/>
          <w:u w:val="none"/>
        </w:rPr>
      </w:pPr>
      <w:r>
        <w:rPr>
          <w:rFonts w:ascii="仿宋" w:hAnsi="仿宋" w:cs="仿宋" w:hint="eastAsia" w:eastAsia="仿宋_GB2312"/>
          <w:b w:val="false"/>
          <w:bCs/>
          <w:color w:val="000000"/>
          <w:sz w:val="32"/>
          <w:szCs w:val="32"/>
          <w:u w:val="none"/>
        </w:rPr>
        <w:t>县级以上人民政府卫生健康部门承担老龄工作委员会的日常工作，督查老龄工作委员会决定事项的落实情况。</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val="false"/>
          <w:bCs/>
          <w:color w:val="000000"/>
          <w:sz w:val="32"/>
          <w:szCs w:val="32"/>
          <w:u w:val="none"/>
        </w:rPr>
      </w:pPr>
      <w:r>
        <w:rPr>
          <w:rFonts w:ascii="仿宋" w:hAnsi="仿宋" w:cs="仿宋" w:hint="eastAsia" w:eastAsia="仿宋_GB2312"/>
          <w:b w:val="false"/>
          <w:bCs/>
          <w:color w:val="000000"/>
          <w:sz w:val="32"/>
          <w:szCs w:val="32"/>
          <w:u w:val="none"/>
        </w:rPr>
        <w:t>县级以上人民政府发展改革、民政、医疗保障、人力资源和社会保障、教育、住房和城乡建设等</w:t>
      </w:r>
      <w:r>
        <w:rPr>
          <w:rFonts w:ascii="仿宋" w:hAnsi="仿宋" w:cs="仿宋" w:hint="eastAsia" w:eastAsia="仿宋_GB2312"/>
          <w:b w:val="false"/>
          <w:bCs/>
          <w:color w:val="000000"/>
          <w:sz w:val="32"/>
          <w:szCs w:val="32"/>
          <w:u w:val="none"/>
          <w:lang w:eastAsia="zh-CN"/>
        </w:rPr>
        <w:t>有关</w:t>
      </w:r>
      <w:r>
        <w:rPr>
          <w:rFonts w:ascii="仿宋" w:hAnsi="仿宋" w:cs="仿宋" w:hint="eastAsia" w:eastAsia="仿宋_GB2312"/>
          <w:b w:val="false"/>
          <w:bCs/>
          <w:color w:val="000000"/>
          <w:sz w:val="32"/>
          <w:szCs w:val="32"/>
          <w:u w:val="none"/>
        </w:rPr>
        <w:t>部门按照各自职责，做好老年人权益保障工作。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第七条</w:t>
      </w:r>
      <w:r>
        <w:rPr>
          <w:rFonts w:ascii="仿宋" w:hAnsi="仿宋" w:cs="仿宋" w:hint="eastAsia" w:eastAsia="仿宋_GB2312"/>
          <w:b/>
          <w:bCs/>
          <w:color w:val="000000"/>
          <w:sz w:val="32"/>
          <w:szCs w:val="32"/>
        </w:rPr>
        <w:t xml:space="preserve"> </w:t>
      </w:r>
      <w:r>
        <w:rPr>
          <w:rFonts w:ascii="仿宋" w:hAnsi="仿宋" w:cs="仿宋" w:hint="eastAsia" w:eastAsia="仿宋_GB2312"/>
          <w:b w:val="false"/>
          <w:bCs/>
          <w:color w:val="000000"/>
          <w:sz w:val="32"/>
          <w:szCs w:val="32"/>
          <w:u w:val="none"/>
        </w:rPr>
        <w:t>工会、共青团、妇联</w:t>
      </w:r>
      <w:r>
        <w:rPr>
          <w:rFonts w:ascii="仿宋" w:hAnsi="仿宋" w:cs="仿宋" w:hint="eastAsia" w:eastAsia="仿宋_GB2312"/>
          <w:bCs/>
          <w:color w:val="000000"/>
          <w:sz w:val="32"/>
          <w:szCs w:val="32"/>
        </w:rPr>
        <w:t>、残联等社会团体和企事业单位应当按照各自职责做好老年人权益保障工作。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val="false"/>
          <w:bCs w:val="false"/>
          <w:color w:val="000000"/>
          <w:sz w:val="32"/>
          <w:szCs w:val="32"/>
          <w:u w:val="none"/>
          <w:shd w:fill="auto" w:val="clear"/>
        </w:rPr>
      </w:pPr>
      <w:r>
        <w:rPr>
          <w:rFonts w:ascii="仿宋" w:hAnsi="仿宋" w:cs="仿宋" w:hint="eastAsia" w:eastAsia="仿宋_GB2312"/>
          <w:bCs/>
          <w:color w:val="000000"/>
          <w:sz w:val="32"/>
          <w:szCs w:val="32"/>
        </w:rPr>
        <w:t>村民委员会、居民委员会应当协助开展互助养老、</w:t>
      </w:r>
      <w:r>
        <w:rPr>
          <w:rFonts w:ascii="仿宋" w:hAnsi="仿宋" w:cs="仿宋" w:hint="eastAsia" w:eastAsia="仿宋_GB2312"/>
          <w:b w:val="false"/>
          <w:bCs w:val="false"/>
          <w:color w:val="000000"/>
          <w:sz w:val="32"/>
          <w:szCs w:val="32"/>
          <w:u w:val="none"/>
          <w:shd w:fill="auto" w:val="clear"/>
        </w:rPr>
        <w:t>为老志愿服务和文化娱乐、体育活动，调解老年人纠纷，维护老年人合法权益。</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rPr>
      </w:pPr>
      <w:r>
        <w:rPr>
          <w:rFonts w:ascii="仿宋" w:hAnsi="仿宋" w:cs="仿宋" w:hint="eastAsia" w:eastAsia="仿宋_GB2312"/>
          <w:bCs/>
          <w:color w:val="000000"/>
          <w:sz w:val="32"/>
          <w:szCs w:val="32"/>
        </w:rPr>
        <w:t>鼓励老年人组织、志愿服务组织和其他社会组织参与发展老龄事业，为老年人服务。</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bCs/>
          <w:color w:val="000000"/>
          <w:sz w:val="32"/>
          <w:szCs w:val="32"/>
          <w:u w:val="none"/>
        </w:rPr>
      </w:pPr>
      <w:r>
        <w:rPr>
          <w:rFonts w:ascii="黑体" w:hAnsi="黑体" w:cs="黑体" w:hint="eastAsia" w:eastAsia="黑体"/>
          <w:b w:val="false"/>
          <w:bCs w:val="false"/>
          <w:color w:val="000000"/>
          <w:sz w:val="32"/>
          <w:szCs w:val="32"/>
        </w:rPr>
        <w:t>第八条</w:t>
      </w:r>
      <w:r>
        <w:rPr>
          <w:rFonts w:ascii="仿宋" w:hAnsi="仿宋" w:cs="仿宋" w:hint="eastAsia" w:eastAsia="仿宋_GB2312"/>
          <w:b/>
          <w:bCs w:val="false"/>
          <w:color w:val="000000"/>
          <w:sz w:val="32"/>
          <w:szCs w:val="32"/>
          <w:u w:val="none"/>
        </w:rPr>
        <w:t xml:space="preserve"> </w:t>
      </w:r>
      <w:r>
        <w:rPr>
          <w:rFonts w:ascii="仿宋" w:hAnsi="仿宋" w:cs="仿宋" w:hint="eastAsia" w:eastAsia="仿宋_GB2312"/>
          <w:b w:val="false"/>
          <w:bCs/>
          <w:color w:val="000000"/>
          <w:sz w:val="32"/>
          <w:szCs w:val="32"/>
          <w:u w:val="none"/>
        </w:rPr>
        <w:t>县级以上人民政府</w:t>
      </w:r>
      <w:r>
        <w:rPr>
          <w:rFonts w:ascii="仿宋" w:hAnsi="仿宋" w:cs="仿宋" w:hint="eastAsia" w:eastAsia="仿宋_GB2312"/>
          <w:b w:val="false"/>
          <w:bCs/>
          <w:color w:val="000000"/>
          <w:sz w:val="32"/>
          <w:szCs w:val="32"/>
          <w:u w:val="none"/>
          <w:lang w:eastAsia="zh-CN"/>
        </w:rPr>
        <w:t>有关</w:t>
      </w:r>
      <w:r>
        <w:rPr>
          <w:rFonts w:ascii="仿宋" w:hAnsi="仿宋" w:cs="仿宋" w:hint="eastAsia" w:eastAsia="仿宋_GB2312"/>
          <w:b w:val="false"/>
          <w:bCs/>
          <w:color w:val="000000"/>
          <w:sz w:val="32"/>
          <w:szCs w:val="32"/>
          <w:u w:val="none"/>
        </w:rPr>
        <w:t>部门应当开展经常性的老年人权益保障宣传教育，普及老年人权益保障法律、法规、政策和个人信息安全、投资消费安全、健康保健等相关知识。</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bCs/>
          <w:color w:val="000000"/>
          <w:sz w:val="32"/>
          <w:szCs w:val="32"/>
          <w:u w:val="none"/>
        </w:rPr>
      </w:pPr>
      <w:r>
        <w:rPr>
          <w:rFonts w:ascii="仿宋" w:hAnsi="仿宋" w:cs="仿宋" w:hint="eastAsia" w:eastAsia="仿宋_GB2312"/>
          <w:b w:val="false"/>
          <w:bCs/>
          <w:color w:val="000000"/>
          <w:sz w:val="32"/>
          <w:szCs w:val="32"/>
          <w:u w:val="none"/>
        </w:rPr>
        <w:t>新闻媒体应当积极开展老年人权益保障公益宣传，为老年人服务。</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bCs w:val="false"/>
          <w:color w:val="000000"/>
          <w:sz w:val="32"/>
          <w:szCs w:val="32"/>
          <w:u w:val="none"/>
        </w:rPr>
      </w:pPr>
      <w:r>
        <w:rPr>
          <w:rFonts w:ascii="黑体" w:hAnsi="黑体" w:cs="黑体" w:hint="eastAsia" w:eastAsia="黑体"/>
          <w:b w:val="false"/>
          <w:bCs w:val="false"/>
          <w:color w:val="000000"/>
          <w:sz w:val="32"/>
          <w:szCs w:val="32"/>
        </w:rPr>
        <w:t xml:space="preserve">第九条 </w:t>
      </w:r>
      <w:r>
        <w:rPr>
          <w:rFonts w:ascii="仿宋" w:hAnsi="仿宋" w:cs="仿宋" w:hint="eastAsia" w:eastAsia="仿宋_GB2312"/>
          <w:b w:val="false"/>
          <w:bCs/>
          <w:color w:val="000000"/>
          <w:sz w:val="32"/>
          <w:szCs w:val="32"/>
          <w:u w:val="none"/>
        </w:rPr>
        <w:t>县级以上人民政府应当加强老龄工作信息化建设，推动老年人基本情况统计、老年人优待维权、养老服务业发展等方面的大数据应用，实现涉及老年人的人口、保障、服务、信用等基础信息跨领域、跨</w:t>
      </w:r>
      <w:r>
        <w:rPr>
          <w:rFonts w:ascii="仿宋" w:hAnsi="仿宋" w:cs="仿宋" w:hint="eastAsia" w:eastAsia="仿宋_GB2312"/>
          <w:bCs/>
          <w:color w:val="000000"/>
          <w:sz w:val="32"/>
          <w:szCs w:val="32"/>
        </w:rPr>
        <w:t>部</w:t>
      </w:r>
      <w:r>
        <w:rPr>
          <w:rFonts w:ascii="仿宋" w:hAnsi="仿宋" w:cs="仿宋" w:hint="eastAsia" w:eastAsia="仿宋_GB2312"/>
          <w:b w:val="false"/>
          <w:bCs/>
          <w:color w:val="000000"/>
          <w:sz w:val="32"/>
          <w:szCs w:val="32"/>
          <w:u w:val="none"/>
        </w:rPr>
        <w:t>门、跨层级互联共享。</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第十条 </w:t>
      </w:r>
      <w:r>
        <w:rPr>
          <w:rFonts w:ascii="仿宋" w:hAnsi="仿宋" w:cs="仿宋" w:hint="eastAsia" w:eastAsia="仿宋_GB2312"/>
          <w:color w:val="000000"/>
          <w:sz w:val="32"/>
          <w:szCs w:val="32"/>
        </w:rPr>
        <w:t>每年农历九月为敬老月，</w:t>
      </w:r>
      <w:r>
        <w:rPr>
          <w:rFonts w:ascii="仿宋" w:hAnsi="仿宋" w:cs="仿宋" w:hint="eastAsia" w:eastAsia="仿宋_GB2312"/>
          <w:bCs/>
          <w:color w:val="000000"/>
          <w:sz w:val="32"/>
          <w:szCs w:val="32"/>
        </w:rPr>
        <w:t>农历九</w:t>
      </w:r>
      <w:r>
        <w:rPr>
          <w:rFonts w:ascii="仿宋" w:hAnsi="仿宋" w:cs="仿宋" w:hint="eastAsia" w:eastAsia="仿宋_GB2312"/>
          <w:color w:val="000000"/>
          <w:sz w:val="32"/>
          <w:szCs w:val="32"/>
        </w:rPr>
        <w:t>月初九为老年节。</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rPr>
      </w:pPr>
      <w:r>
        <w:rPr>
          <w:rFonts w:ascii="仿宋" w:hAnsi="仿宋" w:cs="仿宋" w:hint="eastAsia" w:eastAsia="仿宋_GB2312"/>
          <w:bCs/>
          <w:color w:val="000000"/>
          <w:sz w:val="32"/>
          <w:szCs w:val="32"/>
        </w:rPr>
        <w:t>敬老月期间，国家机关、社会团体、企事业单位和其他组织应当开展敬老、助老活动。</w:t>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仿宋" w:hAnsi="仿宋" w:eastAsia="仿宋_GB2312" w:cs="仿宋" w:hint="eastAsia"/>
          <w:bCs/>
          <w:color w:val="000000"/>
          <w:sz w:val="32"/>
          <w:szCs w:val="32"/>
        </w:rPr>
      </w:pPr>
      <w:r>
        <w:rPr>
          <w:rFonts w:eastAsia="仿宋_GB2312" w:cs="仿宋" w:hint="eastAsia" w:ascii="仿宋" w:hAnsi="仿宋"/>
          <w:bCs/>
          <w:color w:val="000000"/>
          <w:sz w:val="32"/>
          <w:szCs w:val="32"/>
        </w:rPr>
      </w:r>
    </w:p>
    <w:p>
      <w:pPr>
        <w:pStyle w:val="Normal"/>
        <w:keepNext w:val="false"/>
        <w:keepLines w:val="false"/>
        <w:pageBreakBefore w:val="false"/>
        <w:widowControl/>
        <w:numPr>
          <w:ilvl w:val="0"/>
          <w:numId w:val="2"/>
        </w:numPr>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家庭赡养与扶养</w:t>
      </w:r>
    </w:p>
    <w:p>
      <w:pPr>
        <w:pStyle w:val="Lis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hanging="0" w:start="0"/>
        <w:jc w:val="both"/>
        <w:textAlignment w:val="auto"/>
        <w:rPr>
          <w:rFonts w:ascii="仿宋" w:hAnsi="仿宋" w:eastAsia="仿宋_GB2312" w:cs="仿宋"/>
          <w:bCs/>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第十一条 </w:t>
      </w:r>
      <w:r>
        <w:rPr>
          <w:rFonts w:ascii="仿宋" w:hAnsi="仿宋" w:cs="仿宋" w:hint="eastAsia" w:eastAsia="仿宋_GB2312"/>
          <w:b w:val="false"/>
          <w:bCs/>
          <w:color w:val="000000"/>
          <w:sz w:val="32"/>
          <w:szCs w:val="32"/>
          <w:u w:val="none"/>
        </w:rPr>
        <w:t>赡养人应当依法履行赡养义务，不得以放弃继承权、老年人离婚或</w:t>
      </w:r>
      <w:r>
        <w:rPr>
          <w:rFonts w:ascii="仿宋" w:hAnsi="仿宋" w:cs="仿宋" w:hint="eastAsia" w:eastAsia="仿宋_GB2312"/>
          <w:bCs/>
          <w:color w:val="000000"/>
          <w:sz w:val="32"/>
          <w:szCs w:val="32"/>
        </w:rPr>
        <w:t>者再婚以及其他理由拒绝履行赡养义务。</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b w:val="false"/>
          <w:bCs/>
          <w:color w:val="000000"/>
          <w:sz w:val="32"/>
          <w:szCs w:val="32"/>
          <w:u w:val="none"/>
        </w:rPr>
      </w:pPr>
      <w:r>
        <w:rPr>
          <w:rFonts w:ascii="仿宋" w:hAnsi="仿宋" w:cs="仿宋" w:hint="eastAsia" w:eastAsia="仿宋_GB2312"/>
          <w:bCs/>
          <w:color w:val="000000"/>
          <w:sz w:val="32"/>
          <w:szCs w:val="32"/>
        </w:rPr>
        <w:t>鼓励成年子女与老年父母就近居住或者</w:t>
      </w:r>
      <w:r>
        <w:rPr>
          <w:rFonts w:ascii="仿宋" w:hAnsi="仿宋" w:cs="仿宋" w:hint="eastAsia" w:eastAsia="仿宋_GB2312"/>
          <w:b w:val="false"/>
          <w:bCs/>
          <w:color w:val="000000"/>
          <w:sz w:val="32"/>
          <w:szCs w:val="32"/>
          <w:u w:val="none"/>
        </w:rPr>
        <w:t>共同生活，履行赡养义务、承担照料责任。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第十二条</w:t>
      </w:r>
      <w:r>
        <w:rPr>
          <w:rFonts w:ascii="仿宋" w:hAnsi="仿宋" w:cs="仿宋" w:hint="eastAsia" w:eastAsia="仿宋_GB2312"/>
          <w:b/>
          <w:bCs/>
          <w:color w:val="000000"/>
          <w:sz w:val="32"/>
          <w:szCs w:val="32"/>
        </w:rPr>
        <w:t xml:space="preserve"> </w:t>
      </w:r>
      <w:r>
        <w:rPr>
          <w:rFonts w:ascii="仿宋" w:hAnsi="仿宋" w:cs="仿宋" w:hint="eastAsia" w:eastAsia="仿宋_GB2312"/>
          <w:b w:val="false"/>
          <w:bCs/>
          <w:color w:val="000000"/>
          <w:sz w:val="32"/>
          <w:szCs w:val="32"/>
          <w:u w:val="none"/>
        </w:rPr>
        <w:t>赡养人应当履行</w:t>
      </w:r>
      <w:r>
        <w:rPr>
          <w:rFonts w:ascii="仿宋" w:hAnsi="仿宋" w:cs="仿宋" w:hint="eastAsia" w:eastAsia="仿宋_GB2312"/>
          <w:color w:val="000000"/>
          <w:sz w:val="32"/>
          <w:szCs w:val="32"/>
        </w:rPr>
        <w:t>对老年人的经济供养义务，保证老年人的正常生活需求。对单独居住的无经济收入或者低收入的老年人，赡养人应当按月或者按约定时间给付赡养费。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赡养人应当将代领或者代为管理的属于老年人的各种收入、政府补贴以及其他财产性收益全额交付老年人，或者在老年人授权下代为支付生活、医疗等费用。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11"/>
        <w:jc w:val="start"/>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第十三条 </w:t>
      </w:r>
      <w:r>
        <w:rPr>
          <w:rFonts w:ascii="仿宋" w:hAnsi="仿宋" w:cs="仿宋" w:hint="eastAsia" w:eastAsia="仿宋_GB2312"/>
          <w:color w:val="000000"/>
          <w:sz w:val="32"/>
          <w:szCs w:val="32"/>
        </w:rPr>
        <w:t>赡养人应当在生活上关心和照料被赡养的老年人。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对患病或者生活不能自理的老年人，赡养人应当承担照料和护理的责任；不能亲自照料的，可以按照老年人的意愿，或者有利于充分照顾老年人的原则，委托他人或者养老机构等照料、护理。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第十四条 </w:t>
      </w:r>
      <w:r>
        <w:rPr>
          <w:rFonts w:ascii="仿宋" w:hAnsi="仿宋" w:cs="仿宋" w:hint="eastAsia" w:eastAsia="仿宋_GB2312"/>
          <w:color w:val="000000"/>
          <w:sz w:val="32"/>
          <w:szCs w:val="32"/>
        </w:rPr>
        <w:t>家庭成员应当关心老年人的精神需求，关注老年人的心理健康。</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bCs/>
          <w:color w:val="000000"/>
          <w:sz w:val="32"/>
          <w:szCs w:val="32"/>
        </w:rPr>
      </w:pPr>
      <w:r>
        <w:rPr>
          <w:rFonts w:ascii="仿宋" w:hAnsi="仿宋" w:cs="仿宋" w:hint="eastAsia" w:eastAsia="仿宋_GB2312"/>
          <w:color w:val="000000"/>
          <w:sz w:val="32"/>
          <w:szCs w:val="32"/>
        </w:rPr>
        <w:t>对委托他人照料或者入住养老机构的老年人，赡养人应当定期看望。赡养人连续三个月未看望的，受委托的照料人或者养老机构可以向赡养人所在单位、居住地的村民委员会、居民委员会提出建议，收到建议的单位、村民委员会、居民委员会</w:t>
      </w:r>
      <w:r>
        <w:rPr>
          <w:rFonts w:ascii="仿宋" w:hAnsi="仿宋" w:cs="仿宋" w:hint="eastAsia" w:eastAsia="仿宋_GB2312"/>
          <w:bCs/>
          <w:color w:val="000000"/>
          <w:sz w:val="32"/>
          <w:szCs w:val="32"/>
        </w:rPr>
        <w:t>应当</w:t>
      </w:r>
      <w:r>
        <w:rPr>
          <w:rFonts w:ascii="仿宋" w:hAnsi="仿宋" w:cs="仿宋" w:hint="eastAsia" w:eastAsia="仿宋_GB2312"/>
          <w:bCs/>
          <w:color w:val="000000"/>
          <w:sz w:val="32"/>
          <w:szCs w:val="32"/>
          <w:lang w:eastAsia="zh-CN"/>
        </w:rPr>
        <w:t>在五个工作日内</w:t>
      </w:r>
      <w:r>
        <w:rPr>
          <w:rFonts w:ascii="仿宋" w:hAnsi="仿宋" w:cs="仿宋" w:hint="eastAsia" w:eastAsia="仿宋_GB2312"/>
          <w:bCs/>
          <w:color w:val="000000"/>
          <w:sz w:val="32"/>
          <w:szCs w:val="32"/>
        </w:rPr>
        <w:t>督促赡养人前往看望。</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第十五条</w:t>
      </w:r>
      <w:r>
        <w:rPr>
          <w:rFonts w:ascii="仿宋" w:hAnsi="仿宋" w:cs="仿宋" w:hint="eastAsia" w:eastAsia="仿宋_GB2312"/>
          <w:color w:val="000000"/>
          <w:sz w:val="32"/>
          <w:szCs w:val="32"/>
        </w:rPr>
        <w:t xml:space="preserve"> 老年人的婚姻自由不受干涉或者歧视。子女或者其他亲属不得因老年人离婚、再婚而强行索取、隐匿、扣压老年人的合法财产或者</w:t>
      </w:r>
      <w:r>
        <w:rPr>
          <w:rFonts w:ascii="仿宋" w:hAnsi="仿宋" w:cs="仿宋" w:hint="eastAsia" w:eastAsia="仿宋_GB2312"/>
          <w:color w:val="000000"/>
          <w:sz w:val="32"/>
          <w:szCs w:val="32"/>
          <w:lang w:eastAsia="zh-CN"/>
        </w:rPr>
        <w:t>有关</w:t>
      </w:r>
      <w:r>
        <w:rPr>
          <w:rFonts w:ascii="仿宋" w:hAnsi="仿宋" w:cs="仿宋" w:hint="eastAsia" w:eastAsia="仿宋_GB2312"/>
          <w:color w:val="000000"/>
          <w:sz w:val="32"/>
          <w:szCs w:val="32"/>
        </w:rPr>
        <w:t>证件。</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rPr>
        <w:t xml:space="preserve">第十六条 </w:t>
      </w:r>
      <w:r>
        <w:rPr>
          <w:rFonts w:ascii="仿宋" w:hAnsi="仿宋" w:cs="仿宋" w:hint="eastAsia" w:eastAsia="仿宋_GB2312"/>
          <w:color w:val="000000"/>
          <w:sz w:val="32"/>
          <w:szCs w:val="32"/>
          <w:u w:val="none"/>
        </w:rPr>
        <w:t>子女或者其他亲属不得违背老年人的意愿，擅自处分老年人的房屋产权、股权、土地承包经营权、土地使用权等权益。</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b w:val="false"/>
          <w:bCs/>
          <w:color w:val="000000"/>
          <w:sz w:val="32"/>
          <w:szCs w:val="32"/>
          <w:u w:val="none"/>
        </w:rPr>
      </w:pPr>
      <w:r>
        <w:rPr>
          <w:rFonts w:ascii="仿宋" w:hAnsi="仿宋" w:cs="仿宋" w:hint="eastAsia" w:eastAsia="仿宋_GB2312"/>
          <w:color w:val="000000"/>
          <w:sz w:val="32"/>
          <w:szCs w:val="32"/>
          <w:u w:val="none"/>
        </w:rPr>
        <w:t>子女或者其他亲属以老年人的名义向</w:t>
      </w:r>
      <w:r>
        <w:rPr>
          <w:rFonts w:ascii="仿宋" w:hAnsi="仿宋" w:cs="仿宋" w:hint="eastAsia" w:eastAsia="仿宋_GB2312"/>
          <w:color w:val="000000"/>
          <w:sz w:val="32"/>
          <w:szCs w:val="32"/>
          <w:u w:val="none"/>
          <w:lang w:eastAsia="zh-CN"/>
        </w:rPr>
        <w:t>有关</w:t>
      </w:r>
      <w:r>
        <w:rPr>
          <w:rFonts w:ascii="仿宋" w:hAnsi="仿宋" w:cs="仿宋" w:hint="eastAsia" w:eastAsia="仿宋_GB2312"/>
          <w:color w:val="000000"/>
          <w:sz w:val="32"/>
          <w:szCs w:val="32"/>
          <w:u w:val="none"/>
        </w:rPr>
        <w:t>部门、机构申请办理房屋产权、股权、土地承包经营权、土地使用权等权益的权属转移、变更登记，或者申请办理公证时，</w:t>
      </w:r>
      <w:r>
        <w:rPr>
          <w:rFonts w:ascii="仿宋" w:hAnsi="仿宋" w:cs="仿宋" w:hint="eastAsia" w:eastAsia="仿宋_GB2312"/>
          <w:color w:val="000000"/>
          <w:sz w:val="32"/>
          <w:szCs w:val="32"/>
          <w:u w:val="none"/>
          <w:lang w:eastAsia="zh-CN"/>
        </w:rPr>
        <w:t>有关</w:t>
      </w:r>
      <w:r>
        <w:rPr>
          <w:rFonts w:ascii="仿宋" w:hAnsi="仿宋" w:cs="仿宋" w:hint="eastAsia" w:eastAsia="仿宋_GB2312"/>
          <w:color w:val="000000"/>
          <w:sz w:val="32"/>
          <w:szCs w:val="32"/>
          <w:u w:val="none"/>
        </w:rPr>
        <w:t>部门和机构应当</w:t>
      </w:r>
      <w:r>
        <w:rPr>
          <w:rFonts w:ascii="仿宋" w:hAnsi="仿宋" w:cs="仿宋" w:hint="eastAsia" w:eastAsia="仿宋_GB2312"/>
          <w:b w:val="false"/>
          <w:bCs/>
          <w:color w:val="000000"/>
          <w:sz w:val="32"/>
          <w:szCs w:val="32"/>
          <w:u w:val="none"/>
        </w:rPr>
        <w:t>通过面谈、电话、视频</w:t>
      </w:r>
      <w:r>
        <w:rPr>
          <w:rFonts w:ascii="仿宋" w:hAnsi="仿宋" w:cs="仿宋" w:hint="eastAsia" w:eastAsia="仿宋_GB2312"/>
          <w:bCs/>
          <w:color w:val="000000"/>
          <w:sz w:val="32"/>
          <w:szCs w:val="32"/>
        </w:rPr>
        <w:t>或者书面</w:t>
      </w:r>
      <w:r>
        <w:rPr>
          <w:rFonts w:ascii="仿宋" w:hAnsi="仿宋" w:cs="仿宋" w:hint="eastAsia" w:eastAsia="仿宋_GB2312"/>
          <w:b w:val="false"/>
          <w:bCs/>
          <w:color w:val="000000"/>
          <w:sz w:val="32"/>
          <w:szCs w:val="32"/>
          <w:u w:val="none"/>
        </w:rPr>
        <w:t>等方式核实老年人的真实意思，依法办理并为老年人提供便利。</w:t>
      </w:r>
    </w:p>
    <w:p>
      <w:pPr>
        <w:pStyle w:val="Style14"/>
        <w:keepNext w:val="false"/>
        <w:keepLines w:val="false"/>
        <w:pageBreakBefore w:val="false"/>
        <w:kinsoku w:val="true"/>
        <w:overflowPunct w:val="true"/>
        <w:autoSpaceDE w:val="true"/>
        <w:bidi w:val="0"/>
        <w:snapToGrid w:val="true"/>
        <w:spacing w:lineRule="exact" w:line="560"/>
        <w:textAlignment w:val="auto"/>
        <w:rPr>
          <w:rFonts w:hint="eastAsia"/>
        </w:rPr>
      </w:pPr>
      <w:r>
        <w:rPr>
          <w:rFonts w:ascii="仿宋" w:hAnsi="仿宋" w:cs="仿宋" w:hint="eastAsia" w:eastAsia="仿宋_GB2312"/>
          <w:color w:val="000000"/>
          <w:sz w:val="32"/>
          <w:szCs w:val="32"/>
        </w:rPr>
        <w:t>与子女共同出资购买、建造的住房，老年人依法享有相应权利。</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 xml:space="preserve">第十七条 </w:t>
      </w:r>
      <w:r>
        <w:rPr>
          <w:rFonts w:ascii="仿宋" w:hAnsi="仿宋" w:cs="仿宋" w:hint="eastAsia" w:eastAsia="仿宋_GB2312"/>
          <w:color w:val="000000"/>
          <w:sz w:val="32"/>
          <w:szCs w:val="32"/>
        </w:rPr>
        <w:t>老年人与配偶有相互扶养的义务。有扶养能力的一方不履行扶养义务时，需要</w:t>
      </w:r>
      <w:r>
        <w:rPr>
          <w:rFonts w:ascii="仿宋" w:hAnsi="仿宋" w:cs="仿宋" w:hint="eastAsia" w:eastAsia="仿宋_GB2312"/>
          <w:bCs/>
          <w:color w:val="000000"/>
          <w:sz w:val="32"/>
          <w:szCs w:val="32"/>
        </w:rPr>
        <w:t xml:space="preserve">扶养的一方有权利要求对方履行扶养义务。 </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由兄、姐扶养的弟、妹成年后</w:t>
      </w:r>
      <w:r>
        <w:rPr>
          <w:rFonts w:ascii="方正黑体_GBK" w:hAnsi="方正黑体_GBK" w:cs="方正黑体_GBK" w:hint="eastAsia" w:eastAsia="方正黑体_GBK"/>
          <w:b w:val="false"/>
          <w:bCs w:val="false"/>
          <w:color w:val="000000"/>
          <w:sz w:val="32"/>
          <w:szCs w:val="32"/>
        </w:rPr>
        <w:t>，</w:t>
      </w:r>
      <w:r>
        <w:rPr>
          <w:rFonts w:ascii="仿宋" w:hAnsi="仿宋" w:cs="仿宋" w:hint="eastAsia" w:eastAsia="仿宋_GB2312"/>
          <w:color w:val="000000"/>
          <w:sz w:val="32"/>
          <w:szCs w:val="32"/>
        </w:rPr>
        <w:t>有负担能力的，对年老无赡养人的兄、姐有扶养义务。弟、妹不履行扶养义务时，需要扶养的兄、姐有权利要求其履行扶养义务。</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jc w:val="both"/>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社会保障与优待</w:t>
      </w:r>
    </w:p>
    <w:p>
      <w:pPr>
        <w:pStyle w:val="Lis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ind w:firstLine="707" w:end="0"/>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第十八条</w:t>
      </w:r>
      <w:r>
        <w:rPr>
          <w:rFonts w:ascii="仿宋" w:hAnsi="仿宋" w:cs="仿宋" w:hint="eastAsia" w:eastAsia="仿宋_GB2312"/>
          <w:b/>
          <w:bCs/>
          <w:color w:val="000000"/>
          <w:sz w:val="32"/>
          <w:szCs w:val="32"/>
        </w:rPr>
        <w:t xml:space="preserve"> </w:t>
      </w:r>
      <w:r>
        <w:rPr>
          <w:rFonts w:ascii="仿宋" w:hAnsi="仿宋" w:cs="仿宋" w:hint="eastAsia" w:eastAsia="仿宋_GB2312"/>
          <w:b w:val="false"/>
          <w:bCs/>
          <w:color w:val="000000"/>
          <w:sz w:val="32"/>
          <w:szCs w:val="32"/>
          <w:u w:val="none"/>
        </w:rPr>
        <w:t>县级以上人民政府</w:t>
      </w:r>
      <w:r>
        <w:rPr>
          <w:rFonts w:ascii="仿宋" w:hAnsi="仿宋" w:cs="仿宋" w:hint="eastAsia" w:eastAsia="仿宋_GB2312"/>
          <w:bCs/>
          <w:color w:val="000000"/>
          <w:sz w:val="32"/>
          <w:szCs w:val="32"/>
        </w:rPr>
        <w:t>应当依法建立健全社会保险、社会救助、社会福利等社会保障制度，保障老年人的基本生活、基本医疗和基本公共服务，根据本地区经济社会发展水平为老年人提供社会优待。</w:t>
      </w:r>
    </w:p>
    <w:p>
      <w:pPr>
        <w:pStyle w:val="Normal"/>
        <w:keepNext w:val="false"/>
        <w:keepLines w:val="false"/>
        <w:pageBreakBefore w:val="false"/>
        <w:kinsoku w:val="true"/>
        <w:overflowPunct w:val="true"/>
        <w:autoSpaceDE w:val="true"/>
        <w:bidi w:val="0"/>
        <w:snapToGrid w:val="true"/>
        <w:spacing w:lineRule="exact" w:line="560"/>
        <w:ind w:firstLine="707" w:end="0"/>
        <w:textAlignment w:val="auto"/>
        <w:rPr>
          <w:rFonts w:ascii="仿宋" w:hAnsi="仿宋" w:eastAsia="仿宋_GB2312" w:cs="仿宋"/>
          <w:color w:val="000000"/>
          <w:sz w:val="32"/>
          <w:szCs w:val="32"/>
        </w:rPr>
      </w:pPr>
      <w:r>
        <w:rPr>
          <w:rFonts w:ascii="黑体" w:hAnsi="黑体" w:cs="黑体" w:hint="eastAsia" w:eastAsia="黑体"/>
          <w:b w:val="false"/>
          <w:bCs w:val="false"/>
          <w:color w:val="000000"/>
          <w:sz w:val="32"/>
          <w:szCs w:val="32"/>
        </w:rPr>
        <w:t>第十九条</w:t>
      </w:r>
      <w:r>
        <w:rPr>
          <w:rFonts w:ascii="仿宋" w:hAnsi="仿宋" w:cs="仿宋" w:hint="eastAsia" w:eastAsia="仿宋_GB2312"/>
          <w:color w:val="000000"/>
          <w:sz w:val="32"/>
          <w:szCs w:val="32"/>
        </w:rPr>
        <w:t xml:space="preserve"> 任何单位和个人不得降低或者取消老年人享受的各项优惠服务或者优惠待遇，不得附加任何条件限制老年人享受各项优惠服务或者优惠待遇。</w:t>
      </w:r>
    </w:p>
    <w:p>
      <w:pPr>
        <w:pStyle w:val="Normal"/>
        <w:keepNext w:val="false"/>
        <w:keepLines w:val="false"/>
        <w:pageBreakBefore w:val="false"/>
        <w:kinsoku w:val="true"/>
        <w:overflowPunct w:val="true"/>
        <w:autoSpaceDE w:val="true"/>
        <w:bidi w:val="0"/>
        <w:snapToGrid w:val="true"/>
        <w:spacing w:lineRule="exact" w:line="560"/>
        <w:ind w:firstLine="707" w:end="0"/>
        <w:textAlignment w:val="auto"/>
        <w:rPr>
          <w:rFonts w:ascii="仿宋" w:hAnsi="仿宋" w:eastAsia="仿宋_GB2312" w:cs="仿宋" w:hint="eastAsia"/>
          <w:b w:val="false"/>
          <w:bCs/>
          <w:color w:val="000000"/>
          <w:sz w:val="32"/>
          <w:szCs w:val="32"/>
          <w:u w:val="none"/>
        </w:rPr>
      </w:pPr>
      <w:r>
        <w:rPr>
          <w:rFonts w:ascii="黑体" w:hAnsi="黑体" w:cs="黑体" w:hint="eastAsia" w:eastAsia="黑体"/>
          <w:b w:val="false"/>
          <w:bCs w:val="false"/>
          <w:color w:val="000000"/>
          <w:sz w:val="32"/>
          <w:szCs w:val="32"/>
        </w:rPr>
        <w:t>第二十条</w:t>
      </w:r>
      <w:r>
        <w:rPr>
          <w:rFonts w:ascii="仿宋" w:hAnsi="仿宋" w:cs="仿宋" w:hint="eastAsia" w:eastAsia="仿宋_GB2312"/>
          <w:b/>
          <w:bCs/>
          <w:color w:val="000000"/>
          <w:sz w:val="32"/>
          <w:szCs w:val="32"/>
        </w:rPr>
        <w:t xml:space="preserve"> </w:t>
      </w:r>
      <w:r>
        <w:rPr>
          <w:rFonts w:ascii="仿宋" w:hAnsi="仿宋" w:cs="仿宋" w:hint="eastAsia" w:eastAsia="仿宋_GB2312"/>
          <w:color w:val="000000"/>
          <w:sz w:val="32"/>
          <w:szCs w:val="32"/>
        </w:rPr>
        <w:t>老年人患病住院治疗或者生活不能自理的，实行子女护理假制度，子女所在单位应当给予护理假。</w:t>
      </w:r>
      <w:r>
        <w:rPr>
          <w:rFonts w:ascii="仿宋" w:hAnsi="仿宋" w:cs="仿宋" w:hint="eastAsia" w:eastAsia="仿宋_GB2312"/>
          <w:b w:val="false"/>
          <w:bCs/>
          <w:color w:val="000000"/>
          <w:sz w:val="32"/>
          <w:szCs w:val="32"/>
          <w:u w:val="none"/>
        </w:rPr>
        <w:t>独生子女的护理假每年累计不少于</w:t>
      </w:r>
      <w:r>
        <w:rPr>
          <w:rFonts w:ascii="仿宋" w:hAnsi="仿宋" w:cs="仿宋" w:hint="eastAsia" w:eastAsia="仿宋_GB2312"/>
          <w:bCs/>
          <w:color w:val="000000"/>
          <w:sz w:val="32"/>
          <w:szCs w:val="32"/>
        </w:rPr>
        <w:t>二十天。非独生子女的护理假每个子女每年累计不少于十天</w:t>
      </w:r>
      <w:r>
        <w:rPr>
          <w:rFonts w:ascii="仿宋" w:hAnsi="仿宋" w:cs="仿宋" w:hint="eastAsia" w:eastAsia="仿宋_GB2312"/>
          <w:b w:val="false"/>
          <w:bCs/>
          <w:color w:val="000000"/>
          <w:sz w:val="32"/>
          <w:szCs w:val="32"/>
          <w:u w:val="none"/>
        </w:rPr>
        <w:t>。</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仿宋" w:hAnsi="仿宋" w:cs="仿宋" w:hint="eastAsia" w:eastAsia="仿宋_GB2312"/>
          <w:color w:val="000000"/>
          <w:sz w:val="32"/>
          <w:szCs w:val="32"/>
          <w:u w:val="none"/>
        </w:rPr>
        <w:t>子女所在单位不得以年休假、探亲假等抵销护理假，不得改变护理假期间基本工资待遇。</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rPr>
        <w:t>第二十一条</w:t>
      </w:r>
      <w:r>
        <w:rPr>
          <w:rFonts w:ascii="仿宋" w:hAnsi="仿宋" w:cs="仿宋" w:hint="eastAsia" w:eastAsia="仿宋_GB2312"/>
          <w:color w:val="000000"/>
          <w:sz w:val="32"/>
          <w:szCs w:val="32"/>
          <w:u w:val="none"/>
        </w:rPr>
        <w:t xml:space="preserve"> 自治区应当按照国家</w:t>
      </w:r>
      <w:r>
        <w:rPr>
          <w:rFonts w:ascii="仿宋" w:hAnsi="仿宋" w:cs="仿宋" w:hint="eastAsia" w:eastAsia="仿宋_GB2312"/>
          <w:color w:val="000000"/>
          <w:sz w:val="32"/>
          <w:szCs w:val="32"/>
          <w:u w:val="none"/>
          <w:lang w:eastAsia="zh-CN"/>
        </w:rPr>
        <w:t>有关</w:t>
      </w:r>
      <w:r>
        <w:rPr>
          <w:rFonts w:ascii="仿宋" w:hAnsi="仿宋" w:cs="仿宋" w:hint="eastAsia" w:eastAsia="仿宋_GB2312"/>
          <w:color w:val="000000"/>
          <w:sz w:val="32"/>
          <w:szCs w:val="32"/>
          <w:u w:val="none"/>
        </w:rPr>
        <w:t>规定，逐步开展长期护理保障工作。</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仿宋" w:hAnsi="仿宋" w:cs="仿宋" w:hint="eastAsia" w:eastAsia="仿宋_GB2312"/>
          <w:color w:val="000000"/>
          <w:sz w:val="32"/>
          <w:szCs w:val="32"/>
          <w:u w:val="none"/>
        </w:rPr>
        <w:t>县级以上人民政府对经济困难的失能老年人根据其失能程度等情况给予适当的护理补贴，或者通过政府购买服务等方式提供访视、照料服务。</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仿宋" w:hAnsi="仿宋" w:cs="仿宋" w:hint="eastAsia" w:eastAsia="仿宋_GB2312"/>
          <w:color w:val="000000"/>
          <w:sz w:val="32"/>
          <w:szCs w:val="32"/>
          <w:u w:val="none"/>
        </w:rPr>
        <w:t>鼓励商业保险公司依照</w:t>
      </w:r>
      <w:r>
        <w:rPr>
          <w:rFonts w:ascii="仿宋" w:hAnsi="仿宋" w:cs="仿宋" w:hint="eastAsia" w:eastAsia="仿宋_GB2312"/>
          <w:color w:val="000000"/>
          <w:sz w:val="32"/>
          <w:szCs w:val="32"/>
          <w:u w:val="none"/>
          <w:lang w:eastAsia="zh-CN"/>
        </w:rPr>
        <w:t>有关</w:t>
      </w:r>
      <w:r>
        <w:rPr>
          <w:rFonts w:ascii="仿宋" w:hAnsi="仿宋" w:cs="仿宋" w:hint="eastAsia" w:eastAsia="仿宋_GB2312"/>
          <w:color w:val="000000"/>
          <w:sz w:val="32"/>
          <w:szCs w:val="32"/>
          <w:u w:val="none"/>
        </w:rPr>
        <w:t>规定开展针对老年人的商业养老保险、商业健康保险等相关业务。</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 xml:space="preserve">第二十二条 </w:t>
      </w:r>
      <w:r>
        <w:rPr>
          <w:rFonts w:ascii="仿宋" w:hAnsi="仿宋" w:cs="仿宋" w:hint="eastAsia" w:eastAsia="仿宋_GB2312"/>
          <w:bCs/>
          <w:color w:val="000000"/>
          <w:sz w:val="32"/>
          <w:szCs w:val="32"/>
        </w:rPr>
        <w:t>各级人民政府应当依照</w:t>
      </w:r>
      <w:r>
        <w:rPr>
          <w:rFonts w:ascii="仿宋" w:hAnsi="仿宋" w:cs="仿宋" w:hint="eastAsia" w:eastAsia="仿宋_GB2312"/>
          <w:bCs/>
          <w:color w:val="000000"/>
          <w:sz w:val="32"/>
          <w:szCs w:val="32"/>
          <w:lang w:eastAsia="zh-CN"/>
        </w:rPr>
        <w:t>有关</w:t>
      </w:r>
      <w:r>
        <w:rPr>
          <w:rFonts w:ascii="仿宋" w:hAnsi="仿宋" w:cs="仿宋" w:hint="eastAsia" w:eastAsia="仿宋_GB2312"/>
          <w:bCs/>
          <w:color w:val="000000"/>
          <w:sz w:val="32"/>
          <w:szCs w:val="32"/>
        </w:rPr>
        <w:t>规定统筹做好无劳动能力、无生活来源、无赡养人和扶养人，或者赡养人和扶养人确无赡养能力或者扶养能力的特困老年人供养或者救助工作。</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仿宋" w:hAnsi="仿宋" w:cs="仿宋" w:hint="eastAsia" w:eastAsia="仿宋_GB2312"/>
          <w:color w:val="000000"/>
          <w:sz w:val="32"/>
          <w:szCs w:val="32"/>
          <w:u w:val="none"/>
        </w:rPr>
        <w:t xml:space="preserve">供养救助标准由自治区或者州、市（地）人民政府（行政公署）确定，并建立动态调整机制。 </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rPr>
        <w:t>第二十三条</w:t>
      </w:r>
      <w:r>
        <w:rPr>
          <w:rFonts w:ascii="仿宋" w:hAnsi="仿宋" w:cs="仿宋" w:hint="eastAsia" w:eastAsia="仿宋_GB2312"/>
          <w:color w:val="000000"/>
          <w:sz w:val="32"/>
          <w:szCs w:val="32"/>
          <w:u w:val="none"/>
        </w:rPr>
        <w:t xml:space="preserve"> 六十五周岁以上的老年人持居民身份证可以享受下列优惠待遇： </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仿宋" w:hAnsi="仿宋" w:cs="仿宋" w:hint="eastAsia" w:eastAsia="仿宋_GB2312"/>
          <w:color w:val="000000"/>
          <w:sz w:val="32"/>
          <w:szCs w:val="32"/>
          <w:u w:val="none"/>
        </w:rPr>
        <w:t>（一）免费乘坐市内公交、地铁等公共交通工具；</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仿宋" w:hAnsi="仿宋" w:cs="仿宋" w:hint="eastAsia" w:eastAsia="仿宋_GB2312"/>
          <w:color w:val="000000"/>
          <w:sz w:val="32"/>
          <w:szCs w:val="32"/>
          <w:u w:val="none"/>
        </w:rPr>
        <w:t>（二）免收普通门诊挂号费；</w:t>
      </w:r>
    </w:p>
    <w:p>
      <w:pPr>
        <w:pStyle w:val="Normal"/>
        <w:keepNext w:val="false"/>
        <w:keepLines w:val="false"/>
        <w:pageBreakBefore w:val="false"/>
        <w:tabs>
          <w:tab w:val="clear" w:pos="420"/>
          <w:tab w:val="left" w:pos="735"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color w:val="000000"/>
          <w:sz w:val="32"/>
          <w:szCs w:val="32"/>
          <w:u w:val="none"/>
        </w:rPr>
      </w:pPr>
      <w:r>
        <w:rPr>
          <w:rFonts w:ascii="仿宋" w:hAnsi="仿宋" w:cs="仿宋" w:hint="eastAsia" w:eastAsia="仿宋_GB2312"/>
          <w:color w:val="000000"/>
          <w:sz w:val="32"/>
          <w:szCs w:val="32"/>
          <w:u w:val="none"/>
        </w:rPr>
        <w:t>（三）免费进入实行政府指导价的旅游景区；</w:t>
      </w:r>
    </w:p>
    <w:p>
      <w:pPr>
        <w:pStyle w:val="Style14"/>
        <w:keepNext w:val="false"/>
        <w:keepLines w:val="false"/>
        <w:pageBreakBefore w:val="false"/>
        <w:kinsoku w:val="true"/>
        <w:overflowPunct w:val="true"/>
        <w:autoSpaceDE w:val="true"/>
        <w:bidi w:val="0"/>
        <w:snapToGrid w:val="true"/>
        <w:spacing w:lineRule="exact" w:line="560"/>
        <w:textAlignment w:val="auto"/>
        <w:rPr>
          <w:rFonts w:ascii="方正黑体_GBK" w:hAnsi="方正黑体_GBK" w:eastAsia="方正黑体_GBK" w:cs="方正黑体_GBK" w:hint="eastAsia"/>
          <w:b w:val="false"/>
          <w:bCs/>
          <w:color w:val="000000"/>
          <w:kern w:val="0"/>
          <w:sz w:val="32"/>
          <w:szCs w:val="32"/>
          <w:u w:val="none"/>
          <w:shd w:fill="FFFFFF" w:val="clear"/>
          <w:lang w:bidi="ar"/>
        </w:rPr>
      </w:pPr>
      <w:r>
        <w:rPr>
          <w:rFonts w:ascii="仿宋" w:hAnsi="仿宋" w:cs="仿宋" w:hint="eastAsia" w:eastAsia="仿宋_GB2312"/>
          <w:b w:val="false"/>
          <w:bCs/>
          <w:color w:val="000000"/>
          <w:kern w:val="0"/>
          <w:sz w:val="32"/>
          <w:szCs w:val="32"/>
          <w:u w:val="none"/>
          <w:shd w:fill="FFFFFF" w:val="clear"/>
          <w:lang w:bidi="ar"/>
        </w:rPr>
        <w:t>（</w:t>
      </w:r>
      <w:r>
        <w:rPr>
          <w:rFonts w:ascii="仿宋" w:hAnsi="仿宋" w:cs="仿宋" w:hint="eastAsia" w:eastAsia="仿宋_GB2312"/>
          <w:b w:val="false"/>
          <w:bCs/>
          <w:color w:val="000000"/>
          <w:kern w:val="0"/>
          <w:sz w:val="32"/>
          <w:szCs w:val="32"/>
          <w:u w:val="none"/>
          <w:shd w:fill="FFFFFF" w:val="clear"/>
          <w:lang w:bidi="ar"/>
        </w:rPr>
        <w:t>四</w:t>
      </w:r>
      <w:r>
        <w:rPr>
          <w:rFonts w:ascii="仿宋" w:hAnsi="仿宋" w:cs="仿宋" w:hint="eastAsia" w:eastAsia="仿宋_GB2312"/>
          <w:b w:val="false"/>
          <w:bCs/>
          <w:color w:val="000000"/>
          <w:kern w:val="0"/>
          <w:sz w:val="32"/>
          <w:szCs w:val="32"/>
          <w:u w:val="none"/>
          <w:shd w:fill="FFFFFF" w:val="clear"/>
          <w:lang w:bidi="ar"/>
        </w:rPr>
        <w:t>）</w:t>
      </w:r>
      <w:r>
        <w:rPr>
          <w:rFonts w:ascii="仿宋" w:hAnsi="仿宋" w:cs="仿宋" w:hint="eastAsia" w:eastAsia="仿宋_GB2312"/>
          <w:b w:val="false"/>
          <w:bCs/>
          <w:color w:val="000000"/>
          <w:kern w:val="0"/>
          <w:sz w:val="32"/>
          <w:szCs w:val="32"/>
          <w:u w:val="none"/>
          <w:shd w:fill="FFFFFF" w:val="clear"/>
          <w:lang w:bidi="ar"/>
        </w:rPr>
        <w:t>免费使用收费的公共厕所</w:t>
      </w:r>
      <w:r>
        <w:rPr>
          <w:rFonts w:ascii="方正黑体_GBK" w:hAnsi="方正黑体_GBK" w:cs="方正黑体_GBK" w:hint="eastAsia" w:eastAsia="方正黑体_GBK"/>
          <w:b w:val="false"/>
          <w:bCs/>
          <w:color w:val="000000"/>
          <w:kern w:val="0"/>
          <w:sz w:val="32"/>
          <w:szCs w:val="32"/>
          <w:u w:val="none"/>
          <w:shd w:fill="FFFFFF" w:val="clear"/>
          <w:lang w:bidi="ar"/>
        </w:rPr>
        <w:t>；</w:t>
      </w:r>
    </w:p>
    <w:p>
      <w:pPr>
        <w:pStyle w:val="Normal"/>
        <w:keepNext w:val="false"/>
        <w:keepLines w:val="false"/>
        <w:pageBreakBefore w:val="false"/>
        <w:kinsoku w:val="true"/>
        <w:overflowPunct w:val="true"/>
        <w:autoSpaceDE w:val="true"/>
        <w:bidi w:val="0"/>
        <w:snapToGrid w:val="true"/>
        <w:spacing w:lineRule="exact" w:line="560"/>
        <w:textAlignment w:val="auto"/>
        <w:rPr/>
      </w:pPr>
      <w:r>
        <w:rPr>
          <w:rFonts w:eastAsia="方正黑体_GBK" w:cs="方正黑体_GBK" w:hint="eastAsia" w:ascii="方正黑体_GBK" w:hAnsi="方正黑体_GBK"/>
          <w:b w:val="false"/>
          <w:bCs/>
          <w:color w:val="000000"/>
          <w:kern w:val="0"/>
          <w:sz w:val="32"/>
          <w:szCs w:val="32"/>
          <w:u w:val="none"/>
          <w:shd w:fill="FFFFFF" w:val="clear"/>
          <w:lang w:bidi="ar"/>
        </w:rPr>
        <w:t xml:space="preserve">   </w:t>
      </w:r>
      <w:r>
        <w:rPr>
          <w:rFonts w:eastAsia="仿宋_GB2312" w:cs="仿宋" w:hint="eastAsia" w:ascii="仿宋" w:hAnsi="仿宋"/>
          <w:bCs/>
          <w:color w:val="000000"/>
          <w:kern w:val="2"/>
          <w:sz w:val="32"/>
          <w:szCs w:val="32"/>
        </w:rPr>
        <w:t xml:space="preserve"> </w:t>
      </w:r>
      <w:r>
        <w:rPr>
          <w:rFonts w:ascii="仿宋" w:hAnsi="仿宋" w:cs="仿宋" w:hint="eastAsia" w:eastAsia="仿宋_GB2312"/>
          <w:bCs/>
          <w:color w:val="000000"/>
          <w:kern w:val="2"/>
          <w:sz w:val="32"/>
          <w:szCs w:val="32"/>
        </w:rPr>
        <w:t>（五）依</w:t>
      </w:r>
      <w:r>
        <w:rPr>
          <w:rFonts w:ascii="仿宋" w:hAnsi="仿宋" w:cs="仿宋" w:hint="eastAsia" w:eastAsia="仿宋_GB2312"/>
          <w:bCs/>
          <w:color w:val="000000"/>
          <w:sz w:val="32"/>
          <w:szCs w:val="32"/>
        </w:rPr>
        <w:t>据法律法规和有关规定可以享受的其他优惠待遇。</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val="false"/>
          <w:bCs/>
          <w:color w:val="000000"/>
          <w:sz w:val="32"/>
          <w:szCs w:val="32"/>
          <w:u w:val="none"/>
        </w:rPr>
      </w:pPr>
      <w:r>
        <w:rPr>
          <w:rFonts w:ascii="仿宋" w:hAnsi="仿宋" w:cs="仿宋" w:hint="eastAsia" w:eastAsia="仿宋_GB2312"/>
          <w:bCs/>
          <w:color w:val="000000"/>
          <w:kern w:val="2"/>
          <w:sz w:val="32"/>
          <w:szCs w:val="32"/>
          <w:lang w:eastAsia="zh-CN"/>
        </w:rPr>
        <w:t>六十周岁以上不满六十五</w:t>
      </w:r>
      <w:r>
        <w:rPr>
          <w:rFonts w:ascii="仿宋" w:hAnsi="仿宋" w:cs="仿宋" w:hint="eastAsia" w:eastAsia="仿宋_GB2312"/>
          <w:bCs/>
          <w:color w:val="000000"/>
          <w:kern w:val="2"/>
          <w:sz w:val="32"/>
          <w:szCs w:val="32"/>
        </w:rPr>
        <w:t>周岁</w:t>
      </w:r>
      <w:r>
        <w:rPr>
          <w:rFonts w:ascii="仿宋" w:hAnsi="仿宋" w:cs="仿宋" w:hint="eastAsia" w:eastAsia="仿宋_GB2312"/>
          <w:b w:val="false"/>
          <w:bCs/>
          <w:color w:val="000000"/>
          <w:sz w:val="32"/>
          <w:szCs w:val="32"/>
          <w:u w:val="none"/>
        </w:rPr>
        <w:t>的老年人在国际老人节和全国老年节免费进入实行政府指导价的旅游景区，其他时段半价优惠。</w:t>
      </w:r>
    </w:p>
    <w:p>
      <w:pPr>
        <w:pStyle w:val="Normal"/>
        <w:keepNext w:val="false"/>
        <w:keepLines w:val="false"/>
        <w:pageBreakBefore w:val="false"/>
        <w:widowControl/>
        <w:kinsoku w:val="true"/>
        <w:overflowPunct w:val="true"/>
        <w:autoSpaceDE w:val="true"/>
        <w:bidi w:val="0"/>
        <w:snapToGrid w:val="true"/>
        <w:spacing w:lineRule="exact" w:line="560" w:before="60" w:after="0"/>
        <w:ind w:firstLine="640" w:end="0"/>
        <w:jc w:val="start"/>
        <w:textAlignment w:val="auto"/>
        <w:rPr>
          <w:rFonts w:ascii="仿宋" w:hAnsi="仿宋" w:eastAsia="仿宋_GB2312" w:cs="仿宋" w:hint="eastAsia"/>
          <w:b w:val="false"/>
          <w:bCs/>
          <w:color w:val="000000"/>
          <w:sz w:val="32"/>
          <w:szCs w:val="32"/>
          <w:u w:val="none"/>
        </w:rPr>
      </w:pPr>
      <w:r>
        <w:rPr>
          <w:rFonts w:ascii="仿宋" w:hAnsi="仿宋" w:cs="仿宋" w:hint="eastAsia" w:eastAsia="仿宋_GB2312"/>
          <w:b w:val="false"/>
          <w:bCs/>
          <w:color w:val="000000"/>
          <w:sz w:val="32"/>
          <w:szCs w:val="32"/>
          <w:u w:val="none"/>
        </w:rPr>
        <w:t>八十周岁</w:t>
      </w:r>
      <w:r>
        <w:rPr>
          <w:rFonts w:ascii="仿宋" w:hAnsi="仿宋" w:cs="仿宋" w:hint="eastAsia" w:eastAsia="仿宋_GB2312"/>
          <w:bCs/>
          <w:color w:val="000000"/>
          <w:sz w:val="32"/>
          <w:szCs w:val="32"/>
        </w:rPr>
        <w:t>以上的</w:t>
      </w:r>
      <w:r>
        <w:rPr>
          <w:rFonts w:ascii="仿宋" w:hAnsi="仿宋" w:cs="仿宋" w:hint="eastAsia" w:eastAsia="仿宋_GB2312"/>
          <w:b w:val="false"/>
          <w:bCs/>
          <w:color w:val="000000"/>
          <w:sz w:val="32"/>
          <w:szCs w:val="32"/>
          <w:u w:val="none"/>
        </w:rPr>
        <w:t>老年人可以带一名陪护人员免费进入实行政府指导价的旅游景区。</w:t>
      </w:r>
    </w:p>
    <w:p>
      <w:pPr>
        <w:pStyle w:val="Normal"/>
        <w:keepNext w:val="false"/>
        <w:keepLines w:val="false"/>
        <w:pageBreakBefore w:val="false"/>
        <w:widowControl/>
        <w:kinsoku w:val="true"/>
        <w:overflowPunct w:val="true"/>
        <w:autoSpaceDE w:val="true"/>
        <w:bidi w:val="0"/>
        <w:snapToGrid w:val="true"/>
        <w:spacing w:lineRule="exact" w:line="560"/>
        <w:ind w:firstLine="641" w:end="0"/>
        <w:jc w:val="start"/>
        <w:textAlignment w:val="auto"/>
        <w:rPr>
          <w:rFonts w:ascii="仿宋" w:hAnsi="仿宋" w:eastAsia="仿宋_GB2312" w:cs="仿宋" w:hint="eastAsia"/>
          <w:b w:val="false"/>
          <w:bCs/>
          <w:color w:val="000000"/>
          <w:sz w:val="32"/>
          <w:szCs w:val="32"/>
          <w:u w:val="none"/>
        </w:rPr>
      </w:pPr>
      <w:r>
        <w:rPr>
          <w:rFonts w:ascii="黑体" w:hAnsi="黑体" w:cs="黑体" w:hint="eastAsia" w:eastAsia="黑体"/>
          <w:b w:val="false"/>
          <w:bCs w:val="false"/>
          <w:color w:val="000000"/>
          <w:sz w:val="32"/>
          <w:szCs w:val="32"/>
        </w:rPr>
        <w:t xml:space="preserve">第二十四条 </w:t>
      </w:r>
      <w:r>
        <w:rPr>
          <w:rFonts w:ascii="仿宋" w:hAnsi="仿宋" w:cs="仿宋" w:hint="eastAsia" w:eastAsia="仿宋_GB2312"/>
          <w:b w:val="false"/>
          <w:bCs/>
          <w:color w:val="000000"/>
          <w:kern w:val="0"/>
          <w:sz w:val="32"/>
          <w:szCs w:val="32"/>
          <w:shd w:fill="FFFFFF" w:val="clear"/>
          <w:lang w:bidi="ar"/>
        </w:rPr>
        <w:t>具有自治区户籍，年满八十周岁的老年人可享受高龄津贴</w:t>
      </w:r>
      <w:r>
        <w:rPr>
          <w:rFonts w:ascii="仿宋" w:hAnsi="仿宋" w:cs="仿宋" w:hint="eastAsia" w:eastAsia="仿宋_GB2312"/>
          <w:b w:val="false"/>
          <w:bCs/>
          <w:color w:val="000000"/>
          <w:kern w:val="0"/>
          <w:sz w:val="32"/>
          <w:szCs w:val="32"/>
          <w:shd w:fill="FFFFFF" w:val="clear"/>
          <w:lang w:bidi="ar"/>
        </w:rPr>
        <w:t>。</w:t>
      </w:r>
    </w:p>
    <w:p>
      <w:pPr>
        <w:pStyle w:val="Normal"/>
        <w:keepNext w:val="false"/>
        <w:keepLines w:val="false"/>
        <w:pageBreakBefore w:val="false"/>
        <w:widowControl/>
        <w:kinsoku w:val="true"/>
        <w:overflowPunct w:val="true"/>
        <w:autoSpaceDE w:val="true"/>
        <w:bidi w:val="0"/>
        <w:snapToGrid w:val="true"/>
        <w:spacing w:lineRule="exact" w:line="560"/>
        <w:ind w:firstLine="641" w:end="0"/>
        <w:jc w:val="both"/>
        <w:textAlignment w:val="auto"/>
        <w:rPr>
          <w:rFonts w:ascii="仿宋" w:hAnsi="仿宋" w:eastAsia="仿宋_GB2312" w:cs="仿宋" w:hint="eastAsia"/>
          <w:bCs/>
          <w:color w:val="000000"/>
          <w:kern w:val="0"/>
          <w:sz w:val="32"/>
          <w:szCs w:val="32"/>
          <w:shd w:fill="FFFFFF" w:val="clear"/>
          <w:lang w:bidi="ar"/>
        </w:rPr>
      </w:pPr>
      <w:r>
        <w:rPr>
          <w:rFonts w:ascii="仿宋" w:hAnsi="仿宋" w:cs="仿宋" w:hint="eastAsia" w:eastAsia="仿宋_GB2312"/>
          <w:b w:val="false"/>
          <w:bCs/>
          <w:color w:val="000000"/>
          <w:kern w:val="0"/>
          <w:sz w:val="32"/>
          <w:szCs w:val="32"/>
          <w:shd w:fill="FFFFFF" w:val="clear"/>
          <w:lang w:bidi="ar"/>
        </w:rPr>
        <w:t>自治区根据全区经济发展状况，适时调整高龄津贴发放标准。</w:t>
      </w:r>
      <w:r>
        <w:rPr>
          <w:rFonts w:ascii="仿宋" w:hAnsi="仿宋" w:cs="仿宋" w:hint="eastAsia" w:eastAsia="仿宋_GB2312"/>
          <w:b w:val="false"/>
          <w:bCs/>
          <w:color w:val="000000"/>
          <w:kern w:val="0"/>
          <w:sz w:val="32"/>
          <w:szCs w:val="32"/>
          <w:shd w:fill="FFFFFF" w:val="clear"/>
          <w:lang w:bidi="ar"/>
        </w:rPr>
        <w:t>州、市（地）人民政府（行政公署）</w:t>
      </w:r>
      <w:r>
        <w:rPr>
          <w:rFonts w:ascii="仿宋" w:hAnsi="仿宋" w:cs="仿宋" w:hint="eastAsia" w:eastAsia="仿宋_GB2312"/>
          <w:b w:val="false"/>
          <w:bCs/>
          <w:color w:val="000000"/>
          <w:kern w:val="0"/>
          <w:sz w:val="32"/>
          <w:szCs w:val="32"/>
          <w:shd w:fill="FFFFFF" w:val="clear"/>
          <w:lang w:bidi="ar"/>
        </w:rPr>
        <w:t>根据</w:t>
      </w:r>
      <w:r>
        <w:rPr>
          <w:rFonts w:ascii="仿宋" w:hAnsi="仿宋" w:cs="仿宋" w:hint="eastAsia" w:eastAsia="仿宋_GB2312"/>
          <w:b w:val="false"/>
          <w:bCs/>
          <w:color w:val="000000"/>
          <w:kern w:val="0"/>
          <w:sz w:val="32"/>
          <w:szCs w:val="32"/>
          <w:shd w:fill="FFFFFF" w:val="clear"/>
          <w:lang w:bidi="ar"/>
        </w:rPr>
        <w:t>本行政区域经济社会发展水平</w:t>
      </w:r>
      <w:r>
        <w:rPr>
          <w:rFonts w:ascii="仿宋" w:hAnsi="仿宋" w:cs="仿宋" w:hint="eastAsia" w:eastAsia="仿宋_GB2312"/>
          <w:b w:val="false"/>
          <w:bCs/>
          <w:color w:val="000000"/>
          <w:kern w:val="0"/>
          <w:sz w:val="32"/>
          <w:szCs w:val="32"/>
          <w:shd w:fill="FFFFFF" w:val="clear"/>
          <w:lang w:bidi="ar"/>
        </w:rPr>
        <w:t>，在不低于自治区高龄津贴发放标准的前提下，</w:t>
      </w:r>
      <w:r>
        <w:rPr>
          <w:rFonts w:ascii="仿宋" w:hAnsi="仿宋" w:cs="仿宋" w:hint="eastAsia" w:eastAsia="仿宋_GB2312"/>
          <w:b w:val="false"/>
          <w:bCs/>
          <w:color w:val="000000"/>
          <w:kern w:val="0"/>
          <w:sz w:val="32"/>
          <w:szCs w:val="32"/>
          <w:shd w:fill="FFFFFF" w:val="clear"/>
          <w:lang w:bidi="ar"/>
        </w:rPr>
        <w:t>可以</w:t>
      </w:r>
      <w:r>
        <w:rPr>
          <w:rFonts w:ascii="仿宋" w:hAnsi="仿宋" w:cs="仿宋" w:hint="eastAsia" w:eastAsia="仿宋_GB2312"/>
          <w:b w:val="false"/>
          <w:bCs/>
          <w:color w:val="000000"/>
          <w:kern w:val="0"/>
          <w:sz w:val="32"/>
          <w:szCs w:val="32"/>
          <w:shd w:fill="FFFFFF" w:val="clear"/>
          <w:lang w:bidi="ar"/>
        </w:rPr>
        <w:t>适当</w:t>
      </w:r>
      <w:r>
        <w:rPr>
          <w:rFonts w:ascii="仿宋" w:hAnsi="仿宋" w:cs="仿宋" w:hint="eastAsia" w:eastAsia="仿宋_GB2312"/>
          <w:b w:val="false"/>
          <w:bCs/>
          <w:color w:val="000000"/>
          <w:kern w:val="0"/>
          <w:sz w:val="32"/>
          <w:szCs w:val="32"/>
          <w:shd w:fill="FFFFFF" w:val="clear"/>
          <w:lang w:bidi="ar"/>
        </w:rPr>
        <w:t>提高</w:t>
      </w:r>
      <w:r>
        <w:rPr>
          <w:rFonts w:ascii="仿宋" w:hAnsi="仿宋" w:cs="仿宋" w:hint="eastAsia" w:eastAsia="仿宋_GB2312"/>
          <w:b w:val="false"/>
          <w:bCs/>
          <w:color w:val="000000"/>
          <w:kern w:val="0"/>
          <w:sz w:val="32"/>
          <w:szCs w:val="32"/>
          <w:shd w:fill="FFFFFF" w:val="clear"/>
          <w:lang w:bidi="ar"/>
        </w:rPr>
        <w:t>本</w:t>
      </w:r>
      <w:r>
        <w:rPr>
          <w:rFonts w:ascii="仿宋" w:hAnsi="仿宋" w:cs="仿宋" w:hint="eastAsia" w:eastAsia="仿宋_GB2312"/>
          <w:b w:val="false"/>
          <w:bCs/>
          <w:color w:val="000000"/>
          <w:kern w:val="0"/>
          <w:sz w:val="32"/>
          <w:szCs w:val="32"/>
          <w:shd w:fill="FFFFFF" w:val="clear"/>
          <w:lang w:bidi="ar"/>
        </w:rPr>
        <w:t>行政区域</w:t>
      </w:r>
      <w:r>
        <w:rPr>
          <w:rFonts w:ascii="仿宋" w:hAnsi="仿宋" w:cs="仿宋" w:hint="eastAsia" w:eastAsia="仿宋_GB2312"/>
          <w:b w:val="false"/>
          <w:bCs/>
          <w:color w:val="000000"/>
          <w:kern w:val="0"/>
          <w:sz w:val="32"/>
          <w:szCs w:val="32"/>
          <w:shd w:fill="FFFFFF" w:val="clear"/>
          <w:lang w:bidi="ar"/>
        </w:rPr>
        <w:t>高龄津贴发放标准。</w:t>
      </w:r>
    </w:p>
    <w:p>
      <w:pPr>
        <w:pStyle w:val="Normal"/>
        <w:keepNext w:val="false"/>
        <w:keepLines w:val="false"/>
        <w:pageBreakBefore w:val="false"/>
        <w:widowControl/>
        <w:kinsoku w:val="true"/>
        <w:overflowPunct w:val="true"/>
        <w:autoSpaceDE w:val="true"/>
        <w:bidi w:val="0"/>
        <w:snapToGrid w:val="true"/>
        <w:spacing w:lineRule="exact" w:line="560"/>
        <w:ind w:firstLine="641" w:end="0"/>
        <w:jc w:val="start"/>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 xml:space="preserve">第二十五条 </w:t>
      </w:r>
      <w:r>
        <w:rPr>
          <w:rFonts w:ascii="仿宋" w:hAnsi="仿宋" w:cs="仿宋" w:hint="eastAsia" w:eastAsia="仿宋_GB2312"/>
          <w:color w:val="000000"/>
          <w:kern w:val="0"/>
          <w:sz w:val="32"/>
          <w:szCs w:val="32"/>
        </w:rPr>
        <w:t>政务服务场所、城乡社区为民服务机构应当完善老年人服务设施，设置老年人优待标识，公布优待服务项目和内容</w:t>
      </w:r>
      <w:r>
        <w:rPr>
          <w:rFonts w:ascii="方正黑体_GBK" w:hAnsi="方正黑体_GBK" w:cs="方正黑体_GBK" w:hint="eastAsia" w:eastAsia="方正黑体_GBK"/>
          <w:color w:val="000000"/>
          <w:kern w:val="0"/>
          <w:sz w:val="32"/>
          <w:szCs w:val="32"/>
        </w:rPr>
        <w:t>，</w:t>
      </w:r>
      <w:r>
        <w:rPr>
          <w:rFonts w:ascii="仿宋" w:hAnsi="仿宋" w:cs="仿宋" w:hint="eastAsia" w:eastAsia="仿宋_GB2312"/>
          <w:bCs/>
          <w:color w:val="000000"/>
          <w:sz w:val="32"/>
          <w:szCs w:val="32"/>
        </w:rPr>
        <w:t>为老年人提供咨询引导、操作指导、优先办理等优待服务。</w:t>
      </w:r>
    </w:p>
    <w:p>
      <w:pPr>
        <w:pStyle w:val="Normal"/>
        <w:keepNext w:val="false"/>
        <w:keepLines w:val="false"/>
        <w:pageBreakBefore w:val="false"/>
        <w:widowControl/>
        <w:kinsoku w:val="true"/>
        <w:overflowPunct w:val="true"/>
        <w:autoSpaceDE w:val="true"/>
        <w:bidi w:val="0"/>
        <w:snapToGrid w:val="true"/>
        <w:spacing w:lineRule="exact" w:line="560"/>
        <w:ind w:firstLine="641" w:end="0"/>
        <w:jc w:val="start"/>
        <w:textAlignment w:val="auto"/>
        <w:rPr>
          <w:rFonts w:ascii="仿宋" w:hAnsi="仿宋" w:eastAsia="仿宋_GB2312" w:cs="仿宋" w:hint="eastAsia"/>
          <w:color w:val="000000"/>
          <w:kern w:val="0"/>
          <w:sz w:val="32"/>
          <w:szCs w:val="32"/>
        </w:rPr>
      </w:pPr>
      <w:r>
        <w:rPr>
          <w:rFonts w:ascii="仿宋" w:hAnsi="仿宋" w:cs="仿宋" w:hint="eastAsia" w:eastAsia="仿宋_GB2312"/>
          <w:color w:val="000000"/>
          <w:kern w:val="0"/>
          <w:sz w:val="32"/>
          <w:szCs w:val="32"/>
        </w:rPr>
        <w:t>供</w:t>
      </w:r>
      <w:r>
        <w:rPr>
          <w:rFonts w:ascii="仿宋" w:hAnsi="仿宋" w:cs="仿宋" w:hint="eastAsia" w:eastAsia="仿宋_GB2312"/>
          <w:bCs/>
          <w:color w:val="000000"/>
          <w:sz w:val="32"/>
          <w:szCs w:val="32"/>
        </w:rPr>
        <w:t>水、供电、</w:t>
      </w:r>
      <w:r>
        <w:rPr>
          <w:rFonts w:ascii="仿宋" w:hAnsi="仿宋" w:cs="仿宋" w:hint="eastAsia" w:eastAsia="仿宋_GB2312"/>
          <w:color w:val="000000"/>
          <w:kern w:val="0"/>
          <w:sz w:val="32"/>
          <w:szCs w:val="32"/>
        </w:rPr>
        <w:t>供气、供热、通讯、有线电视等服务行业，应当为老年人提供优先、便利服务。</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bCs/>
          <w:color w:val="000000"/>
          <w:sz w:val="32"/>
          <w:szCs w:val="32"/>
        </w:rPr>
      </w:pPr>
      <w:r>
        <w:rPr>
          <w:rFonts w:ascii="仿宋" w:hAnsi="仿宋" w:cs="仿宋" w:hint="eastAsia" w:eastAsia="仿宋_GB2312"/>
          <w:color w:val="000000"/>
          <w:kern w:val="0"/>
          <w:sz w:val="32"/>
          <w:szCs w:val="32"/>
        </w:rPr>
        <w:t>金融机构应当为老年</w:t>
      </w:r>
      <w:r>
        <w:rPr>
          <w:rFonts w:ascii="仿宋" w:hAnsi="仿宋" w:cs="仿宋" w:hint="eastAsia" w:eastAsia="仿宋_GB2312"/>
          <w:bCs/>
          <w:color w:val="000000"/>
          <w:sz w:val="32"/>
          <w:szCs w:val="32"/>
        </w:rPr>
        <w:t>人提供便捷服务，设置老年人优先窗口，对办理转账、汇款业务或者购买金融产品的老年人提示相应风险。鼓励金融机构对异地领取养老金的客户减免手续费。支持金融机构为老年人提供上门服务。</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kern w:val="0"/>
          <w:sz w:val="32"/>
          <w:szCs w:val="32"/>
        </w:rPr>
      </w:pPr>
      <w:r>
        <w:rPr>
          <w:rFonts w:ascii="仿宋" w:hAnsi="仿宋" w:cs="仿宋" w:hint="eastAsia" w:eastAsia="仿宋_GB2312"/>
          <w:bCs/>
          <w:color w:val="000000"/>
          <w:sz w:val="32"/>
          <w:szCs w:val="32"/>
        </w:rPr>
        <w:t>酒店、宾馆、飞机场、火车站、汽车站、地铁站</w:t>
      </w:r>
      <w:r>
        <w:rPr>
          <w:rFonts w:ascii="仿宋" w:hAnsi="仿宋" w:cs="仿宋" w:hint="eastAsia" w:eastAsia="仿宋_GB2312"/>
          <w:color w:val="000000"/>
          <w:kern w:val="0"/>
          <w:sz w:val="32"/>
          <w:szCs w:val="32"/>
        </w:rPr>
        <w:t xml:space="preserve">等公共场所应当为老年人设置专门服务设施，提供及时、便利、优质服务。 </w:t>
      </w:r>
    </w:p>
    <w:p>
      <w:pPr>
        <w:pStyle w:val="Normal"/>
        <w:keepNext w:val="false"/>
        <w:keepLines w:val="false"/>
        <w:pageBreakBefore w:val="false"/>
        <w:widowControl/>
        <w:kinsoku w:val="true"/>
        <w:overflowPunct w:val="true"/>
        <w:autoSpaceDE w:val="true"/>
        <w:bidi w:val="0"/>
        <w:snapToGrid w:val="true"/>
        <w:spacing w:lineRule="exact" w:line="560"/>
        <w:ind w:firstLine="641" w:end="0"/>
        <w:jc w:val="start"/>
        <w:textAlignment w:val="auto"/>
        <w:rPr>
          <w:rFonts w:ascii="仿宋" w:hAnsi="仿宋" w:eastAsia="仿宋_GB2312" w:cs="仿宋" w:hint="eastAsia"/>
          <w:color w:val="000000"/>
          <w:kern w:val="0"/>
          <w:sz w:val="32"/>
          <w:szCs w:val="32"/>
        </w:rPr>
      </w:pPr>
      <w:r>
        <w:rPr>
          <w:rFonts w:ascii="黑体" w:hAnsi="黑体" w:cs="黑体" w:hint="eastAsia" w:eastAsia="黑体"/>
          <w:b w:val="false"/>
          <w:bCs w:val="false"/>
          <w:color w:val="000000"/>
          <w:sz w:val="32"/>
          <w:szCs w:val="32"/>
        </w:rPr>
        <w:t xml:space="preserve">第二十六条 </w:t>
      </w:r>
      <w:r>
        <w:rPr>
          <w:rFonts w:ascii="仿宋" w:hAnsi="仿宋" w:cs="仿宋" w:hint="eastAsia" w:eastAsia="仿宋_GB2312"/>
          <w:color w:val="000000"/>
          <w:kern w:val="0"/>
          <w:sz w:val="32"/>
          <w:szCs w:val="32"/>
        </w:rPr>
        <w:t>公安机关、人民检察院、人民法院应当采取电话、网络、上门服务等形式，为老年人报案、参与诉讼等提供便利。</w:t>
      </w:r>
    </w:p>
    <w:p>
      <w:pPr>
        <w:pStyle w:val="Normal"/>
        <w:keepNext w:val="false"/>
        <w:keepLines w:val="false"/>
        <w:pageBreakBefore w:val="false"/>
        <w:widowControl/>
        <w:kinsoku w:val="true"/>
        <w:overflowPunct w:val="true"/>
        <w:autoSpaceDE w:val="true"/>
        <w:bidi w:val="0"/>
        <w:snapToGrid w:val="true"/>
        <w:spacing w:lineRule="exact" w:line="560"/>
        <w:ind w:firstLine="641" w:end="0"/>
        <w:jc w:val="start"/>
        <w:textAlignment w:val="auto"/>
        <w:rPr>
          <w:rFonts w:hint="eastAsia"/>
        </w:rPr>
      </w:pPr>
      <w:r>
        <w:rPr>
          <w:rFonts w:ascii="仿宋" w:hAnsi="仿宋" w:cs="仿宋" w:hint="eastAsia" w:eastAsia="仿宋_GB2312"/>
          <w:color w:val="000000"/>
          <w:kern w:val="0"/>
          <w:sz w:val="32"/>
          <w:szCs w:val="32"/>
        </w:rPr>
        <w:t xml:space="preserve">鼓励律师事务所、公证机构、基层法律服务机构为老年人减免法律服务费用，并为行动不便的老年人提供上门服务。 </w:t>
      </w:r>
    </w:p>
    <w:p>
      <w:pPr>
        <w:pStyle w:val="Normal"/>
        <w:keepNext w:val="false"/>
        <w:keepLines w:val="false"/>
        <w:pageBreakBefore w:val="false"/>
        <w:widowControl/>
        <w:kinsoku w:val="true"/>
        <w:overflowPunct w:val="true"/>
        <w:autoSpaceDE w:val="true"/>
        <w:bidi w:val="0"/>
        <w:snapToGrid w:val="true"/>
        <w:spacing w:lineRule="exact" w:line="560" w:before="156" w:after="156"/>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社会服务与宜居环境</w:t>
      </w:r>
    </w:p>
    <w:p>
      <w:pPr>
        <w:pStyle w:val="Lis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bCs/>
          <w:color w:val="FF0000"/>
          <w:sz w:val="32"/>
          <w:szCs w:val="32"/>
        </w:rPr>
      </w:pPr>
      <w:r>
        <w:rPr>
          <w:rFonts w:ascii="黑体" w:hAnsi="黑体" w:cs="黑体" w:hint="eastAsia" w:eastAsia="黑体"/>
          <w:b w:val="false"/>
          <w:bCs w:val="false"/>
          <w:color w:val="000000"/>
          <w:sz w:val="32"/>
          <w:szCs w:val="32"/>
        </w:rPr>
        <w:t>第二十七条</w:t>
      </w:r>
      <w:r>
        <w:rPr>
          <w:rFonts w:ascii="仿宋" w:hAnsi="仿宋" w:cs="仿宋" w:hint="eastAsia" w:eastAsia="仿宋_GB2312"/>
          <w:b/>
          <w:bCs/>
          <w:color w:val="000000"/>
          <w:sz w:val="32"/>
          <w:szCs w:val="32"/>
        </w:rPr>
        <w:t xml:space="preserve"> </w:t>
      </w:r>
      <w:r>
        <w:rPr>
          <w:rFonts w:ascii="仿宋" w:hAnsi="仿宋" w:cs="仿宋" w:hint="eastAsia" w:eastAsia="仿宋_GB2312"/>
          <w:color w:val="000000"/>
          <w:sz w:val="32"/>
          <w:szCs w:val="32"/>
        </w:rPr>
        <w:t>县级以上人民政府应当建立和完善居家社区机构相协调、医养康养相结合的养老服务体系。</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第二十八条</w:t>
      </w:r>
      <w:r>
        <w:rPr>
          <w:rFonts w:ascii="仿宋" w:hAnsi="仿宋" w:cs="仿宋" w:hint="eastAsia" w:eastAsia="仿宋_GB2312"/>
          <w:b/>
          <w:bCs/>
          <w:color w:val="000000"/>
          <w:sz w:val="32"/>
          <w:szCs w:val="32"/>
        </w:rPr>
        <w:t xml:space="preserve"> </w:t>
      </w:r>
      <w:r>
        <w:rPr>
          <w:rFonts w:ascii="仿宋" w:hAnsi="仿宋" w:cs="仿宋" w:hint="eastAsia" w:eastAsia="仿宋_GB2312"/>
          <w:color w:val="000000"/>
          <w:sz w:val="32"/>
          <w:szCs w:val="32"/>
        </w:rPr>
        <w:t>县级以上人民政府应当结合实际，制定基本养老服务清单。清单应当明确服务对象、服务内容、服务标准和支出责任，并根据经济社会发展和科技进步进行动态调整。</w:t>
      </w:r>
    </w:p>
    <w:p>
      <w:pPr>
        <w:pStyle w:val="Normal"/>
        <w:keepNext w:val="false"/>
        <w:keepLines w:val="false"/>
        <w:pageBreakBefore w:val="false"/>
        <w:widowControl/>
        <w:kinsoku w:val="true"/>
        <w:overflowPunct w:val="true"/>
        <w:autoSpaceDE w:val="true"/>
        <w:bidi w:val="0"/>
        <w:snapToGrid w:val="true"/>
        <w:spacing w:lineRule="exact" w:line="560" w:before="60" w:after="0"/>
        <w:ind w:firstLine="640" w:end="0"/>
        <w:jc w:val="both"/>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第二十九条</w:t>
      </w:r>
      <w:r>
        <w:rPr>
          <w:rFonts w:ascii="仿宋" w:hAnsi="仿宋" w:cs="仿宋" w:hint="eastAsia" w:eastAsia="仿宋_GB2312"/>
          <w:color w:val="000000"/>
          <w:sz w:val="32"/>
          <w:szCs w:val="32"/>
        </w:rPr>
        <w:t xml:space="preserve"> 县级以上人民政</w:t>
      </w:r>
      <w:r>
        <w:rPr>
          <w:rFonts w:ascii="仿宋" w:hAnsi="仿宋" w:cs="仿宋" w:hint="eastAsia" w:eastAsia="仿宋_GB2312"/>
          <w:bCs/>
          <w:color w:val="000000"/>
          <w:sz w:val="32"/>
          <w:szCs w:val="32"/>
        </w:rPr>
        <w:t>府和有关部门应当通过购买服务、委托运营的方式，为居家的老年</w:t>
      </w:r>
      <w:r>
        <w:rPr>
          <w:rFonts w:ascii="仿宋" w:hAnsi="仿宋" w:cs="仿宋" w:hint="eastAsia" w:eastAsia="仿宋_GB2312"/>
          <w:color w:val="000000"/>
          <w:sz w:val="32"/>
          <w:szCs w:val="32"/>
        </w:rPr>
        <w:t>人提供助餐、助洁、助浴、护理、托养等居家照料服务。</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鼓励慈善组织、志愿者为老年人提供服务。提倡结对帮扶、邻里互助和健康老年人帮助高龄、失能、患病老年人。</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cs="黑体" w:hint="eastAsia" w:eastAsia="黑体"/>
          <w:b w:val="false"/>
          <w:bCs w:val="false"/>
          <w:color w:val="000000"/>
          <w:sz w:val="32"/>
          <w:szCs w:val="32"/>
        </w:rPr>
        <w:t xml:space="preserve">第三十条 </w:t>
      </w:r>
      <w:r>
        <w:rPr>
          <w:rFonts w:ascii="仿宋" w:hAnsi="仿宋" w:cs="仿宋" w:hint="eastAsia" w:eastAsia="仿宋_GB2312"/>
          <w:color w:val="000000"/>
          <w:sz w:val="32"/>
          <w:szCs w:val="32"/>
        </w:rPr>
        <w:t>县级以上人民政府和有关部门可以通过直接建设、委托运营、购买服务、鼓励社会投资等方式发展机构养老。充分发挥公办及公建民营养老机构兜底保障作用。支持养老机构不区分经营性质，按照接收经济困难的高龄失能老年人数量情况同等享受运营补贴。建立健全养老服务标准和评价体系，加强对养老机构建设和运营的监督管理。</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 xml:space="preserve">第三十一条 </w:t>
      </w:r>
      <w:r>
        <w:rPr>
          <w:rFonts w:ascii="仿宋" w:hAnsi="仿宋" w:cs="仿宋" w:hint="eastAsia" w:eastAsia="仿宋_GB2312"/>
          <w:bCs/>
          <w:color w:val="000000"/>
          <w:sz w:val="32"/>
          <w:szCs w:val="32"/>
        </w:rPr>
        <w:t>县级以上人民政府应当将养老服务设施建设纳入国土空间规划，按照国家规定的标准，分区分级规划设置适合老年人需要的生活服务、文化娱乐、体育健康、日间照料、康复护理等养老服务设施。</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rPr>
      </w:pPr>
      <w:r>
        <w:rPr>
          <w:rFonts w:ascii="仿宋" w:hAnsi="仿宋" w:cs="仿宋" w:hint="eastAsia" w:eastAsia="仿宋_GB2312"/>
          <w:bCs/>
          <w:color w:val="000000"/>
          <w:sz w:val="32"/>
          <w:szCs w:val="32"/>
        </w:rPr>
        <w:t>新建</w:t>
      </w:r>
      <w:r>
        <w:rPr>
          <w:rFonts w:ascii="仿宋" w:hAnsi="仿宋" w:cs="仿宋" w:hint="eastAsia" w:eastAsia="仿宋_GB2312"/>
          <w:bCs/>
          <w:color w:val="000000"/>
          <w:sz w:val="32"/>
          <w:szCs w:val="32"/>
          <w:lang w:eastAsia="zh-CN"/>
        </w:rPr>
        <w:t>居</w:t>
      </w:r>
      <w:r>
        <w:rPr>
          <w:rFonts w:ascii="仿宋" w:hAnsi="仿宋" w:cs="仿宋" w:hint="eastAsia" w:eastAsia="仿宋_GB2312"/>
          <w:bCs/>
          <w:color w:val="000000"/>
          <w:sz w:val="32"/>
          <w:szCs w:val="32"/>
        </w:rPr>
        <w:t>住区，养老服务设施应当与住宅同步规划、同步建设、同步验收、同步交付使用。</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rPr>
      </w:pPr>
      <w:r>
        <w:rPr>
          <w:rFonts w:ascii="仿宋" w:hAnsi="仿宋" w:cs="仿宋" w:hint="eastAsia" w:eastAsia="仿宋_GB2312"/>
          <w:bCs/>
          <w:color w:val="000000"/>
          <w:sz w:val="32"/>
          <w:szCs w:val="32"/>
        </w:rPr>
        <w:t>已建成</w:t>
      </w:r>
      <w:r>
        <w:rPr>
          <w:rFonts w:ascii="仿宋" w:hAnsi="仿宋" w:cs="仿宋" w:hint="eastAsia" w:eastAsia="仿宋_GB2312"/>
          <w:bCs/>
          <w:color w:val="000000"/>
          <w:sz w:val="32"/>
          <w:szCs w:val="32"/>
          <w:lang w:eastAsia="zh-CN"/>
        </w:rPr>
        <w:t>居</w:t>
      </w:r>
      <w:r>
        <w:rPr>
          <w:rFonts w:ascii="仿宋" w:hAnsi="仿宋" w:cs="仿宋" w:hint="eastAsia" w:eastAsia="仿宋_GB2312"/>
          <w:bCs/>
          <w:color w:val="000000"/>
          <w:sz w:val="32"/>
          <w:szCs w:val="32"/>
        </w:rPr>
        <w:t>住区，可以通过补建、购置、置换、租赁、改造等方式完善养老服务设施。</w:t>
      </w:r>
    </w:p>
    <w:p>
      <w:pPr>
        <w:pStyle w:val="Normal"/>
        <w:keepNext w:val="false"/>
        <w:keepLines w:val="false"/>
        <w:pageBreakBefore w:val="false"/>
        <w:widowControl/>
        <w:kinsoku w:val="true"/>
        <w:overflowPunct w:val="true"/>
        <w:autoSpaceDE w:val="true"/>
        <w:bidi w:val="0"/>
        <w:snapToGrid w:val="true"/>
        <w:spacing w:lineRule="exact" w:line="560"/>
        <w:textAlignment w:val="auto"/>
        <w:rPr>
          <w:rFonts w:ascii="仿宋" w:hAnsi="仿宋" w:eastAsia="仿宋_GB2312" w:cs="仿宋" w:hint="eastAsia"/>
          <w:color w:val="000000"/>
          <w:sz w:val="32"/>
          <w:szCs w:val="32"/>
        </w:rPr>
      </w:pPr>
      <w:r>
        <w:rPr>
          <w:rFonts w:eastAsia="仿宋_GB2312" w:cs="仿宋" w:hint="eastAsia" w:ascii="仿宋" w:hAnsi="仿宋"/>
          <w:b/>
          <w:bCs/>
          <w:color w:val="000000"/>
          <w:sz w:val="32"/>
          <w:szCs w:val="32"/>
        </w:rPr>
        <w:t xml:space="preserve">   </w:t>
      </w: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第三十二条 </w:t>
      </w:r>
      <w:r>
        <w:rPr>
          <w:rFonts w:ascii="仿宋" w:hAnsi="仿宋" w:cs="仿宋" w:hint="eastAsia" w:eastAsia="仿宋_GB2312"/>
          <w:color w:val="000000"/>
          <w:sz w:val="32"/>
          <w:szCs w:val="32"/>
        </w:rPr>
        <w:t>县级以上人民政府应当采取盘活存量用地、改造利用闲置厂房、社区用房等措施用于养老服务设施建设。</w:t>
      </w:r>
    </w:p>
    <w:p>
      <w:pPr>
        <w:pStyle w:val="Normal"/>
        <w:keepNext w:val="false"/>
        <w:keepLines w:val="false"/>
        <w:pageBreakBefore w:val="false"/>
        <w:widowControl/>
        <w:kinsoku w:val="true"/>
        <w:overflowPunct w:val="true"/>
        <w:autoSpaceDE w:val="true"/>
        <w:bidi w:val="0"/>
        <w:snapToGrid w:val="true"/>
        <w:spacing w:lineRule="exact" w:line="560"/>
        <w:textAlignment w:val="auto"/>
        <w:rPr>
          <w:rFonts w:ascii="仿宋_GB2312" w:hAnsi="仿宋_GB2312" w:eastAsia="仿宋_GB2312" w:cs="仿宋_GB2312" w:hint="eastAsia"/>
          <w:b w:val="false"/>
          <w:bCs w:val="false"/>
          <w:color w:val="000000"/>
          <w:sz w:val="32"/>
          <w:szCs w:val="32"/>
        </w:rPr>
      </w:pPr>
      <w:r>
        <w:rPr>
          <w:rFonts w:eastAsia="仿宋_GB2312" w:cs="仿宋" w:hint="eastAsia" w:ascii="仿宋" w:hAnsi="仿宋"/>
          <w:b w:val="false"/>
          <w:bCs w:val="false"/>
          <w:color w:val="000000"/>
          <w:sz w:val="32"/>
          <w:szCs w:val="32"/>
        </w:rPr>
        <w:t xml:space="preserve">    </w:t>
      </w:r>
      <w:r>
        <w:rPr>
          <w:rFonts w:ascii="仿宋" w:hAnsi="仿宋" w:cs="仿宋" w:hint="eastAsia" w:eastAsia="仿宋_GB2312"/>
          <w:b w:val="false"/>
          <w:bCs w:val="false"/>
          <w:color w:val="000000"/>
          <w:sz w:val="32"/>
          <w:szCs w:val="32"/>
        </w:rPr>
        <w:t>整合改造闲置社会资源建设养老服务设施，符合条件的，可以依照</w:t>
      </w:r>
      <w:r>
        <w:rPr>
          <w:rFonts w:ascii="仿宋" w:hAnsi="仿宋" w:cs="仿宋" w:hint="eastAsia" w:eastAsia="仿宋_GB2312"/>
          <w:b w:val="false"/>
          <w:bCs w:val="false"/>
          <w:color w:val="000000"/>
          <w:sz w:val="32"/>
          <w:szCs w:val="32"/>
          <w:lang w:eastAsia="zh-CN"/>
        </w:rPr>
        <w:t>有关</w:t>
      </w:r>
      <w:r>
        <w:rPr>
          <w:rFonts w:ascii="仿宋" w:hAnsi="仿宋" w:cs="仿宋" w:hint="eastAsia" w:eastAsia="仿宋_GB2312"/>
          <w:b w:val="false"/>
          <w:bCs w:val="false"/>
          <w:color w:val="000000"/>
          <w:sz w:val="32"/>
          <w:szCs w:val="32"/>
        </w:rPr>
        <w:t xml:space="preserve">规定享受养老服务运营补贴等资金支持和税费、水电气热费用优惠等政策扶持。国有资产管理、不动产登记等部门应当为申请人办理相关手续提供便利。    </w:t>
      </w:r>
    </w:p>
    <w:p>
      <w:pPr>
        <w:pStyle w:val="Normal"/>
        <w:keepNext w:val="false"/>
        <w:keepLines w:val="false"/>
        <w:pageBreakBefore w:val="false"/>
        <w:widowControl/>
        <w:kinsoku w:val="true"/>
        <w:overflowPunct w:val="true"/>
        <w:autoSpaceDE w:val="true"/>
        <w:bidi w:val="0"/>
        <w:snapToGrid w:val="true"/>
        <w:spacing w:lineRule="exact" w:line="560"/>
        <w:textAlignment w:val="auto"/>
        <w:rPr>
          <w:rFonts w:ascii="仿宋" w:hAnsi="仿宋" w:eastAsia="仿宋_GB2312" w:cs="仿宋" w:hint="eastAsia"/>
          <w:b w:val="false"/>
          <w:bCs w:val="false"/>
          <w:color w:val="000000"/>
          <w:sz w:val="32"/>
          <w:szCs w:val="32"/>
        </w:rPr>
      </w:pPr>
      <w:r>
        <w:rPr>
          <w:rFonts w:eastAsia="仿宋_GB2312" w:cs="仿宋" w:hint="eastAsia" w:ascii="仿宋" w:hAnsi="仿宋"/>
          <w:b/>
          <w:bCs/>
          <w:color w:val="000000"/>
          <w:sz w:val="32"/>
          <w:szCs w:val="32"/>
        </w:rPr>
        <w:t xml:space="preserve">    </w:t>
      </w:r>
      <w:r>
        <w:rPr>
          <w:rFonts w:ascii="黑体" w:hAnsi="黑体" w:cs="黑体" w:hint="eastAsia" w:eastAsia="黑体"/>
          <w:b w:val="false"/>
          <w:bCs w:val="false"/>
          <w:color w:val="000000"/>
          <w:sz w:val="32"/>
          <w:szCs w:val="32"/>
        </w:rPr>
        <w:t xml:space="preserve">第三十三条 </w:t>
      </w:r>
      <w:r>
        <w:rPr>
          <w:rFonts w:ascii="仿宋" w:hAnsi="仿宋" w:cs="仿宋" w:hint="eastAsia" w:eastAsia="仿宋_GB2312"/>
          <w:b w:val="false"/>
          <w:bCs w:val="false"/>
          <w:color w:val="000000"/>
          <w:sz w:val="32"/>
          <w:szCs w:val="32"/>
        </w:rPr>
        <w:t>县级以上人民政府应当构建包括健康教育、预防保健、疾病诊治、康复护理、长期照护、安宁疗护等老年健康服务体系，提高老年人健康水平。</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第三十四条 </w:t>
      </w:r>
      <w:r>
        <w:rPr>
          <w:rFonts w:ascii="仿宋" w:hAnsi="仿宋" w:cs="仿宋" w:hint="eastAsia" w:eastAsia="仿宋_GB2312"/>
          <w:b w:val="false"/>
          <w:bCs w:val="false"/>
          <w:color w:val="000000"/>
          <w:sz w:val="32"/>
          <w:szCs w:val="32"/>
        </w:rPr>
        <w:t>对老年人出行、就医、消费、</w:t>
      </w:r>
      <w:r>
        <w:rPr>
          <w:rFonts w:ascii="仿宋" w:hAnsi="仿宋" w:cs="仿宋" w:hint="eastAsia" w:eastAsia="仿宋_GB2312"/>
          <w:b w:val="false"/>
          <w:bCs w:val="false"/>
          <w:color w:val="000000"/>
          <w:sz w:val="32"/>
          <w:szCs w:val="32"/>
          <w:lang w:eastAsia="zh-CN"/>
        </w:rPr>
        <w:t>文</w:t>
      </w:r>
      <w:r>
        <w:rPr>
          <w:rFonts w:ascii="仿宋" w:hAnsi="仿宋" w:cs="仿宋" w:hint="eastAsia" w:eastAsia="仿宋_GB2312"/>
          <w:bCs/>
          <w:color w:val="000000"/>
          <w:sz w:val="32"/>
          <w:szCs w:val="32"/>
          <w:lang w:eastAsia="zh-CN"/>
        </w:rPr>
        <w:t>化娱乐</w:t>
      </w:r>
      <w:r>
        <w:rPr>
          <w:rFonts w:ascii="仿宋" w:hAnsi="仿宋" w:cs="仿宋" w:hint="eastAsia" w:eastAsia="仿宋_GB2312"/>
          <w:bCs/>
          <w:color w:val="000000"/>
          <w:sz w:val="32"/>
          <w:szCs w:val="32"/>
        </w:rPr>
        <w:t>等</w:t>
      </w:r>
      <w:r>
        <w:rPr>
          <w:rFonts w:ascii="仿宋" w:hAnsi="仿宋" w:cs="仿宋" w:hint="eastAsia" w:eastAsia="仿宋_GB2312"/>
          <w:b w:val="false"/>
          <w:bCs w:val="false"/>
          <w:color w:val="000000"/>
          <w:sz w:val="32"/>
          <w:szCs w:val="32"/>
        </w:rPr>
        <w:t>事项，</w:t>
      </w:r>
      <w:r>
        <w:rPr>
          <w:rFonts w:ascii="仿宋" w:hAnsi="仿宋" w:cs="仿宋" w:hint="eastAsia" w:eastAsia="仿宋_GB2312"/>
          <w:b w:val="false"/>
          <w:bCs w:val="false"/>
          <w:color w:val="000000"/>
          <w:sz w:val="32"/>
          <w:szCs w:val="32"/>
          <w:lang w:eastAsia="zh-CN"/>
        </w:rPr>
        <w:t>有关</w:t>
      </w:r>
      <w:r>
        <w:rPr>
          <w:rFonts w:ascii="仿宋" w:hAnsi="仿宋" w:cs="仿宋" w:hint="eastAsia" w:eastAsia="仿宋_GB2312"/>
          <w:b w:val="false"/>
          <w:bCs w:val="false"/>
          <w:color w:val="000000"/>
          <w:sz w:val="32"/>
          <w:szCs w:val="32"/>
        </w:rPr>
        <w:t>单位应当采取传统服务与智能服务相结合的方式，保障老年人基本服务需求。</w:t>
      </w:r>
    </w:p>
    <w:p>
      <w:pPr>
        <w:pStyle w:val="Normal"/>
        <w:keepNext w:val="false"/>
        <w:keepLines w:val="false"/>
        <w:pageBreakBefore w:val="false"/>
        <w:widowControl/>
        <w:tabs>
          <w:tab w:val="clear" w:pos="420"/>
          <w:tab w:val="left" w:pos="540" w:leader="none"/>
        </w:tabs>
        <w:kinsoku w:val="true"/>
        <w:overflowPunct w:val="true"/>
        <w:autoSpaceDE w:val="true"/>
        <w:bidi w:val="0"/>
        <w:snapToGrid w:val="true"/>
        <w:spacing w:lineRule="exact" w:line="560"/>
        <w:ind w:firstLine="640" w:end="0"/>
        <w:jc w:val="start"/>
        <w:textAlignment w:val="auto"/>
        <w:rPr>
          <w:rFonts w:ascii="仿宋" w:hAnsi="仿宋" w:eastAsia="仿宋_GB2312" w:cs="仿宋"/>
          <w:b w:val="false"/>
          <w:bCs w:val="false"/>
          <w:color w:val="000000"/>
          <w:sz w:val="32"/>
          <w:szCs w:val="32"/>
        </w:rPr>
      </w:pPr>
      <w:r>
        <w:rPr>
          <w:rFonts w:ascii="黑体" w:hAnsi="黑体" w:cs="黑体" w:hint="eastAsia" w:eastAsia="黑体"/>
          <w:b w:val="false"/>
          <w:bCs w:val="false"/>
          <w:color w:val="000000"/>
          <w:sz w:val="32"/>
          <w:szCs w:val="32"/>
        </w:rPr>
        <w:t xml:space="preserve">第三十五条 </w:t>
      </w:r>
      <w:r>
        <w:rPr>
          <w:rFonts w:ascii="仿宋" w:hAnsi="仿宋" w:cs="仿宋" w:hint="eastAsia" w:eastAsia="仿宋_GB2312"/>
          <w:b w:val="false"/>
          <w:bCs w:val="false"/>
          <w:color w:val="000000"/>
          <w:sz w:val="32"/>
          <w:szCs w:val="32"/>
        </w:rPr>
        <w:t xml:space="preserve">公安机关应当及时受理涉及老年人权益的报警、控告、检举，依法查处针对老年人的诈骗、传销、非法集资等违法行为，保障老年人人身和财产安全。 </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bCs w:val="false"/>
          <w:color w:val="000000"/>
          <w:kern w:val="0"/>
          <w:sz w:val="32"/>
          <w:szCs w:val="32"/>
        </w:rPr>
      </w:pPr>
      <w:r>
        <w:rPr>
          <w:rFonts w:ascii="黑体" w:hAnsi="黑体" w:cs="黑体" w:hint="eastAsia" w:eastAsia="黑体"/>
          <w:b w:val="false"/>
          <w:bCs w:val="false"/>
          <w:color w:val="000000"/>
          <w:sz w:val="32"/>
          <w:szCs w:val="32"/>
        </w:rPr>
        <w:t>第三十六条</w:t>
      </w:r>
      <w:r>
        <w:rPr>
          <w:rFonts w:ascii="仿宋" w:hAnsi="仿宋" w:cs="仿宋" w:hint="eastAsia" w:eastAsia="仿宋_GB2312"/>
          <w:b w:val="false"/>
          <w:bCs w:val="false"/>
          <w:color w:val="000000"/>
          <w:kern w:val="0"/>
          <w:sz w:val="32"/>
          <w:szCs w:val="32"/>
        </w:rPr>
        <w:t xml:space="preserve"> 县级以上人民</w:t>
      </w:r>
      <w:r>
        <w:rPr>
          <w:rFonts w:ascii="仿宋" w:hAnsi="仿宋" w:cs="仿宋" w:hint="eastAsia" w:eastAsia="仿宋_GB2312"/>
          <w:bCs/>
          <w:color w:val="000000"/>
          <w:sz w:val="32"/>
          <w:szCs w:val="32"/>
        </w:rPr>
        <w:t>政府民政部门应当按照国家和自治区</w:t>
      </w:r>
      <w:r>
        <w:rPr>
          <w:rFonts w:ascii="仿宋" w:hAnsi="仿宋" w:cs="仿宋" w:hint="eastAsia" w:eastAsia="仿宋_GB2312"/>
          <w:bCs/>
          <w:color w:val="000000"/>
          <w:sz w:val="32"/>
          <w:szCs w:val="32"/>
          <w:lang w:eastAsia="zh-CN"/>
        </w:rPr>
        <w:t>有关</w:t>
      </w:r>
      <w:r>
        <w:rPr>
          <w:rFonts w:ascii="仿宋" w:hAnsi="仿宋" w:cs="仿宋" w:hint="eastAsia" w:eastAsia="仿宋_GB2312"/>
          <w:bCs/>
          <w:color w:val="000000"/>
          <w:sz w:val="32"/>
          <w:szCs w:val="32"/>
        </w:rPr>
        <w:t>规定，为符合条件的亡故老年人给予</w:t>
      </w:r>
      <w:r>
        <w:rPr>
          <w:rFonts w:ascii="仿宋" w:hAnsi="仿宋" w:cs="仿宋" w:hint="eastAsia" w:eastAsia="仿宋_GB2312"/>
          <w:b w:val="false"/>
          <w:bCs w:val="false"/>
          <w:color w:val="000000"/>
          <w:kern w:val="0"/>
          <w:sz w:val="32"/>
          <w:szCs w:val="32"/>
        </w:rPr>
        <w:t>殡葬救助。</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 xml:space="preserve">第三十七条 </w:t>
      </w:r>
      <w:r>
        <w:rPr>
          <w:rFonts w:ascii="仿宋" w:hAnsi="仿宋" w:cs="仿宋" w:hint="eastAsia" w:eastAsia="仿宋_GB2312"/>
          <w:bCs/>
          <w:color w:val="000000"/>
          <w:sz w:val="32"/>
          <w:szCs w:val="32"/>
        </w:rPr>
        <w:t>县级以上人民政府应当组织住房和城乡建设、自然资源、民政、财政、卫生健康、残联等单位，按照国家无障碍设施工程建设标准，制定无障碍设施改造计划，建设社区步行路网、配备生活辅助器具、安装紧急救援设施、清除小区步行道路障碍物，重点加强坡道、楼梯、电梯、扶手、公共卫生间等公共建筑、设施的改造，为老年人生活和出行提供便利。</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Cs/>
          <w:color w:val="000000"/>
          <w:sz w:val="32"/>
          <w:szCs w:val="32"/>
        </w:rPr>
      </w:pPr>
      <w:r>
        <w:rPr>
          <w:rFonts w:ascii="仿宋" w:hAnsi="仿宋" w:cs="仿宋" w:hint="eastAsia" w:eastAsia="仿宋_GB2312"/>
          <w:bCs/>
          <w:color w:val="000000"/>
          <w:sz w:val="32"/>
          <w:szCs w:val="32"/>
          <w:lang w:eastAsia="zh-CN"/>
        </w:rPr>
        <w:t>县级以上</w:t>
      </w:r>
      <w:r>
        <w:rPr>
          <w:rFonts w:ascii="仿宋" w:hAnsi="仿宋" w:cs="仿宋" w:hint="eastAsia" w:eastAsia="仿宋_GB2312"/>
          <w:bCs/>
          <w:color w:val="000000"/>
          <w:sz w:val="32"/>
          <w:szCs w:val="32"/>
        </w:rPr>
        <w:t>人民</w:t>
      </w:r>
      <w:r>
        <w:rPr>
          <w:rFonts w:ascii="仿宋" w:hAnsi="仿宋" w:cs="仿宋" w:hint="eastAsia" w:eastAsia="仿宋_GB2312"/>
          <w:bCs/>
          <w:color w:val="000000"/>
          <w:sz w:val="32"/>
          <w:szCs w:val="32"/>
          <w:lang w:eastAsia="zh-CN"/>
        </w:rPr>
        <w:t>政府</w:t>
      </w:r>
      <w:r>
        <w:rPr>
          <w:rFonts w:ascii="仿宋" w:hAnsi="仿宋" w:cs="仿宋" w:hint="eastAsia" w:eastAsia="仿宋_GB2312"/>
          <w:bCs/>
          <w:color w:val="000000"/>
          <w:sz w:val="32"/>
          <w:szCs w:val="32"/>
        </w:rPr>
        <w:t>和有关部门应当为特困老年人、低保家庭老年人、低收入家庭老年人、孤寡优抚老年人和计划生育特殊家庭老年人自愿改造生活设施及无障碍设施提供资助。</w:t>
      </w:r>
    </w:p>
    <w:p>
      <w:pPr>
        <w:pStyle w:val="Normal"/>
        <w:keepNext w:val="false"/>
        <w:keepLines w:val="false"/>
        <w:pageBreakBefore w:val="false"/>
        <w:widowControl/>
        <w:kinsoku w:val="true"/>
        <w:overflowPunct w:val="true"/>
        <w:autoSpaceDE w:val="true"/>
        <w:bidi w:val="0"/>
        <w:snapToGrid w:val="true"/>
        <w:spacing w:lineRule="exact" w:line="560"/>
        <w:textAlignment w:val="auto"/>
        <w:rPr>
          <w:rFonts w:ascii="仿宋" w:hAnsi="仿宋" w:eastAsia="仿宋_GB2312" w:cs="仿宋" w:hint="eastAsia"/>
          <w:bCs/>
          <w:color w:val="000000"/>
          <w:sz w:val="32"/>
          <w:szCs w:val="32"/>
        </w:rPr>
      </w:pPr>
      <w:r>
        <w:rPr>
          <w:rFonts w:eastAsia="仿宋_GB2312" w:cs="仿宋" w:hint="eastAsia" w:ascii="仿宋" w:hAnsi="仿宋"/>
          <w:bCs/>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w:t>
      </w:r>
      <w:r>
        <w:rPr>
          <w:rFonts w:ascii="宋体;方正书宋_GBK" w:hAnsi="宋体;方正书宋_GBK" w:cs="宋体;方正书宋_GBK" w:hint="eastAsia"/>
          <w:color w:val="000000"/>
          <w:sz w:val="32"/>
          <w:szCs w:val="32"/>
        </w:rPr>
        <w:t> </w:t>
      </w:r>
      <w:r>
        <w:rPr>
          <w:rFonts w:ascii="黑体" w:hAnsi="黑体" w:cs="黑体" w:hint="eastAsia" w:eastAsia="黑体"/>
          <w:color w:val="000000"/>
          <w:sz w:val="32"/>
          <w:szCs w:val="32"/>
        </w:rPr>
        <w:t xml:space="preserve"> 参与社会发展</w:t>
      </w:r>
    </w:p>
    <w:p>
      <w:pPr>
        <w:pStyle w:val="Lis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第三十八条</w:t>
      </w:r>
      <w:r>
        <w:rPr>
          <w:rFonts w:ascii="仿宋" w:hAnsi="仿宋" w:cs="仿宋" w:hint="eastAsia" w:eastAsia="仿宋_GB2312"/>
          <w:color w:val="000000"/>
          <w:sz w:val="32"/>
          <w:szCs w:val="32"/>
        </w:rPr>
        <w:t xml:space="preserve"> 县级以上人民政府应当培育、发展和扶持老年人组织，并指导其规范化建设。</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老年人组织应当依法开展有益于老年人身心健康的活动，组织互助服务，反映老年人的意见和诉求，维护老年人合法权益。</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第三十九条 </w:t>
      </w:r>
      <w:r>
        <w:rPr>
          <w:rFonts w:ascii="仿宋" w:hAnsi="仿宋" w:cs="仿宋" w:hint="eastAsia" w:eastAsia="仿宋_GB2312"/>
          <w:color w:val="000000"/>
          <w:sz w:val="32"/>
          <w:szCs w:val="32"/>
        </w:rPr>
        <w:t>县级以上人民政府应当加强老年人才资源开发，建立老年人才信息库，为有劳动意愿的老年人提供职业介绍、职业技能培训和创新创业指导服务。</w:t>
      </w:r>
    </w:p>
    <w:p>
      <w:pPr>
        <w:pStyle w:val="Style14"/>
        <w:keepNext w:val="false"/>
        <w:keepLines w:val="false"/>
        <w:pageBreakBefore w:val="false"/>
        <w:kinsoku w:val="true"/>
        <w:overflowPunct w:val="true"/>
        <w:autoSpaceDE w:val="true"/>
        <w:bidi w:val="0"/>
        <w:snapToGrid w:val="true"/>
        <w:spacing w:lineRule="exact" w:line="560"/>
        <w:textAlignment w:val="auto"/>
        <w:rPr>
          <w:rFonts w:ascii="仿宋" w:hAnsi="仿宋" w:eastAsia="仿宋_GB2312" w:cs="仿宋" w:hint="eastAsia"/>
          <w:color w:val="000000"/>
          <w:kern w:val="2"/>
          <w:sz w:val="32"/>
          <w:szCs w:val="32"/>
        </w:rPr>
      </w:pPr>
      <w:r>
        <w:rPr>
          <w:rFonts w:ascii="仿宋" w:hAnsi="仿宋" w:cs="仿宋" w:hint="eastAsia" w:eastAsia="仿宋_GB2312"/>
          <w:color w:val="000000"/>
          <w:kern w:val="2"/>
          <w:sz w:val="32"/>
          <w:szCs w:val="32"/>
        </w:rPr>
        <w:t>鼓励学校、医院等单位和社区家政服务、公共场所服务管理等行业，设置适合老年人灵活就业的岗位。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hint="eastAsia"/>
          <w:color w:val="000000"/>
        </w:rPr>
      </w:pPr>
      <w:r>
        <w:rPr>
          <w:rFonts w:ascii="黑体" w:hAnsi="黑体" w:cs="黑体" w:hint="eastAsia" w:eastAsia="黑体"/>
          <w:b w:val="false"/>
          <w:bCs w:val="false"/>
          <w:color w:val="000000"/>
          <w:sz w:val="32"/>
          <w:szCs w:val="32"/>
        </w:rPr>
        <w:t>第四十条</w:t>
      </w:r>
      <w:r>
        <w:rPr>
          <w:rFonts w:ascii="仿宋" w:hAnsi="仿宋" w:cs="仿宋" w:hint="eastAsia" w:eastAsia="仿宋_GB2312"/>
          <w:b/>
          <w:bCs/>
          <w:color w:val="000000"/>
          <w:sz w:val="32"/>
          <w:szCs w:val="32"/>
        </w:rPr>
        <w:t xml:space="preserve"> </w:t>
      </w:r>
      <w:r>
        <w:rPr>
          <w:rFonts w:ascii="仿宋" w:hAnsi="仿宋" w:cs="仿宋" w:hint="eastAsia" w:eastAsia="仿宋_GB2312"/>
          <w:color w:val="000000"/>
          <w:sz w:val="32"/>
          <w:szCs w:val="32"/>
        </w:rPr>
        <w:t>鼓励和支持老年人以志愿服务形式参与基层民主监督、移风易俗、民事调解、文教卫生、民族团结进步</w:t>
      </w:r>
      <w:r>
        <w:rPr>
          <w:rFonts w:ascii="仿宋" w:hAnsi="仿宋" w:cs="仿宋" w:hint="eastAsia" w:eastAsia="仿宋_GB2312"/>
          <w:bCs/>
          <w:color w:val="000000"/>
          <w:sz w:val="32"/>
          <w:szCs w:val="32"/>
          <w:lang w:eastAsia="zh-CN"/>
        </w:rPr>
        <w:t>创建</w:t>
      </w:r>
      <w:r>
        <w:rPr>
          <w:rFonts w:ascii="仿宋" w:hAnsi="仿宋" w:cs="仿宋" w:hint="eastAsia" w:eastAsia="仿宋_GB2312"/>
          <w:bCs/>
          <w:color w:val="000000"/>
          <w:sz w:val="32"/>
          <w:szCs w:val="32"/>
        </w:rPr>
        <w:t>等</w:t>
      </w:r>
      <w:r>
        <w:rPr>
          <w:rFonts w:ascii="仿宋" w:hAnsi="仿宋" w:cs="仿宋" w:hint="eastAsia" w:eastAsia="仿宋_GB2312"/>
          <w:color w:val="000000"/>
          <w:sz w:val="32"/>
          <w:szCs w:val="32"/>
        </w:rPr>
        <w:t>活动。</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第四十一条 </w:t>
      </w:r>
      <w:r>
        <w:rPr>
          <w:rFonts w:ascii="仿宋" w:hAnsi="仿宋" w:cs="仿宋" w:hint="eastAsia" w:eastAsia="仿宋_GB2312"/>
          <w:color w:val="000000"/>
          <w:sz w:val="32"/>
          <w:szCs w:val="32"/>
        </w:rPr>
        <w:t>县级以上人民政府教</w:t>
      </w:r>
      <w:r>
        <w:rPr>
          <w:rFonts w:ascii="仿宋" w:hAnsi="仿宋" w:cs="仿宋" w:hint="eastAsia" w:eastAsia="仿宋_GB2312"/>
          <w:bCs/>
          <w:color w:val="000000"/>
          <w:sz w:val="32"/>
          <w:szCs w:val="32"/>
        </w:rPr>
        <w:t>育行政部</w:t>
      </w:r>
      <w:r>
        <w:rPr>
          <w:rFonts w:ascii="仿宋" w:hAnsi="仿宋" w:cs="仿宋" w:hint="eastAsia" w:eastAsia="仿宋_GB2312"/>
          <w:color w:val="000000"/>
          <w:sz w:val="32"/>
          <w:szCs w:val="32"/>
        </w:rPr>
        <w:t>门应当将老年教育纳入终身教育体系，建立健全老年继续教育机制，加强对老年教育设施、师资力量、课程开发等方面建设，配置各类老年学校和学习点，促进老年教育资源向城乡老年人公平开放。</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鼓励机关、企业、高校举办的老年大学面向社会开放办学。支持社会力量举办老年大学。</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b/>
          <w:bCs/>
          <w:color w:val="000000"/>
          <w:sz w:val="32"/>
          <w:szCs w:val="32"/>
        </w:rPr>
      </w:pPr>
      <w:r>
        <w:rPr>
          <w:rFonts w:ascii="仿宋" w:hAnsi="仿宋" w:cs="仿宋" w:hint="eastAsia" w:eastAsia="仿宋_GB2312"/>
          <w:color w:val="000000"/>
          <w:sz w:val="32"/>
          <w:szCs w:val="32"/>
        </w:rPr>
        <w:t>鼓励老年教育机构发展远程教育，建设网络学习平台，设置适合老年人学习的课程，并将加强老年人应用智能技术能力列入重点学习内容。</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第四十二条 </w:t>
      </w:r>
      <w:r>
        <w:rPr>
          <w:rFonts w:ascii="仿宋" w:hAnsi="仿宋" w:cs="仿宋" w:hint="eastAsia" w:eastAsia="仿宋_GB2312"/>
          <w:color w:val="000000"/>
          <w:sz w:val="32"/>
          <w:szCs w:val="32"/>
        </w:rPr>
        <w:t>县级以上人民政府应</w:t>
      </w:r>
      <w:r>
        <w:rPr>
          <w:rFonts w:ascii="仿宋" w:hAnsi="仿宋" w:cs="仿宋" w:hint="eastAsia" w:eastAsia="仿宋_GB2312"/>
          <w:bCs/>
          <w:color w:val="000000"/>
          <w:sz w:val="32"/>
          <w:szCs w:val="32"/>
          <w:shd w:fill="auto" w:val="clear"/>
        </w:rPr>
        <w:t>当</w:t>
      </w:r>
      <w:r>
        <w:rPr>
          <w:rFonts w:ascii="仿宋" w:hAnsi="仿宋" w:cs="仿宋" w:hint="eastAsia" w:eastAsia="仿宋_GB2312"/>
          <w:color w:val="000000"/>
          <w:sz w:val="32"/>
          <w:szCs w:val="32"/>
        </w:rPr>
        <w:t>为老年人提供教育、文化、健身等活动场所，并配备文体器材。</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老年大学、老年人组织</w:t>
      </w:r>
      <w:r>
        <w:rPr>
          <w:rFonts w:ascii="仿宋" w:hAnsi="仿宋" w:cs="仿宋" w:hint="eastAsia" w:eastAsia="仿宋_GB2312"/>
          <w:bCs/>
          <w:color w:val="000000"/>
          <w:sz w:val="32"/>
          <w:szCs w:val="32"/>
        </w:rPr>
        <w:t>、</w:t>
      </w:r>
      <w:r>
        <w:rPr>
          <w:rFonts w:ascii="仿宋" w:hAnsi="仿宋" w:cs="仿宋" w:hint="eastAsia" w:eastAsia="仿宋_GB2312"/>
          <w:bCs/>
          <w:color w:val="000000"/>
          <w:sz w:val="32"/>
          <w:szCs w:val="32"/>
          <w:lang w:eastAsia="zh-CN"/>
        </w:rPr>
        <w:t>村民委员会、居民委员会</w:t>
      </w:r>
      <w:r>
        <w:rPr>
          <w:rFonts w:ascii="仿宋" w:hAnsi="仿宋" w:cs="仿宋" w:hint="eastAsia" w:eastAsia="仿宋_GB2312"/>
          <w:bCs/>
          <w:color w:val="000000"/>
          <w:sz w:val="32"/>
          <w:szCs w:val="32"/>
        </w:rPr>
        <w:t>等应当为老年人搭建文化活动交流展示平台，支持老年文艺演出。</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鼓励企业开发老年医疗旅游、老年观光旅游、老年乡村旅游等特色旅游产品和线路，提升老年旅游服务质量和水平。</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鼓励和引导公共图书馆开设老年阅览区域，提供大字阅读设备、触屏读报设施。</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Lis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jc w:val="both"/>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第四十三条</w:t>
      </w:r>
      <w:r>
        <w:rPr>
          <w:rFonts w:ascii="仿宋" w:hAnsi="仿宋" w:cs="仿宋" w:hint="eastAsia" w:eastAsia="仿宋_GB2312"/>
          <w:b/>
          <w:bCs/>
          <w:color w:val="000000"/>
          <w:sz w:val="32"/>
          <w:szCs w:val="32"/>
        </w:rPr>
        <w:t xml:space="preserve"> </w:t>
      </w:r>
      <w:r>
        <w:rPr>
          <w:rFonts w:ascii="仿宋" w:hAnsi="仿宋" w:cs="仿宋" w:hint="eastAsia" w:eastAsia="仿宋_GB2312"/>
          <w:bCs/>
          <w:color w:val="000000"/>
          <w:sz w:val="32"/>
          <w:szCs w:val="32"/>
        </w:rPr>
        <w:t>违反本条例规定为老年人提供优待服务的单位，未落实对老年人的优待服务，或者未明示优待服务内容的，由其主管部门责令改正；逾期</w:t>
      </w:r>
      <w:r>
        <w:rPr>
          <w:rFonts w:ascii="仿宋" w:hAnsi="仿宋" w:cs="仿宋" w:hint="eastAsia" w:eastAsia="仿宋_GB2312"/>
          <w:color w:val="000000"/>
          <w:sz w:val="32"/>
          <w:szCs w:val="32"/>
        </w:rPr>
        <w:t>不改的，由其主管部门通报批评。</w:t>
      </w:r>
    </w:p>
    <w:p>
      <w:pPr>
        <w:pStyle w:val="Style14"/>
        <w:keepNext w:val="false"/>
        <w:keepLines w:val="false"/>
        <w:pageBreakBefore w:val="false"/>
        <w:widowControl w:val="false"/>
        <w:kinsoku w:val="true"/>
        <w:overflowPunct w:val="true"/>
        <w:autoSpaceDE w:val="true"/>
        <w:bidi w:val="0"/>
        <w:snapToGrid w:val="true"/>
        <w:spacing w:lineRule="exact" w:line="560"/>
        <w:ind w:endChars="0" w:end="0"/>
        <w:jc w:val="both"/>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kern w:val="2"/>
          <w:sz w:val="32"/>
          <w:szCs w:val="32"/>
        </w:rPr>
        <w:t xml:space="preserve">第四十四条 </w:t>
      </w:r>
      <w:r>
        <w:rPr>
          <w:rFonts w:ascii="仿宋" w:hAnsi="仿宋" w:cs="仿宋" w:hint="eastAsia" w:eastAsia="仿宋_GB2312"/>
          <w:color w:val="000000"/>
          <w:sz w:val="32"/>
          <w:szCs w:val="32"/>
        </w:rPr>
        <w:t>违反本条例规定，未设置养老服务设施的，由上一级人民政府通报批评，并责令改正。</w:t>
      </w:r>
    </w:p>
    <w:p>
      <w:pPr>
        <w:pStyle w:val="Normal"/>
        <w:keepNext w:val="false"/>
        <w:keepLines w:val="false"/>
        <w:pageBreakBefore w:val="false"/>
        <w:widowControl/>
        <w:kinsoku w:val="true"/>
        <w:overflowPunct w:val="true"/>
        <w:autoSpaceDE w:val="true"/>
        <w:bidi w:val="0"/>
        <w:snapToGrid w:val="true"/>
        <w:spacing w:lineRule="exact" w:line="560"/>
        <w:ind w:firstLine="640" w:end="0"/>
        <w:jc w:val="both"/>
        <w:textAlignment w:val="auto"/>
        <w:rPr>
          <w:rFonts w:ascii="仿宋" w:hAnsi="仿宋" w:eastAsia="仿宋_GB2312" w:cs="仿宋"/>
          <w:bCs/>
          <w:color w:val="000000"/>
          <w:sz w:val="32"/>
          <w:szCs w:val="32"/>
        </w:rPr>
      </w:pPr>
      <w:r>
        <w:rPr>
          <w:rFonts w:ascii="黑体" w:hAnsi="黑体" w:cs="黑体" w:hint="eastAsia" w:eastAsia="黑体"/>
          <w:b w:val="false"/>
          <w:bCs w:val="false"/>
          <w:color w:val="000000"/>
          <w:sz w:val="32"/>
          <w:szCs w:val="32"/>
        </w:rPr>
        <w:t>第四十五条</w:t>
      </w:r>
      <w:r>
        <w:rPr>
          <w:rFonts w:ascii="方正黑体_GBK" w:hAnsi="方正黑体_GBK" w:cs="方正黑体_GBK" w:hint="eastAsia" w:eastAsia="方正黑体_GBK"/>
          <w:b w:val="false"/>
          <w:bCs/>
          <w:color w:val="000000"/>
          <w:kern w:val="2"/>
          <w:sz w:val="32"/>
          <w:szCs w:val="32"/>
        </w:rPr>
        <w:t xml:space="preserve"> </w:t>
      </w:r>
      <w:r>
        <w:rPr>
          <w:rFonts w:ascii="仿宋" w:hAnsi="仿宋" w:cs="仿宋" w:hint="eastAsia" w:eastAsia="仿宋_GB2312"/>
          <w:bCs/>
          <w:color w:val="000000"/>
          <w:sz w:val="32"/>
          <w:szCs w:val="32"/>
        </w:rPr>
        <w:t>国家机关及其工作人员滥用职权、玩忽职守、徇私舞弊，损害老年人合法权益的，依法给予处分；构成犯罪的，依法追究刑事责任。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 w:hint="eastAsia"/>
          <w:bCs/>
          <w:color w:val="000000"/>
          <w:sz w:val="32"/>
          <w:szCs w:val="32"/>
        </w:rPr>
      </w:pPr>
      <w:r>
        <w:rPr>
          <w:rFonts w:ascii="黑体" w:hAnsi="黑体" w:cs="黑体" w:hint="eastAsia" w:eastAsia="黑体"/>
          <w:b w:val="false"/>
          <w:bCs w:val="false"/>
          <w:color w:val="000000"/>
          <w:sz w:val="32"/>
          <w:szCs w:val="32"/>
        </w:rPr>
        <w:t>第四十六条</w:t>
      </w:r>
      <w:r>
        <w:rPr>
          <w:rFonts w:ascii="仿宋" w:hAnsi="仿宋" w:cs="仿宋" w:hint="eastAsia" w:eastAsia="仿宋_GB2312"/>
          <w:color w:val="000000"/>
          <w:kern w:val="0"/>
          <w:sz w:val="32"/>
          <w:szCs w:val="32"/>
        </w:rPr>
        <w:t xml:space="preserve"> 违反本条例规定</w:t>
      </w:r>
      <w:r>
        <w:rPr>
          <w:rFonts w:ascii="仿宋" w:hAnsi="仿宋" w:cs="仿宋" w:hint="eastAsia" w:eastAsia="仿宋_GB2312"/>
          <w:bCs/>
          <w:color w:val="000000"/>
          <w:sz w:val="32"/>
          <w:szCs w:val="32"/>
        </w:rPr>
        <w:t>的其他行为，应当承担法律责任的，依照</w:t>
      </w:r>
      <w:r>
        <w:rPr>
          <w:rFonts w:ascii="仿宋" w:hAnsi="仿宋" w:cs="仿宋" w:hint="eastAsia" w:eastAsia="仿宋_GB2312"/>
          <w:bCs/>
          <w:color w:val="000000"/>
          <w:sz w:val="32"/>
          <w:szCs w:val="32"/>
          <w:lang w:eastAsia="zh-CN"/>
        </w:rPr>
        <w:t>有关</w:t>
      </w:r>
      <w:r>
        <w:rPr>
          <w:rFonts w:ascii="仿宋" w:hAnsi="仿宋" w:cs="仿宋" w:hint="eastAsia" w:eastAsia="仿宋_GB2312"/>
          <w:bCs/>
          <w:color w:val="000000"/>
          <w:sz w:val="32"/>
          <w:szCs w:val="32"/>
        </w:rPr>
        <w:t>法律法规执行。</w:t>
      </w:r>
    </w:p>
    <w:p>
      <w:pPr>
        <w:pStyle w:val="List"/>
        <w:rPr>
          <w:rFonts w:ascii="仿宋" w:hAnsi="仿宋" w:eastAsia="仿宋_GB2312" w:cs="仿宋" w:hint="eastAsia"/>
          <w:bCs/>
          <w:color w:val="000000"/>
          <w:sz w:val="32"/>
          <w:szCs w:val="32"/>
        </w:rPr>
      </w:pPr>
      <w:r>
        <w:rPr>
          <w:rFonts w:eastAsia="仿宋_GB2312" w:cs="仿宋" w:hint="eastAsia" w:ascii="仿宋" w:hAnsi="仿宋"/>
          <w:bCs/>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60" w:before="156" w:after="156"/>
        <w:ind w:firstLineChars="900" w:startChars="0" w:start="0" w:endChars="0" w:end="0"/>
        <w:jc w:val="start"/>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w:t>
      </w:r>
      <w:r>
        <w:rPr>
          <w:rFonts w:ascii="宋体;方正书宋_GBK" w:hAnsi="宋体;方正书宋_GBK" w:cs="宋体;方正书宋_GBK" w:hint="eastAsia"/>
          <w:color w:val="000000"/>
          <w:sz w:val="32"/>
          <w:szCs w:val="32"/>
        </w:rPr>
        <w:t> </w:t>
      </w:r>
      <w:r>
        <w:rPr>
          <w:rFonts w:ascii="黑体" w:hAnsi="黑体" w:cs="黑体" w:hint="eastAsia" w:eastAsia="黑体"/>
          <w:color w:val="000000"/>
          <w:sz w:val="32"/>
          <w:szCs w:val="32"/>
        </w:rPr>
        <w:t xml:space="preserve">  附</w:t>
      </w:r>
      <w:r>
        <w:rPr>
          <w:rFonts w:ascii="宋体;方正书宋_GBK" w:hAnsi="宋体;方正书宋_GBK" w:cs="宋体;方正书宋_GBK" w:hint="eastAsia"/>
          <w:color w:val="000000"/>
          <w:sz w:val="32"/>
          <w:szCs w:val="32"/>
        </w:rPr>
        <w:t> </w:t>
      </w:r>
      <w:r>
        <w:rPr>
          <w:rFonts w:ascii="黑体" w:hAnsi="黑体" w:cs="黑体" w:hint="eastAsia" w:eastAsia="黑体"/>
          <w:color w:val="000000"/>
          <w:sz w:val="32"/>
          <w:szCs w:val="32"/>
        </w:rPr>
        <w:t xml:space="preserve"> 则</w:t>
      </w:r>
    </w:p>
    <w:p>
      <w:pPr>
        <w:pStyle w:val="Lis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tabs>
          <w:tab w:val="clear" w:pos="420"/>
          <w:tab w:val="left" w:pos="540" w:leader="none"/>
        </w:tabs>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b w:val="false"/>
          <w:bCs w:val="false"/>
          <w:color w:val="000000"/>
          <w:sz w:val="32"/>
          <w:szCs w:val="32"/>
        </w:rPr>
        <w:t xml:space="preserve">第四十七条 </w:t>
      </w:r>
      <w:r>
        <w:rPr>
          <w:rFonts w:ascii="Times New Roman" w:hAnsi="Times New Roman" w:cs="Times New Roman" w:eastAsia="仿宋_GB2312"/>
          <w:b w:val="false"/>
          <w:bCs w:val="false"/>
          <w:color w:val="000000"/>
          <w:sz w:val="32"/>
          <w:szCs w:val="32"/>
        </w:rPr>
        <w:t>本条例自</w:t>
      </w:r>
      <w:r>
        <w:rPr>
          <w:rFonts w:eastAsia="仿宋_GB2312" w:cs="Times New Roman"/>
          <w:b w:val="false"/>
          <w:bCs w:val="false"/>
          <w:color w:val="000000"/>
          <w:sz w:val="32"/>
          <w:szCs w:val="32"/>
        </w:rPr>
        <w:t>2022</w:t>
      </w:r>
      <w:r>
        <w:rPr>
          <w:rFonts w:ascii="Times New Roman" w:hAnsi="Times New Roman" w:cs="Times New Roman" w:eastAsia="仿宋_GB2312"/>
          <w:b w:val="false"/>
          <w:bCs w:val="false"/>
          <w:color w:val="000000"/>
          <w:sz w:val="32"/>
          <w:szCs w:val="32"/>
        </w:rPr>
        <w:t>年</w:t>
      </w:r>
      <w:r>
        <w:rPr>
          <w:rFonts w:eastAsia="仿宋_GB2312" w:cs="Times New Roman"/>
          <w:b w:val="false"/>
          <w:bCs w:val="false"/>
          <w:color w:val="000000"/>
          <w:sz w:val="32"/>
          <w:szCs w:val="32"/>
        </w:rPr>
        <w:t>9</w:t>
      </w:r>
      <w:r>
        <w:rPr>
          <w:rFonts w:ascii="Times New Roman" w:hAnsi="Times New Roman" w:cs="Times New Roman" w:eastAsia="仿宋_GB2312"/>
          <w:b w:val="false"/>
          <w:bCs w:val="false"/>
          <w:color w:val="000000"/>
          <w:sz w:val="32"/>
          <w:szCs w:val="32"/>
        </w:rPr>
        <w:t>月</w:t>
      </w:r>
      <w:r>
        <w:rPr>
          <w:rFonts w:eastAsia="仿宋_GB2312" w:cs="Times New Roman"/>
          <w:b w:val="false"/>
          <w:bCs w:val="false"/>
          <w:color w:val="000000"/>
          <w:sz w:val="32"/>
          <w:szCs w:val="32"/>
        </w:rPr>
        <w:t>1</w:t>
      </w:r>
      <w:r>
        <w:rPr>
          <w:rFonts w:ascii="Times New Roman" w:hAnsi="Times New Roman" w:cs="Times New Roman" w:eastAsia="仿宋_GB2312"/>
          <w:b w:val="false"/>
          <w:bCs w:val="false"/>
          <w:color w:val="000000"/>
          <w:sz w:val="32"/>
          <w:szCs w:val="32"/>
        </w:rPr>
        <w:t>日起施行</w:t>
      </w:r>
      <w:r>
        <w:rPr>
          <w:rFonts w:ascii="仿宋" w:hAnsi="仿宋" w:cs="仿宋" w:hint="eastAsia" w:eastAsia="仿宋_GB2312"/>
          <w:b w:val="false"/>
          <w:bCs w:val="false"/>
          <w:color w:val="000000"/>
          <w:sz w:val="32"/>
          <w:szCs w:val="32"/>
        </w:rPr>
        <w:t xml:space="preserve">。《新疆维吾尔自治区保护老年人合法权益条例》同时废止。 </w:t>
      </w:r>
      <w:r>
        <w:rPr>
          <w:rFonts w:ascii="仿宋" w:hAnsi="仿宋" w:cs="仿宋" w:hint="eastAsia" w:eastAsia="仿宋_GB2312"/>
          <w:color w:val="000000"/>
          <w:sz w:val="32"/>
          <w:szCs w:val="32"/>
        </w:rPr>
        <w:t xml:space="preserve"> </w:t>
      </w:r>
    </w:p>
    <w:sectPr>
      <w:footerReference w:type="default" r:id="rId2"/>
      <w:type w:val="nextPage"/>
      <w:pgSz w:w="11906" w:h="16838"/>
      <w:pgMar w:left="1531" w:right="1531" w:gutter="0" w:header="0" w:top="2098" w:footer="992" w:bottom="1531"/>
      <w:pgNumType w:fmt="decimal"/>
      <w:formProt w:val="false"/>
      <w:textDirection w:val="lrTb"/>
      <w:docGrid w:type="lines" w:linePitch="31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altName w:val="方正书宋_GBK"/>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黑体">
    <w:charset w:val="86"/>
    <w:family w:val="auto"/>
    <w:pitch w:val="default"/>
  </w:font>
  <w:font w:name="楷体_GB2312">
    <w:charset w:val="86"/>
    <w:family w:val="auto"/>
    <w:pitch w:val="default"/>
  </w:font>
  <w:font w:name="方正楷体_GBK">
    <w:charset w:val="86"/>
    <w:family w:val="auto"/>
    <w:pitch w:val="default"/>
  </w:font>
  <w:font w:name="仿宋">
    <w:charset w:val="86"/>
    <w:family w:val="modern"/>
    <w:pitch w:val="default"/>
  </w:font>
  <w:font w:name="方正黑体_GBK">
    <w:charset w:val="86"/>
    <w:family w:val="auto"/>
    <w:pitch w:val="default"/>
  </w:font>
  <w:font w:name="仿宋_GB2312">
    <w:charset w:val="86"/>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12</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0pt;mso-position-vertical-relative:text;margin-left:213.25pt;mso-position-horizontal:center;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12</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docVars>
    <w:docVar w:name="commondata" w:val="eyJoZGlkIjoiMjNmNWQ3ZTQzZGQ3YzkzZWNjMGRlZDhhYjFlMjI1Ym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List"/>
    <w:qFormat/>
    <w:pPr>
      <w:widowControl w:val="false"/>
      <w:bidi w:val="0"/>
      <w:jc w:val="both"/>
    </w:pPr>
    <w:rPr>
      <w:rFonts w:ascii="Times New Roman" w:hAnsi="Times New Roman" w:eastAsia="宋体;方正书宋_GBK" w:cs="Times New Roman"/>
      <w:color w:val="auto"/>
      <w:kern w:val="2"/>
      <w:sz w:val="21"/>
      <w:szCs w:val="24"/>
      <w:lang w:bidi="ar-SA" w:val="en-US" w:eastAsia="zh-CN"/>
    </w:rPr>
  </w:style>
  <w:style w:type="paragraph" w:styleId="Heading3">
    <w:name w:val="heading 3"/>
    <w:basedOn w:val="Normal"/>
    <w:next w:val="Normal"/>
    <w:qFormat/>
    <w:pPr>
      <w:widowControl w:val="false"/>
      <w:numPr>
        <w:ilvl w:val="2"/>
        <w:numId w:val="1"/>
      </w:numPr>
      <w:spacing w:lineRule="exact" w:line="572"/>
      <w:jc w:val="center"/>
      <w:outlineLvl w:val="2"/>
    </w:pPr>
    <w:rPr>
      <w:rFonts w:ascii="宋体;方正书宋_GBK" w:hAnsi="宋体;方正书宋_GBK" w:eastAsia="方正小标宋简体" w:cs="宋体;方正书宋_GBK" w:hint="eastAsia"/>
      <w:kern w:val="0"/>
      <w:sz w:val="44"/>
      <w:szCs w:val="27"/>
    </w:rPr>
  </w:style>
  <w:style w:type="character" w:styleId="WW8Num1z0">
    <w:name w:val="WW8Num1z0"/>
    <w:qFormat/>
    <w:rPr>
      <w:rFonts w:hint="eastAsia"/>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spacing w:before="0" w:after="0"/>
      <w:ind w:hangingChars="200" w:startChars="0" w:start="0" w:endChars="0" w:end="0"/>
      <w:contextualSpacing/>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ind w:firstLineChars="200" w:startChars="0" w:start="0" w:endChars="0" w:end="0"/>
    </w:pPr>
    <w:rPr>
      <w:rFonts w:ascii="Calibri;DejaVu Sans" w:hAnsi="Calibri;DejaVu Sans" w:eastAsia="宋体;方正书宋_GBK" w:cs="Calibri;DejaVu Sans"/>
    </w:rPr>
  </w:style>
  <w:style w:type="paragraph" w:styleId="Style15">
    <w:name w:val="纯文本"/>
    <w:basedOn w:val="Normal"/>
    <w:qFormat/>
    <w:pPr>
      <w:widowControl/>
      <w:spacing w:before="100" w:after="100"/>
      <w:jc w:val="start"/>
    </w:pPr>
    <w:rPr>
      <w:rFonts w:ascii="宋体;方正书宋_GBK" w:hAnsi="宋体;方正书宋_GBK" w:eastAsia="宋体;方正书宋_GBK" w:cs="宋体;方正书宋_GBK"/>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2022-05-05T06:52:00Z</dcterms:created>
  <dc:creator>thtf1</dc:creator>
  <dc:description/>
  <dc:language>en-US</dc:language>
  <cp:lastModifiedBy>user</cp:lastModifiedBy>
  <cp:lastPrinted>2022-07-31T09:00:00Z</cp:lastPrinted>
  <dcterms:modified xsi:type="dcterms:W3CDTF">2022-08-09T00:36:22Z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62439E19ACE041A39774D027B05FC35E</vt:lpwstr>
  </property>
  <property fmtid="{D5CDD505-2E9C-101B-9397-08002B2CF9AE}" pid="3" name="KSOProductBuildVer">
    <vt:lpwstr>2052-11.8.2.10337</vt:lpwstr>
  </property>
</Properties>
</file>