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color w:val="000000"/>
          <w:sz w:val="44"/>
          <w:szCs w:val="44"/>
          <w:shd w:fill="FFFFFF" w:val="clear"/>
        </w:rPr>
      </w:pPr>
      <w:r>
        <w:rPr>
          <w:rFonts w:eastAsia="宋体;方正书宋_GBK" w:cs="宋体;方正书宋_GBK" w:hint="eastAsia" w:ascii="宋体;方正书宋_GBK" w:hAnsi="宋体;方正书宋_GBK"/>
          <w:color w:val="000000"/>
          <w:sz w:val="44"/>
          <w:szCs w:val="44"/>
          <w:shd w:fill="FFFFFF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color w:val="000000"/>
          <w:sz w:val="44"/>
          <w:szCs w:val="44"/>
          <w:shd w:fill="FFFFFF" w:val="clear"/>
        </w:rPr>
      </w:pPr>
      <w:r>
        <w:rPr>
          <w:rFonts w:eastAsia="宋体;方正书宋_GBK" w:cs="宋体;方正书宋_GBK" w:hint="eastAsia" w:ascii="宋体;方正书宋_GBK" w:hAnsi="宋体;方正书宋_GBK"/>
          <w:color w:val="000000"/>
          <w:sz w:val="44"/>
          <w:szCs w:val="44"/>
          <w:shd w:fill="FFFFFF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color w:val="000000"/>
          <w:sz w:val="44"/>
          <w:szCs w:val="44"/>
          <w:shd w:fill="FFFFFF" w:val="clear"/>
        </w:rPr>
      </w:pPr>
      <w:r>
        <w:rPr>
          <w:rFonts w:ascii="宋体;方正书宋_GBK" w:hAnsi="宋体;方正书宋_GBK" w:cs="宋体;方正书宋_GBK" w:hint="eastAsia" w:eastAsia="宋体;方正书宋_GBK"/>
          <w:color w:val="000000"/>
          <w:sz w:val="44"/>
          <w:szCs w:val="44"/>
          <w:shd w:fill="FFFFFF" w:val="clear"/>
        </w:rPr>
        <w:t>新疆维吾尔自治区人民代表大会常务委员会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color w:val="000000"/>
          <w:sz w:val="44"/>
          <w:szCs w:val="44"/>
        </w:rPr>
      </w:pPr>
      <w:r>
        <w:rPr>
          <w:rFonts w:ascii="宋体;方正书宋_GBK" w:hAnsi="宋体;方正书宋_GBK" w:cs="宋体;方正书宋_GBK" w:hint="eastAsia" w:eastAsia="宋体;方正书宋_GBK"/>
          <w:color w:val="000000"/>
          <w:sz w:val="44"/>
          <w:szCs w:val="44"/>
        </w:rPr>
        <w:t>关于胡杨河市、新星市耕地占用税</w:t>
      </w:r>
    </w:p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true"/>
        <w:spacing w:lineRule="exact" w:line="560"/>
        <w:jc w:val="center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宋体;方正书宋_GBK" w:hAnsi="宋体;方正书宋_GBK" w:cs="宋体;方正书宋_GBK" w:hint="eastAsia" w:eastAsia="宋体;方正书宋_GBK"/>
          <w:color w:val="000000"/>
          <w:sz w:val="44"/>
          <w:szCs w:val="44"/>
        </w:rPr>
        <w:t>适用税额的决定</w:t>
      </w:r>
      <w:r>
        <w:rPr>
          <w:rFonts w:ascii="仿宋_GB2312" w:hAnsi="仿宋_GB2312" w:cs="仿宋_GB2312" w:hint="eastAsia" w:eastAsia="仿宋_GB2312"/>
          <w:position w:val="0"/>
          <w:sz w:val="32"/>
          <w:szCs w:val="32"/>
          <w:vertAlign w:val="baseline"/>
        </w:rPr>
        <w:t xml:space="preserve">                      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 w:before="0" w:after="0"/>
        <w:ind w:firstLineChars="0" w:firstLine="0" w:startChars="0" w:start="0" w:endChars="296"/>
        <w:jc w:val="center"/>
        <w:textAlignment w:val="auto"/>
        <w:rPr>
          <w:rFonts w:ascii="楷体_GB2312" w:hAnsi="楷体_GB2312" w:eastAsia="楷体_GB2312" w:cs="楷体_GB2312" w:hint="eastAsia"/>
          <w:color w:val="000000"/>
          <w:sz w:val="32"/>
          <w:szCs w:val="32"/>
        </w:rPr>
      </w:pPr>
      <w:r>
        <w:rPr>
          <w:rFonts w:eastAsia="楷体_GB2312" w:cs="楷体_GB2312" w:hint="eastAsia" w:ascii="楷体_GB2312" w:hAnsi="楷体_GB2312"/>
          <w:color w:val="000000"/>
          <w:sz w:val="32"/>
          <w:szCs w:val="32"/>
        </w:rPr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 w:before="0" w:after="0"/>
        <w:ind w:firstLineChars="0" w:firstLine="0" w:startChars="0" w:start="0" w:endChars="296"/>
        <w:jc w:val="center"/>
        <w:textAlignment w:val="auto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z w:val="32"/>
          <w:szCs w:val="32"/>
        </w:rPr>
        <w:t>2022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5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27</w:t>
      </w:r>
      <w:r>
        <w:rPr>
          <w:rFonts w:ascii="楷体_GB2312" w:hAnsi="楷体_GB2312" w:cs="楷体_GB2312" w:hint="eastAsia" w:eastAsia="楷体_GB2312"/>
          <w:sz w:val="32"/>
          <w:szCs w:val="32"/>
        </w:rPr>
        <w:t>日新疆维吾尔自治区第十三届人民代表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 w:before="0" w:after="0"/>
        <w:ind w:firstLineChars="0" w:firstLine="0" w:startChars="0" w:start="0" w:endChars="296"/>
        <w:jc w:val="center"/>
        <w:textAlignment w:val="auto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大会常务委员会第三十三次会议通过）</w:t>
      </w:r>
    </w:p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true"/>
        <w:spacing w:lineRule="exact" w:line="560"/>
        <w:jc w:val="start"/>
        <w:textAlignment w:val="auto"/>
        <w:rPr>
          <w:rFonts w:ascii="楷体_GB2312" w:hAnsi="楷体_GB2312" w:eastAsia="楷体_GB2312" w:cs="楷体_GB2312" w:hint="eastAsia"/>
          <w:color w:val="000000"/>
          <w:sz w:val="32"/>
          <w:szCs w:val="32"/>
        </w:rPr>
      </w:pPr>
      <w:r>
        <w:rPr>
          <w:rFonts w:eastAsia="楷体_GB2312" w:cs="楷体_GB2312" w:hint="eastAsia" w:ascii="楷体_GB2312" w:hAnsi="楷体_GB2312"/>
          <w:color w:val="000000"/>
          <w:sz w:val="32"/>
          <w:szCs w:val="32"/>
        </w:rPr>
        <w:t> </w:t>
      </w:r>
    </w:p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true"/>
        <w:spacing w:lineRule="exact" w:line="56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  <w:t xml:space="preserve">   </w:t>
      </w:r>
      <w:r>
        <w:rPr>
          <w:rFonts w:ascii="仿宋_GB2312" w:hAnsi="仿宋_GB2312" w:cs="仿宋_GB2312" w:hint="eastAsia" w:eastAsia="仿宋_GB2312"/>
          <w:sz w:val="32"/>
          <w:szCs w:val="32"/>
        </w:rPr>
        <w:t>根据《中华人民共和国耕地占用税法》规定，结合胡杨河市、新星市经济发展、人均耕地面积等实际情况，对其自批复设立之日起耕地占用税适用税额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作如下决定：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一、</w:t>
      </w:r>
      <w:r>
        <w:rPr>
          <w:rFonts w:ascii="仿宋_GB2312" w:hAnsi="仿宋_GB2312" w:cs="仿宋_GB2312" w:hint="eastAsia" w:eastAsia="仿宋_GB2312"/>
          <w:sz w:val="32"/>
          <w:szCs w:val="32"/>
        </w:rPr>
        <w:t>胡杨河市耕地占用税适用税额标准为每平方米十五元。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二、</w:t>
      </w:r>
      <w:r>
        <w:rPr>
          <w:rFonts w:ascii="仿宋_GB2312" w:hAnsi="仿宋_GB2312" w:cs="仿宋_GB2312" w:hint="eastAsia" w:eastAsia="仿宋_GB2312"/>
          <w:sz w:val="32"/>
          <w:szCs w:val="32"/>
        </w:rPr>
        <w:t>新星市耕地占用税适用税额标准为每平方米十八元。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三、</w:t>
      </w:r>
      <w:r>
        <w:rPr>
          <w:rFonts w:ascii="仿宋_GB2312" w:hAnsi="仿宋_GB2312" w:cs="仿宋_GB2312" w:hint="eastAsia" w:eastAsia="仿宋_GB2312"/>
          <w:sz w:val="32"/>
          <w:szCs w:val="32"/>
        </w:rPr>
        <w:t>本决定自公布之日起施行。</w:t>
      </w:r>
    </w:p>
    <w:p>
      <w:pPr>
        <w:pStyle w:val="Normal"/>
        <w:rPr>
          <w:rFonts w:ascii="仿宋_GB2312" w:hAnsi="仿宋_GB2312" w:eastAsia="仿宋_GB2312" w:cs="仿宋_GB2312" w:hint="eastAsia"/>
          <w:color w:val="000000"/>
          <w:sz w:val="32"/>
          <w:szCs w:val="32"/>
        </w:rPr>
      </w:pP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</w:r>
    </w:p>
    <w:sectPr>
      <w:type w:val="nextPage"/>
      <w:pgSz w:w="11906" w:h="16838"/>
      <w:pgMar w:left="1418" w:right="1418" w:gutter="0" w:header="0" w:top="204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DejaVu Sans"/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altName w:val="方正书宋_GBK"/>
    <w:charset w:val="00" w:characterSet="windows-1252"/>
    <w:family w:val="auto"/>
    <w:pitch w:val="default"/>
  </w:font>
  <w:font w:name="仿宋_GB2312">
    <w:charset w:val="86"/>
    <w:family w:val="auto"/>
    <w:pitch w:val="default"/>
  </w:font>
  <w:font w:name="楷体_GB2312">
    <w:charset w:val="86"/>
    <w:family w:val="auto"/>
    <w:pitch w:val="default"/>
  </w:font>
  <w:font w:name="黑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BodyText"/>
    <w:qFormat/>
    <w:pPr>
      <w:widowControl w:val="false"/>
      <w:bidi w:val="0"/>
      <w:jc w:val="both"/>
    </w:pPr>
    <w:rPr>
      <w:rFonts w:ascii="Calibri;DejaVu Sans" w:hAnsi="Calibri;DejaVu Sans" w:eastAsia="宋体;方正书宋_GBK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next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纯文本"/>
    <w:basedOn w:val="Normal"/>
    <w:qFormat/>
    <w:pPr>
      <w:snapToGrid w:val="true"/>
      <w:spacing w:before="100" w:after="100"/>
      <w:jc w:val="start"/>
    </w:pPr>
    <w:rPr>
      <w:rFonts w:ascii="宋体;方正书宋_GBK" w:hAnsi="宋体;方正书宋_GBK" w:eastAsia="宋体;方正书宋_GBK" w:cs="宋体;方正书宋_GBK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2014-11-01T04:08:00Z</dcterms:created>
  <dc:creator>Administrator</dc:creator>
  <dc:description/>
  <dc:language>en-US</dc:language>
  <cp:lastModifiedBy>user</cp:lastModifiedBy>
  <cp:lastPrinted>2022-05-29T11:17:00Z</cp:lastPrinted>
  <dcterms:modified xsi:type="dcterms:W3CDTF">2022-06-07T02:40:37Z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