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西宁市城市广场管理条例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　（</w:t>
      </w:r>
      <w:r>
        <w:rPr>
          <w:rFonts w:eastAsia="楷体_GB2312" w:hint="eastAsia" w:ascii="楷体_GB2312" w:hAnsi="楷体_GB2312"/>
        </w:rPr>
        <w:t>2002</w:t>
      </w:r>
      <w:r>
        <w:rPr>
          <w:rFonts w:ascii="楷体_GB2312" w:hAnsi="楷体_GB2312" w:hint="eastAsia" w:eastAsia="楷体_GB2312"/>
        </w:rPr>
        <w:t>年</w:t>
      </w:r>
      <w:r>
        <w:rPr>
          <w:rFonts w:eastAsia="楷体_GB2312" w:hint="eastAsia" w:ascii="楷体_GB2312" w:hAnsi="楷体_GB2312"/>
        </w:rPr>
        <w:t>2</w:t>
      </w:r>
      <w:r>
        <w:rPr>
          <w:rFonts w:ascii="楷体_GB2312" w:hAnsi="楷体_GB2312" w:hint="eastAsia" w:eastAsia="楷体_GB2312"/>
        </w:rPr>
        <w:t>月</w:t>
      </w:r>
      <w:r>
        <w:rPr>
          <w:rFonts w:eastAsia="楷体_GB2312" w:hint="eastAsia" w:ascii="楷体_GB2312" w:hAnsi="楷体_GB2312"/>
        </w:rPr>
        <w:t>7</w:t>
      </w:r>
      <w:r>
        <w:rPr>
          <w:rFonts w:ascii="楷体_GB2312" w:hAnsi="楷体_GB2312" w:hint="eastAsia" w:eastAsia="楷体_GB2312"/>
        </w:rPr>
        <w:t>日西宁市第十二届人民代表大会常务委员会第三十七次会议通过　</w:t>
      </w:r>
      <w:r>
        <w:rPr>
          <w:rFonts w:eastAsia="楷体_GB2312" w:hint="eastAsia" w:ascii="楷体_GB2312" w:hAnsi="楷体_GB2312"/>
        </w:rPr>
        <w:t>2002</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31</w:t>
      </w:r>
      <w:r>
        <w:rPr>
          <w:rFonts w:ascii="楷体_GB2312" w:hAnsi="楷体_GB2312" w:hint="eastAsia" w:eastAsia="楷体_GB2312"/>
        </w:rPr>
        <w:t>日青海省第九届人民代表大会常务委员会第三十次会议批准　根据</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日西宁市第十四届人民代表大会常务委员会第二十七次会议《关于废止和修改部分地方性法规的决定》修正　</w:t>
      </w:r>
      <w:r>
        <w:rPr>
          <w:rFonts w:eastAsia="楷体_GB2312" w:hint="eastAsia" w:ascii="楷体_GB2312" w:hAnsi="楷体_GB2312"/>
        </w:rPr>
        <w:t>2010</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日青海省第十一届人民代表大会常务委员会第十五次会议批准）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rPr/>
      </w:pPr>
      <w:r>
        <w:rPr>
          <w:rFonts w:hint="eastAsia"/>
        </w:rPr>
        <w:t>　　</w:t>
      </w:r>
      <w:r>
        <w:rPr>
          <w:rFonts w:ascii="黑体;SimHei" w:hAnsi="黑体;SimHei" w:cs="黑体;SimHei" w:hint="eastAsia" w:eastAsia="黑体;SimHei"/>
        </w:rPr>
        <w:t>第一条</w:t>
      </w:r>
      <w:r>
        <w:rPr>
          <w:rFonts w:hint="eastAsia"/>
        </w:rPr>
        <w:t>　为了加强城市广场管理，维护广场正常秩序，保护环境卫生和市政公用设施，为公众提供一个良好的活动、休憩环境，根据国家有关法律、法规的规定，结合本市实际，制定本条例。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本条例适用于本市对公众开放的休闲、娱乐、集会等活动的广场管理。</w:t>
      </w:r>
    </w:p>
    <w:p>
      <w:pPr>
        <w:pStyle w:val="Normal"/>
        <w:rPr>
          <w:rFonts w:hint="eastAsia"/>
        </w:rPr>
      </w:pPr>
      <w:r>
        <w:rPr>
          <w:rFonts w:hint="eastAsia"/>
        </w:rPr>
        <w:t>　　纳入本条例管理范围的广场由市、县人民政府确定并公布。</w:t>
      </w:r>
    </w:p>
    <w:p>
      <w:pPr>
        <w:pStyle w:val="Normal"/>
        <w:rPr/>
      </w:pPr>
      <w:r>
        <w:rPr>
          <w:rFonts w:hint="eastAsia"/>
        </w:rPr>
        <w:t>　</w:t>
      </w:r>
      <w:r>
        <w:rPr>
          <w:rFonts w:ascii="黑体;SimHei" w:hAnsi="黑体;SimHei" w:cs="黑体;SimHei" w:hint="eastAsia" w:eastAsia="黑体;SimHei"/>
        </w:rPr>
        <w:t>　第三条</w:t>
      </w:r>
      <w:r>
        <w:rPr>
          <w:rFonts w:hint="eastAsia"/>
        </w:rPr>
        <w:t>　市、区、县人民政府成立的具有管理公共事务职能的组织实施对广场的日常管理；城建、园林、城管、公安等行政管理部门按照各自的职责履行行政管理职能。</w:t>
      </w:r>
    </w:p>
    <w:p>
      <w:pPr>
        <w:pStyle w:val="Normal"/>
        <w:rPr/>
      </w:pPr>
      <w:r>
        <w:rPr>
          <w:rFonts w:hint="eastAsia"/>
        </w:rPr>
        <w:t>　</w:t>
      </w:r>
      <w:r>
        <w:rPr>
          <w:rFonts w:ascii="黑体;SimHei" w:hAnsi="黑体;SimHei" w:cs="黑体;SimHei" w:hint="eastAsia" w:eastAsia="黑体;SimHei"/>
        </w:rPr>
        <w:t>　第四条</w:t>
      </w:r>
      <w:r>
        <w:rPr>
          <w:rFonts w:hint="eastAsia"/>
        </w:rPr>
        <w:t>　进入广场的单位和个人，应当自觉遵守社会公德，文明游览、休憩，维护广场秩序和环境卫生，接受广场管理人员的管理。</w:t>
      </w:r>
    </w:p>
    <w:p>
      <w:pPr>
        <w:pStyle w:val="Normal"/>
        <w:rPr/>
      </w:pPr>
      <w:r>
        <w:rPr>
          <w:rFonts w:hint="eastAsia"/>
        </w:rPr>
        <w:t>　</w:t>
      </w:r>
      <w:r>
        <w:rPr>
          <w:rFonts w:ascii="黑体;SimHei" w:hAnsi="黑体;SimHei" w:cs="黑体;SimHei" w:hint="eastAsia" w:eastAsia="黑体;SimHei"/>
        </w:rPr>
        <w:t>　第五条</w:t>
      </w:r>
      <w:r>
        <w:rPr>
          <w:rFonts w:hint="eastAsia"/>
        </w:rPr>
        <w:t>　广场管理组织应当认真履行职责，加强管理，维护广场秩序，保证广场建筑物、构筑物及市政公用设施完好，精心养护广场花草树木，保持广场整洁美观。</w:t>
      </w:r>
    </w:p>
    <w:p>
      <w:pPr>
        <w:pStyle w:val="Normal"/>
        <w:rPr/>
      </w:pPr>
      <w:r>
        <w:rPr>
          <w:rFonts w:hint="eastAsia"/>
        </w:rPr>
        <w:t>　</w:t>
      </w:r>
      <w:r>
        <w:rPr>
          <w:rFonts w:ascii="黑体;SimHei" w:hAnsi="黑体;SimHei" w:cs="黑体;SimHei" w:hint="eastAsia" w:eastAsia="黑体;SimHei"/>
        </w:rPr>
        <w:t>　第六条</w:t>
      </w:r>
      <w:r>
        <w:rPr>
          <w:rFonts w:hint="eastAsia"/>
        </w:rPr>
        <w:t>　进入广场的单位和个人应当爱护市政公用设施，不得有下列行为：</w:t>
      </w:r>
    </w:p>
    <w:p>
      <w:pPr>
        <w:pStyle w:val="Normal"/>
        <w:rPr>
          <w:rFonts w:hint="eastAsia"/>
        </w:rPr>
      </w:pPr>
      <w:r>
        <w:rPr>
          <w:rFonts w:hint="eastAsia"/>
        </w:rPr>
        <w:t>　　（一）损毁广场地面铺装物、喷水设施、凳椅、广场鸽舍、公告栏、画廊、雕塑、公用电话、灯饰、标志牌、井盖、隔离护栏等市政公用设施；</w:t>
      </w:r>
    </w:p>
    <w:p>
      <w:pPr>
        <w:pStyle w:val="Normal"/>
        <w:rPr>
          <w:rFonts w:hint="eastAsia"/>
        </w:rPr>
      </w:pPr>
      <w:r>
        <w:rPr>
          <w:rFonts w:hint="eastAsia"/>
        </w:rPr>
        <w:t>　　（二）擅自搭建建筑物、构筑物，开挖地（路）面。</w:t>
      </w:r>
    </w:p>
    <w:p>
      <w:pPr>
        <w:pStyle w:val="Normal"/>
        <w:rPr/>
      </w:pPr>
      <w:r>
        <w:rPr>
          <w:rFonts w:hint="eastAsia"/>
        </w:rPr>
        <w:t>　</w:t>
      </w:r>
      <w:r>
        <w:rPr>
          <w:rFonts w:ascii="黑体;SimHei" w:hAnsi="黑体;SimHei" w:cs="黑体;SimHei" w:hint="eastAsia" w:eastAsia="黑体;SimHei"/>
        </w:rPr>
        <w:t>　第七条</w:t>
      </w:r>
      <w:r>
        <w:rPr>
          <w:rFonts w:hint="eastAsia"/>
        </w:rPr>
        <w:t>　进入广场的单位和个人应当爱护绿地和花草树木，不得有下列行为：</w:t>
      </w:r>
    </w:p>
    <w:p>
      <w:pPr>
        <w:pStyle w:val="Normal"/>
        <w:rPr>
          <w:rFonts w:hint="eastAsia"/>
        </w:rPr>
      </w:pPr>
      <w:r>
        <w:rPr>
          <w:rFonts w:hint="eastAsia"/>
        </w:rPr>
        <w:t>　　（一）占用绿地，在绿地内堆放杂物，挖坑取土；</w:t>
      </w:r>
    </w:p>
    <w:p>
      <w:pPr>
        <w:pStyle w:val="Normal"/>
        <w:rPr>
          <w:rFonts w:hint="eastAsia"/>
        </w:rPr>
      </w:pPr>
      <w:r>
        <w:rPr>
          <w:rFonts w:hint="eastAsia"/>
        </w:rPr>
        <w:t>　　（二）折损、刻划树木，采摘花果；</w:t>
      </w:r>
    </w:p>
    <w:p>
      <w:pPr>
        <w:pStyle w:val="Normal"/>
        <w:rPr>
          <w:rFonts w:hint="eastAsia"/>
        </w:rPr>
      </w:pPr>
      <w:r>
        <w:rPr>
          <w:rFonts w:hint="eastAsia"/>
        </w:rPr>
        <w:t>　　（三）践踏绿地、花坛。</w:t>
      </w:r>
    </w:p>
    <w:p>
      <w:pPr>
        <w:pStyle w:val="Normal"/>
        <w:rPr/>
      </w:pPr>
      <w:r>
        <w:rPr>
          <w:rFonts w:ascii="黑体;SimHei" w:hAnsi="黑体;SimHei" w:cs="黑体;SimHei" w:hint="eastAsia" w:eastAsia="黑体;SimHei"/>
        </w:rPr>
        <w:t>　　第八条　</w:t>
      </w:r>
      <w:r>
        <w:rPr>
          <w:rFonts w:hint="eastAsia"/>
        </w:rPr>
        <w:t>进入广场的单位和个人应当爱护环境卫生，保持广场整洁美观，不得有下列行为：</w:t>
      </w:r>
    </w:p>
    <w:p>
      <w:pPr>
        <w:pStyle w:val="Normal"/>
        <w:rPr>
          <w:rFonts w:hint="eastAsia"/>
        </w:rPr>
      </w:pPr>
      <w:r>
        <w:rPr>
          <w:rFonts w:hint="eastAsia"/>
        </w:rPr>
        <w:t>　　（一）随地吐痰，便溺或者乱扔，乱倒废弃物；</w:t>
      </w:r>
    </w:p>
    <w:p>
      <w:pPr>
        <w:pStyle w:val="Normal"/>
        <w:rPr>
          <w:rFonts w:hint="eastAsia"/>
        </w:rPr>
      </w:pPr>
      <w:r>
        <w:rPr>
          <w:rFonts w:hint="eastAsia"/>
        </w:rPr>
        <w:t>　　（二）车辆装载的货物撒落、飞扬、泄漏；</w:t>
      </w:r>
    </w:p>
    <w:p>
      <w:pPr>
        <w:pStyle w:val="Normal"/>
        <w:rPr>
          <w:rFonts w:hint="eastAsia"/>
        </w:rPr>
      </w:pPr>
      <w:r>
        <w:rPr>
          <w:rFonts w:hint="eastAsia"/>
        </w:rPr>
        <w:t>　　（三）在建筑物，构筑物上涂写、刻，画；</w:t>
      </w:r>
    </w:p>
    <w:p>
      <w:pPr>
        <w:pStyle w:val="Normal"/>
        <w:rPr>
          <w:rFonts w:hint="eastAsia"/>
        </w:rPr>
      </w:pPr>
      <w:r>
        <w:rPr>
          <w:rFonts w:hint="eastAsia"/>
        </w:rPr>
        <w:t>　　（四）吊挂、晾晒、焚烧物品；</w:t>
      </w:r>
    </w:p>
    <w:p>
      <w:pPr>
        <w:pStyle w:val="Normal"/>
        <w:rPr>
          <w:rFonts w:hint="eastAsia"/>
        </w:rPr>
      </w:pPr>
      <w:r>
        <w:rPr>
          <w:rFonts w:hint="eastAsia"/>
        </w:rPr>
        <w:t>　　（五）捕捉、伤害广场鸽；</w:t>
      </w:r>
    </w:p>
    <w:p>
      <w:pPr>
        <w:pStyle w:val="Normal"/>
        <w:rPr>
          <w:rFonts w:hint="eastAsia"/>
        </w:rPr>
      </w:pPr>
      <w:r>
        <w:rPr>
          <w:rFonts w:hint="eastAsia"/>
        </w:rPr>
        <w:t>　　（六）带入的宠物对他人构成危害或者影响环境卫生的；</w:t>
      </w:r>
    </w:p>
    <w:p>
      <w:pPr>
        <w:pStyle w:val="Normal"/>
        <w:rPr>
          <w:rFonts w:hint="eastAsia"/>
        </w:rPr>
      </w:pPr>
      <w:r>
        <w:rPr>
          <w:rFonts w:hint="eastAsia"/>
        </w:rPr>
        <w:t>　　（七）在喷水设施中洗涮；</w:t>
      </w:r>
    </w:p>
    <w:p>
      <w:pPr>
        <w:pStyle w:val="Normal"/>
        <w:rPr>
          <w:rFonts w:hint="eastAsia"/>
        </w:rPr>
      </w:pPr>
      <w:r>
        <w:rPr>
          <w:rFonts w:hint="eastAsia"/>
        </w:rPr>
        <w:t>　　（八）随意摆设经营性摊点；</w:t>
      </w:r>
    </w:p>
    <w:p>
      <w:pPr>
        <w:pStyle w:val="Normal"/>
        <w:rPr>
          <w:rFonts w:hint="eastAsia"/>
        </w:rPr>
      </w:pPr>
      <w:r>
        <w:rPr>
          <w:rFonts w:hint="eastAsia"/>
        </w:rPr>
        <w:t>　　（九）聚餐、酗酒及从事赌博、迷信等其他不文明活动。</w:t>
      </w:r>
    </w:p>
    <w:p>
      <w:pPr>
        <w:pStyle w:val="Normal"/>
        <w:rPr/>
      </w:pPr>
      <w:r>
        <w:rPr>
          <w:rFonts w:hint="eastAsia"/>
        </w:rPr>
        <w:t>　</w:t>
      </w:r>
      <w:r>
        <w:rPr>
          <w:rFonts w:ascii="黑体;SimHei" w:hAnsi="黑体;SimHei" w:cs="黑体;SimHei" w:hint="eastAsia" w:eastAsia="黑体;SimHei"/>
        </w:rPr>
        <w:t>　第九条</w:t>
      </w:r>
      <w:r>
        <w:rPr>
          <w:rFonts w:hint="eastAsia"/>
        </w:rPr>
        <w:t>　机动车、非机动车进入广场，应当遵守广场交通管理规定，禁止下列行为：</w:t>
      </w:r>
    </w:p>
    <w:p>
      <w:pPr>
        <w:pStyle w:val="Normal"/>
        <w:rPr>
          <w:rFonts w:hint="eastAsia"/>
        </w:rPr>
      </w:pPr>
      <w:r>
        <w:rPr>
          <w:rFonts w:hint="eastAsia"/>
        </w:rPr>
        <w:t>　　（一）在明令禁止通行的区域内通行；</w:t>
      </w:r>
    </w:p>
    <w:p>
      <w:pPr>
        <w:pStyle w:val="Normal"/>
        <w:rPr>
          <w:rFonts w:hint="eastAsia"/>
        </w:rPr>
      </w:pPr>
      <w:r>
        <w:rPr>
          <w:rFonts w:hint="eastAsia"/>
        </w:rPr>
        <w:t>　　（二）不在规定的地点停放车辆；</w:t>
      </w:r>
    </w:p>
    <w:p>
      <w:pPr>
        <w:pStyle w:val="Normal"/>
        <w:rPr>
          <w:rFonts w:hint="eastAsia"/>
        </w:rPr>
      </w:pPr>
      <w:r>
        <w:rPr>
          <w:rFonts w:hint="eastAsia"/>
        </w:rPr>
        <w:t>　　（三）冲洗车辆。</w:t>
      </w:r>
    </w:p>
    <w:p>
      <w:pPr>
        <w:pStyle w:val="Normal"/>
        <w:rPr/>
      </w:pPr>
      <w:r>
        <w:rPr>
          <w:rFonts w:hint="eastAsia"/>
        </w:rPr>
        <w:t>　</w:t>
      </w:r>
      <w:r>
        <w:rPr>
          <w:rFonts w:ascii="黑体;SimHei" w:hAnsi="黑体;SimHei" w:cs="黑体;SimHei" w:hint="eastAsia" w:eastAsia="黑体;SimHei"/>
        </w:rPr>
        <w:t>　第十条</w:t>
      </w:r>
      <w:r>
        <w:rPr>
          <w:rFonts w:hint="eastAsia"/>
        </w:rPr>
        <w:t>　广场内从事下列活动，应当在征得广场管理组织同意后，报有关行政管理部门批准：</w:t>
      </w:r>
    </w:p>
    <w:p>
      <w:pPr>
        <w:pStyle w:val="Normal"/>
        <w:rPr>
          <w:rFonts w:hint="eastAsia"/>
        </w:rPr>
      </w:pPr>
      <w:r>
        <w:rPr>
          <w:rFonts w:hint="eastAsia"/>
        </w:rPr>
        <w:t>　　（一）组织文娱、体育、展览、咨询、宣传等活动；</w:t>
      </w:r>
    </w:p>
    <w:p>
      <w:pPr>
        <w:pStyle w:val="Normal"/>
        <w:rPr>
          <w:rFonts w:hint="eastAsia"/>
        </w:rPr>
      </w:pPr>
      <w:r>
        <w:rPr>
          <w:rFonts w:hint="eastAsia"/>
        </w:rPr>
        <w:t>　　（二）设置广告或者悬挂、张贴宣传品；</w:t>
      </w:r>
    </w:p>
    <w:p>
      <w:pPr>
        <w:pStyle w:val="Normal"/>
        <w:rPr>
          <w:rFonts w:hint="eastAsia"/>
        </w:rPr>
      </w:pPr>
      <w:r>
        <w:rPr>
          <w:rFonts w:hint="eastAsia"/>
        </w:rPr>
        <w:t>　　（三）养护、维修、设置市政公用设施。</w:t>
      </w:r>
    </w:p>
    <w:p>
      <w:pPr>
        <w:pStyle w:val="Normal"/>
        <w:rPr>
          <w:rFonts w:hint="eastAsia"/>
        </w:rPr>
      </w:pPr>
      <w:r>
        <w:rPr>
          <w:rFonts w:hint="eastAsia"/>
        </w:rPr>
        <w:t>　　因组织各种活动损坏广场设施的，应当予以修复或者赔偿。</w:t>
      </w:r>
    </w:p>
    <w:p>
      <w:pPr>
        <w:pStyle w:val="Normal"/>
        <w:rPr/>
      </w:pPr>
      <w:r>
        <w:rPr>
          <w:rFonts w:hint="eastAsia"/>
        </w:rPr>
        <w:t>　　</w:t>
      </w:r>
      <w:r>
        <w:rPr>
          <w:rFonts w:ascii="黑体;SimHei" w:hAnsi="黑体;SimHei" w:cs="黑体;SimHei" w:hint="eastAsia" w:eastAsia="黑体;SimHei"/>
        </w:rPr>
        <w:t>第十一条</w:t>
      </w:r>
      <w:r>
        <w:rPr>
          <w:rFonts w:hint="eastAsia"/>
        </w:rPr>
        <w:t>　违反本条例规定的，由有关行政管理部门责令改正，造成广场设施损坏的，应当赔偿损失，并根据情节轻重，按下列规定给予处罚：</w:t>
      </w:r>
    </w:p>
    <w:p>
      <w:pPr>
        <w:pStyle w:val="Normal"/>
        <w:rPr>
          <w:rFonts w:hint="eastAsia"/>
        </w:rPr>
      </w:pPr>
      <w:r>
        <w:rPr>
          <w:rFonts w:hint="eastAsia"/>
        </w:rPr>
        <w:t>　　（一）有第六条规定行为之一的，可给予警告或</w:t>
      </w:r>
      <w:r>
        <w:rPr>
          <w:rFonts w:hint="eastAsia"/>
        </w:rPr>
        <w:t>50</w:t>
      </w:r>
      <w:r>
        <w:rPr>
          <w:rFonts w:hint="eastAsia"/>
        </w:rPr>
        <w:t>元至</w:t>
      </w:r>
      <w:r>
        <w:rPr>
          <w:rFonts w:hint="eastAsia"/>
        </w:rPr>
        <w:t>500</w:t>
      </w:r>
      <w:r>
        <w:rPr>
          <w:rFonts w:hint="eastAsia"/>
        </w:rPr>
        <w:t>元的罚款；</w:t>
      </w:r>
    </w:p>
    <w:p>
      <w:pPr>
        <w:pStyle w:val="Normal"/>
        <w:rPr>
          <w:rFonts w:hint="eastAsia"/>
        </w:rPr>
      </w:pPr>
      <w:r>
        <w:rPr>
          <w:rFonts w:hint="eastAsia"/>
        </w:rPr>
        <w:t>　　（二）有第七条规定行为之一的，可给予警告或</w:t>
      </w:r>
      <w:r>
        <w:rPr>
          <w:rFonts w:hint="eastAsia"/>
        </w:rPr>
        <w:t>10</w:t>
      </w:r>
      <w:r>
        <w:rPr>
          <w:rFonts w:hint="eastAsia"/>
        </w:rPr>
        <w:t>元至</w:t>
      </w:r>
      <w:r>
        <w:rPr>
          <w:rFonts w:hint="eastAsia"/>
        </w:rPr>
        <w:t>100</w:t>
      </w:r>
      <w:r>
        <w:rPr>
          <w:rFonts w:hint="eastAsia"/>
        </w:rPr>
        <w:t>元的罚款；</w:t>
      </w:r>
    </w:p>
    <w:p>
      <w:pPr>
        <w:pStyle w:val="Normal"/>
        <w:rPr>
          <w:rFonts w:hint="eastAsia"/>
        </w:rPr>
      </w:pPr>
      <w:r>
        <w:rPr>
          <w:rFonts w:hint="eastAsia"/>
        </w:rPr>
        <w:t>　　（三）有第八条规定行为之一的，可给予警告或</w:t>
      </w:r>
      <w:r>
        <w:rPr>
          <w:rFonts w:hint="eastAsia"/>
        </w:rPr>
        <w:t>5</w:t>
      </w:r>
      <w:r>
        <w:rPr>
          <w:rFonts w:hint="eastAsia"/>
        </w:rPr>
        <w:t>元至</w:t>
      </w:r>
      <w:r>
        <w:rPr>
          <w:rFonts w:hint="eastAsia"/>
        </w:rPr>
        <w:t>50</w:t>
      </w:r>
      <w:r>
        <w:rPr>
          <w:rFonts w:hint="eastAsia"/>
        </w:rPr>
        <w:t>元的罚款；</w:t>
      </w:r>
    </w:p>
    <w:p>
      <w:pPr>
        <w:pStyle w:val="Normal"/>
        <w:rPr>
          <w:rFonts w:hint="eastAsia"/>
        </w:rPr>
      </w:pPr>
      <w:r>
        <w:rPr>
          <w:rFonts w:hint="eastAsia"/>
        </w:rPr>
        <w:t>　　（四）有第九条规定行为之一的，可给予警告或者</w:t>
      </w:r>
      <w:r>
        <w:rPr>
          <w:rFonts w:hint="eastAsia"/>
        </w:rPr>
        <w:t>50</w:t>
      </w:r>
      <w:r>
        <w:rPr>
          <w:rFonts w:hint="eastAsia"/>
        </w:rPr>
        <w:t>元以下的罚款。</w:t>
      </w:r>
    </w:p>
    <w:p>
      <w:pPr>
        <w:pStyle w:val="Normal"/>
        <w:rPr/>
      </w:pPr>
      <w:r>
        <w:rPr>
          <w:rFonts w:hint="eastAsia"/>
        </w:rPr>
        <w:t>　</w:t>
      </w:r>
      <w:r>
        <w:rPr>
          <w:rFonts w:ascii="黑体;SimHei" w:hAnsi="黑体;SimHei" w:cs="黑体;SimHei" w:hint="eastAsia" w:eastAsia="黑体;SimHei"/>
        </w:rPr>
        <w:t>　第十二条</w:t>
      </w:r>
      <w:r>
        <w:rPr>
          <w:rFonts w:hint="eastAsia"/>
        </w:rPr>
        <w:t>　进入广场的单位或者个人，违反治安管理的，由公安机关依照《中华人民共和国治安管理处罚法》的规定处罚；情节严重，构成犯罪的，由司法机关依法处理。</w:t>
      </w:r>
    </w:p>
    <w:p>
      <w:pPr>
        <w:pStyle w:val="Normal"/>
        <w:rPr/>
      </w:pPr>
      <w:r>
        <w:rPr>
          <w:rFonts w:hint="eastAsia"/>
        </w:rPr>
        <w:t>　</w:t>
      </w:r>
      <w:r>
        <w:rPr>
          <w:rFonts w:ascii="黑体;SimHei" w:hAnsi="黑体;SimHei" w:cs="黑体;SimHei" w:hint="eastAsia" w:eastAsia="黑体;SimHei"/>
        </w:rPr>
        <w:t>　第十三条　</w:t>
      </w:r>
      <w:r>
        <w:rPr>
          <w:rFonts w:hint="eastAsia"/>
        </w:rPr>
        <w:t>有关行政管理部门的执法人员实施行政处罚，应当出示执法证件，出具行政处罚决定书；收缴罚没款应当出具省财政部门统一印制的罚没收据。罚没款收入上缴同级财政。</w:t>
      </w:r>
    </w:p>
    <w:p>
      <w:pPr>
        <w:pStyle w:val="Normal"/>
        <w:rPr/>
      </w:pPr>
      <w:r>
        <w:rPr>
          <w:rFonts w:hint="eastAsia"/>
        </w:rPr>
        <w:t>　</w:t>
      </w:r>
      <w:r>
        <w:rPr>
          <w:rFonts w:ascii="黑体;SimHei" w:hAnsi="黑体;SimHei" w:cs="黑体;SimHei" w:hint="eastAsia" w:eastAsia="黑体;SimHei"/>
        </w:rPr>
        <w:t>　第十四条</w:t>
      </w:r>
      <w:r>
        <w:rPr>
          <w:rFonts w:hint="eastAsia"/>
        </w:rPr>
        <w:t>　有关行政管理部门和广场管理组织的工作人员不履行职责，玩忽职守、滥用职权、徇私舞弊的，由其所在单位或者上级主管部门给予行政处分；情节严重，构成犯罪的，由司法机关依法处理。</w:t>
      </w:r>
    </w:p>
    <w:p>
      <w:pPr>
        <w:pStyle w:val="Normal"/>
        <w:rPr/>
      </w:pPr>
      <w:r>
        <w:rPr>
          <w:rFonts w:hint="eastAsia"/>
        </w:rPr>
        <w:t>　</w:t>
      </w:r>
      <w:r>
        <w:rPr>
          <w:rFonts w:ascii="黑体;SimHei" w:hAnsi="黑体;SimHei" w:cs="黑体;SimHei" w:hint="eastAsia" w:eastAsia="黑体;SimHei"/>
        </w:rPr>
        <w:t>　第十五条</w:t>
      </w:r>
      <w:r>
        <w:rPr>
          <w:rFonts w:hint="eastAsia"/>
        </w:rPr>
        <w:t>　当事人对有关行政管理部门作出的行政处罚不服的，可以按照《中华人民共和国行政复议法》和《中华人民共和国行政诉讼法》的规定，申请行政复议或者提起行政诉讼。</w:t>
      </w:r>
    </w:p>
    <w:p>
      <w:pPr>
        <w:pStyle w:val="Normal"/>
        <w:rPr/>
      </w:pPr>
      <w:r>
        <w:rPr>
          <w:rFonts w:hint="eastAsia"/>
        </w:rPr>
        <w:t>　　</w:t>
      </w:r>
      <w:r>
        <w:rPr>
          <w:rFonts w:ascii="黑体;SimHei" w:hAnsi="黑体;SimHei" w:cs="黑体;SimHei" w:hint="eastAsia" w:eastAsia="黑体;SimHei"/>
        </w:rPr>
        <w:t>第十六条　</w:t>
      </w:r>
      <w:r>
        <w:rPr>
          <w:rFonts w:hint="eastAsia"/>
        </w:rPr>
        <w:t>本条例应用中的具体问题由西宁市人民政府负责解释。</w:t>
      </w:r>
    </w:p>
    <w:p>
      <w:pPr>
        <w:pStyle w:val="Normal"/>
        <w:rPr/>
      </w:pPr>
      <w:r>
        <w:rPr>
          <w:rFonts w:hint="eastAsia"/>
        </w:rPr>
        <w:t>　</w:t>
      </w:r>
      <w:r>
        <w:rPr>
          <w:rFonts w:ascii="黑体;SimHei" w:hAnsi="黑体;SimHei" w:cs="黑体;SimHei" w:hint="eastAsia" w:eastAsia="黑体;SimHei"/>
        </w:rPr>
        <w:t>　第十七条</w:t>
      </w:r>
      <w:r>
        <w:rPr>
          <w:rFonts w:hint="eastAsia"/>
        </w:rPr>
        <w:t>　本条例自</w:t>
      </w:r>
      <w:r>
        <w:rPr>
          <w:rFonts w:hint="eastAsia"/>
        </w:rPr>
        <w:t>2002</w:t>
      </w:r>
      <w:r>
        <w:rPr>
          <w:rFonts w:hint="eastAsia"/>
        </w:rPr>
        <w:t>年</w:t>
      </w:r>
      <w:r>
        <w:rPr>
          <w:rFonts w:hint="eastAsia"/>
        </w:rPr>
        <w:t>8</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2016-09-28T15:29:00Z</dcterms:created>
  <dc:creator>冯玉林</dc:creator>
  <dc:description/>
  <cp:keywords/>
  <dc:language>en-US</dc:language>
  <cp:lastModifiedBy>冯玉林</cp:lastModifiedBy>
  <dcterms:modified xsi:type="dcterms:W3CDTF">2017-02-14T20:19:00Z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