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44"/>
          <w:szCs w:val="44"/>
        </w:rPr>
      </w:pPr>
      <w:r>
        <w:rPr>
          <w:rFonts w:ascii="宋体" w:hAnsi="宋体" w:cs="宋体" w:hint="eastAsia" w:eastAsia="宋体"/>
          <w:color w:val="000000"/>
          <w:kern w:val="2"/>
          <w:sz w:val="44"/>
          <w:szCs w:val="44"/>
          <w:lang w:bidi="ar"/>
        </w:rPr>
        <w:t>海西蒙古族藏族自治州人才工作促进条例</w:t>
      </w:r>
    </w:p>
    <w:p>
      <w:pPr>
        <w:pStyle w:val="BodyTextIndent"/>
        <w:keepNext w:val="false"/>
        <w:keepLines w:val="false"/>
        <w:widowControl/>
        <w:suppressLineNumbers w:val="0"/>
        <w:autoSpaceDE w:val="false"/>
        <w:spacing w:before="0" w:after="0"/>
        <w:ind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BodyTextIndent"/>
        <w:keepNext w:val="false"/>
        <w:keepLines w:val="false"/>
        <w:widowControl/>
        <w:suppressLineNumbers w:val="0"/>
        <w:autoSpaceDE w:val="false"/>
        <w:spacing w:before="0" w:after="0"/>
        <w:ind w:endChars="200"/>
        <w:jc w:val="both"/>
        <w:rPr>
          <w:rFonts w:ascii="楷体_GB2312" w:hAnsi="楷体_GB2312" w:eastAsia="楷体_GB2312" w:cs="楷体_GB2312" w:hint="eastAsia"/>
          <w:b w:val="false"/>
          <w:kern w:val="2"/>
          <w:sz w:val="32"/>
          <w:szCs w:val="32"/>
        </w:rPr>
      </w:pPr>
      <w:r>
        <w:rPr>
          <w:rFonts w:ascii="楷体_GB2312" w:hAnsi="楷体_GB2312" w:cs="楷体_GB2312" w:hint="eastAsia" w:eastAsia="楷体_GB2312"/>
          <w:b w:val="false"/>
          <w:kern w:val="2"/>
          <w:sz w:val="32"/>
          <w:szCs w:val="32"/>
        </w:rPr>
        <w:t>（</w:t>
      </w:r>
      <w:r>
        <w:rPr>
          <w:rFonts w:eastAsia="楷体_GB2312" w:cs="楷体_GB2312" w:hint="eastAsia" w:ascii="楷体_GB2312" w:hAnsi="楷体_GB2312"/>
          <w:b w:val="false"/>
          <w:kern w:val="2"/>
          <w:sz w:val="32"/>
          <w:szCs w:val="32"/>
        </w:rPr>
        <w:t>2021</w:t>
      </w:r>
      <w:r>
        <w:rPr>
          <w:rFonts w:ascii="楷体_GB2312" w:hAnsi="楷体_GB2312" w:cs="楷体_GB2312" w:hint="eastAsia" w:eastAsia="楷体_GB2312"/>
          <w:b w:val="false"/>
          <w:kern w:val="2"/>
          <w:sz w:val="32"/>
          <w:szCs w:val="32"/>
        </w:rPr>
        <w:t>年</w:t>
      </w:r>
      <w:r>
        <w:rPr>
          <w:rFonts w:eastAsia="楷体_GB2312" w:cs="楷体_GB2312" w:hint="eastAsia" w:ascii="楷体_GB2312" w:hAnsi="楷体_GB2312"/>
          <w:b w:val="false"/>
          <w:kern w:val="2"/>
          <w:sz w:val="32"/>
          <w:szCs w:val="32"/>
        </w:rPr>
        <w:t>1</w:t>
      </w:r>
      <w:r>
        <w:rPr>
          <w:rFonts w:ascii="楷体_GB2312" w:hAnsi="楷体_GB2312" w:cs="楷体_GB2312" w:hint="eastAsia" w:eastAsia="楷体_GB2312"/>
          <w:b w:val="false"/>
          <w:kern w:val="2"/>
          <w:sz w:val="32"/>
          <w:szCs w:val="32"/>
        </w:rPr>
        <w:t>月</w:t>
      </w:r>
      <w:r>
        <w:rPr>
          <w:rFonts w:eastAsia="楷体_GB2312" w:cs="楷体_GB2312" w:hint="eastAsia" w:ascii="楷体_GB2312" w:hAnsi="楷体_GB2312"/>
          <w:b w:val="false"/>
          <w:kern w:val="2"/>
          <w:sz w:val="32"/>
          <w:szCs w:val="32"/>
        </w:rPr>
        <w:t>27</w:t>
      </w:r>
      <w:r>
        <w:rPr>
          <w:rFonts w:ascii="楷体_GB2312" w:hAnsi="楷体_GB2312" w:cs="楷体_GB2312" w:hint="eastAsia" w:eastAsia="楷体_GB2312"/>
          <w:b w:val="false"/>
          <w:kern w:val="2"/>
          <w:sz w:val="32"/>
          <w:szCs w:val="32"/>
        </w:rPr>
        <w:t xml:space="preserve">日海西蒙古族藏族自治州第十四届人民代表大会第七次会议通过  </w:t>
      </w:r>
      <w:r>
        <w:rPr>
          <w:rFonts w:eastAsia="楷体_GB2312" w:cs="楷体_GB2312" w:hint="eastAsia" w:ascii="楷体_GB2312" w:hAnsi="楷体_GB2312"/>
          <w:b w:val="false"/>
          <w:kern w:val="2"/>
          <w:sz w:val="32"/>
          <w:szCs w:val="32"/>
        </w:rPr>
        <w:t>2021</w:t>
      </w:r>
      <w:r>
        <w:rPr>
          <w:rFonts w:ascii="楷体_GB2312" w:hAnsi="楷体_GB2312" w:cs="楷体_GB2312" w:hint="eastAsia" w:eastAsia="楷体_GB2312"/>
          <w:b w:val="false"/>
          <w:kern w:val="2"/>
          <w:sz w:val="32"/>
          <w:szCs w:val="32"/>
        </w:rPr>
        <w:t>年</w:t>
      </w:r>
      <w:r>
        <w:rPr>
          <w:rFonts w:eastAsia="楷体_GB2312" w:cs="楷体_GB2312" w:hint="eastAsia" w:ascii="楷体_GB2312" w:hAnsi="楷体_GB2312"/>
          <w:b w:val="false"/>
          <w:kern w:val="2"/>
          <w:sz w:val="32"/>
          <w:szCs w:val="32"/>
        </w:rPr>
        <w:t>7</w:t>
      </w:r>
      <w:r>
        <w:rPr>
          <w:rFonts w:ascii="楷体_GB2312" w:hAnsi="楷体_GB2312" w:cs="楷体_GB2312" w:hint="eastAsia" w:eastAsia="楷体_GB2312"/>
          <w:b w:val="false"/>
          <w:kern w:val="2"/>
          <w:sz w:val="32"/>
          <w:szCs w:val="32"/>
        </w:rPr>
        <w:t>月</w:t>
      </w:r>
      <w:r>
        <w:rPr>
          <w:rFonts w:eastAsia="楷体_GB2312" w:cs="楷体_GB2312" w:hint="eastAsia" w:ascii="楷体_GB2312" w:hAnsi="楷体_GB2312"/>
          <w:b w:val="false"/>
          <w:kern w:val="2"/>
          <w:sz w:val="32"/>
          <w:szCs w:val="32"/>
        </w:rPr>
        <w:t>28</w:t>
      </w:r>
      <w:r>
        <w:rPr>
          <w:rFonts w:ascii="楷体_GB2312" w:hAnsi="楷体_GB2312" w:cs="楷体_GB2312" w:hint="eastAsia" w:eastAsia="楷体_GB2312"/>
          <w:b w:val="false"/>
          <w:kern w:val="2"/>
          <w:sz w:val="32"/>
          <w:szCs w:val="32"/>
        </w:rPr>
        <w:t>日青海省第十三届人民代表大会常务委员会第二十六次会议批准）</w:t>
      </w:r>
    </w:p>
    <w:p>
      <w:pPr>
        <w:pStyle w:val="Style16"/>
        <w:keepNext w:val="false"/>
        <w:keepLines w:val="false"/>
        <w:widowControl/>
        <w:suppressLineNumbers w:val="0"/>
        <w:autoSpaceDE w:val="false"/>
        <w:ind w:firstLineChars="0" w:firstLine="0" w:endChars="0" w:end="0"/>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Calibri" w:hAnsi="Calibri" w:eastAsia="仿宋_GB2312" w:cs="Calibri"/>
          <w:kern w:val="2"/>
          <w:sz w:val="32"/>
          <w:szCs w:val="32"/>
        </w:rPr>
      </w:pPr>
      <w:r>
        <w:rPr>
          <w:rFonts w:ascii="黑体" w:hAnsi="黑体" w:cs="黑体" w:hint="eastAsia" w:eastAsia="黑体"/>
          <w:color w:val="000000"/>
          <w:kern w:val="2"/>
          <w:sz w:val="32"/>
          <w:szCs w:val="32"/>
          <w:lang w:bidi="ar"/>
        </w:rPr>
        <w:t>第一章  总则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第一条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为了促进人才工作，优化人才发展环境，激发人才创新创业活力，加快推进经济社会高质量发展，根据有关法律、法规，结合自治州实际，制定本条例。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第二条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自治州人才培养与开发、引进与流动、评价与激励、服务与保障适用本条例。</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Calibri" w:hAnsi="Calibri" w:cs="仿宋_GB2312" w:hint="eastAsia"/>
          <w:color w:val="000000"/>
          <w:kern w:val="2"/>
          <w:sz w:val="32"/>
          <w:szCs w:val="32"/>
          <w:lang w:bidi="ar"/>
        </w:rPr>
        <w:t>本条例所称人才，是指具有一定的专业知识或者专门技能，进行创造性劳动并对社会</w:t>
      </w:r>
      <w:r>
        <w:rPr>
          <w:rFonts w:ascii="仿宋_GB2312" w:hAnsi="仿宋_GB2312" w:cs="仿宋_GB2312" w:hint="eastAsia"/>
          <w:color w:val="000000"/>
          <w:kern w:val="2"/>
          <w:sz w:val="32"/>
          <w:szCs w:val="32"/>
          <w:lang w:bidi="ar"/>
        </w:rPr>
        <w:t>作</w:t>
      </w:r>
      <w:r>
        <w:rPr>
          <w:rFonts w:ascii="Calibri" w:hAnsi="Calibri" w:cs="仿宋_GB2312" w:hint="eastAsia"/>
          <w:color w:val="000000"/>
          <w:kern w:val="2"/>
          <w:sz w:val="32"/>
          <w:szCs w:val="32"/>
          <w:lang w:bidi="ar"/>
        </w:rPr>
        <w:t>出突出贡献、能力素质较高的劳动者。</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第三条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促进人才发展工作，应</w:t>
      </w:r>
      <w:r>
        <w:rPr>
          <w:rFonts w:ascii="仿宋_GB2312" w:hAnsi="仿宋_GB2312" w:cs="仿宋_GB2312" w:hint="eastAsia"/>
          <w:color w:val="000000"/>
          <w:kern w:val="2"/>
          <w:sz w:val="32"/>
          <w:szCs w:val="32"/>
          <w:lang w:bidi="ar"/>
        </w:rPr>
        <w:t>当</w:t>
      </w:r>
      <w:r>
        <w:rPr>
          <w:rFonts w:ascii="Calibri" w:hAnsi="Calibri" w:cs="仿宋_GB2312" w:hint="eastAsia"/>
          <w:color w:val="000000"/>
          <w:kern w:val="2"/>
          <w:sz w:val="32"/>
          <w:szCs w:val="32"/>
          <w:lang w:bidi="ar"/>
        </w:rPr>
        <w:t>坚持党管人才、分类施策、鼓励创新、服务发展的原则。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第四条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县级以上人民政府应当编制中长期人才发展规划，并列入国民经济和社会发展总体规划。建立健全人才工作目标责任制，将人才工作纳入经济社会发展综合考核指标，改进人才管理方式，提供优质服务，为人才发展创造良好环境。</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第五条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人才工作领导机构负责全州人才工作的宏观指导、政策制定、综合协调和督促检查。</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仿宋_GB2312" w:hAnsi="仿宋_GB2312" w:cs="仿宋_GB2312" w:hint="eastAsia"/>
          <w:color w:val="000000"/>
          <w:kern w:val="2"/>
          <w:sz w:val="32"/>
          <w:szCs w:val="32"/>
          <w:lang w:bidi="ar"/>
        </w:rPr>
        <w:t>人才工作综合主管部门负责全州人才工作的牵头抓总、协调督促等具体工作。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Calibri" w:hAnsi="Calibri" w:cs="Calibri" w:hint="eastAsia"/>
          <w:color w:val="000000"/>
          <w:kern w:val="2"/>
          <w:sz w:val="32"/>
          <w:szCs w:val="32"/>
          <w:lang w:bidi="ar"/>
        </w:rPr>
        <w:t>县级以上人民政府各部门应当按照职责分工做好人才发展的服务、保障和管理工作。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Calibri" w:hAnsi="Calibri" w:cs="仿宋_GB2312" w:hint="eastAsia"/>
          <w:color w:val="000000"/>
          <w:kern w:val="2"/>
          <w:sz w:val="32"/>
          <w:szCs w:val="32"/>
          <w:lang w:bidi="ar"/>
        </w:rPr>
        <w:t>各群团组织及行业协会应当发挥自身优势联系服务各类人才，开展相关领域人才工作。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Calibri" w:hint="eastAsia"/>
          <w:kern w:val="2"/>
          <w:sz w:val="32"/>
          <w:szCs w:val="32"/>
        </w:rPr>
      </w:pPr>
      <w:r>
        <w:rPr>
          <w:rFonts w:ascii="黑体" w:hAnsi="黑体" w:cs="黑体" w:hint="eastAsia" w:eastAsia="黑体"/>
          <w:color w:val="000000"/>
          <w:kern w:val="2"/>
          <w:sz w:val="32"/>
          <w:szCs w:val="32"/>
          <w:lang w:bidi="ar"/>
        </w:rPr>
        <w:t xml:space="preserve">第二章 </w:t>
      </w:r>
      <w:r>
        <w:rPr>
          <w:rFonts w:ascii="黑体" w:hAnsi="黑体" w:cs="黑体" w:hint="eastAsia" w:eastAsia="黑体"/>
          <w:color w:val="FF0000"/>
          <w:kern w:val="2"/>
          <w:sz w:val="32"/>
          <w:szCs w:val="32"/>
          <w:lang w:bidi="ar"/>
        </w:rPr>
        <w:t xml:space="preserve"> </w:t>
      </w:r>
      <w:r>
        <w:rPr>
          <w:rFonts w:ascii="黑体" w:hAnsi="黑体" w:cs="黑体" w:hint="eastAsia" w:eastAsia="黑体"/>
          <w:color w:val="000000"/>
          <w:kern w:val="2"/>
          <w:sz w:val="32"/>
          <w:szCs w:val="32"/>
          <w:lang w:bidi="ar"/>
        </w:rPr>
        <w:t>人才培养与开发</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2"/>
        <w:keepNext w:val="false"/>
        <w:keepLines w:val="false"/>
        <w:widowControl w:val="false"/>
        <w:suppressLineNumbers w:val="0"/>
        <w:autoSpaceDE w:val="false"/>
        <w:spacing w:before="0" w:after="0"/>
        <w:ind w:startChars="0" w:start="0" w:endChars="0" w:end="0"/>
        <w:rPr>
          <w:rFonts w:ascii="Calibri" w:hAnsi="Calibri" w:eastAsia="仿宋_GB2312" w:cs="仿宋_GB2312"/>
          <w:b/>
          <w:color w:val="000000"/>
          <w:kern w:val="2"/>
          <w:sz w:val="32"/>
          <w:szCs w:val="32"/>
        </w:rPr>
      </w:pPr>
      <w:r>
        <w:rPr>
          <w:rFonts w:ascii="黑体" w:hAnsi="黑体" w:cs="黑体" w:hint="eastAsia" w:eastAsia="黑体"/>
          <w:b w:val="false"/>
          <w:color w:val="000000"/>
          <w:kern w:val="2"/>
          <w:sz w:val="32"/>
          <w:szCs w:val="32"/>
        </w:rPr>
        <w:t>第六条</w:t>
      </w:r>
      <w:r>
        <w:rPr>
          <w:rFonts w:ascii="仿宋_GB2312" w:hAnsi="仿宋_GB2312" w:cs="仿宋_GB2312" w:hint="eastAsia" w:eastAsia="仿宋_GB2312"/>
          <w:b w:val="false"/>
          <w:color w:val="000000"/>
          <w:kern w:val="2"/>
          <w:sz w:val="32"/>
          <w:szCs w:val="32"/>
        </w:rPr>
        <w:t xml:space="preserve"> </w:t>
      </w:r>
      <w:r>
        <w:rPr>
          <w:rFonts w:ascii="仿宋_GB2312" w:hAnsi="仿宋_GB2312" w:cs="仿宋_GB2312" w:hint="eastAsia" w:eastAsia="仿宋_GB2312"/>
          <w:color w:val="000000"/>
          <w:kern w:val="2"/>
          <w:sz w:val="32"/>
          <w:szCs w:val="32"/>
        </w:rPr>
        <w:t xml:space="preserve"> 县级以上人民政府应当积极实施人才优先发展战略，突出经济社会发展需求导向，坚持德才兼备，遵循人才成长规律，坚持高端引领，制定人才培养计划，创新培养模式、拓宽培养渠道，有效提高人才培养质量。</w:t>
      </w:r>
    </w:p>
    <w:p>
      <w:pPr>
        <w:pStyle w:val="2"/>
        <w:keepNext w:val="false"/>
        <w:keepLines w:val="false"/>
        <w:widowControl w:val="false"/>
        <w:suppressLineNumbers w:val="0"/>
        <w:autoSpaceDE w:val="false"/>
        <w:spacing w:before="0" w:after="0"/>
        <w:ind w:startChars="0" w:start="0" w:endChars="0" w:end="0"/>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kern w:val="2"/>
          <w:sz w:val="32"/>
          <w:szCs w:val="32"/>
        </w:rPr>
        <w:t>第七条</w:t>
      </w:r>
      <w:r>
        <w:rPr>
          <w:rFonts w:ascii="仿宋_GB2312" w:hAnsi="仿宋_GB2312" w:cs="仿宋_GB2312" w:hint="eastAsia" w:eastAsia="仿宋_GB2312"/>
          <w:b w:val="false"/>
          <w:color w:val="000000"/>
          <w:kern w:val="2"/>
          <w:sz w:val="32"/>
          <w:szCs w:val="32"/>
        </w:rPr>
        <w:t xml:space="preserve">  </w:t>
      </w:r>
      <w:r>
        <w:rPr>
          <w:rFonts w:ascii="仿宋_GB2312" w:hAnsi="仿宋_GB2312" w:cs="仿宋_GB2312" w:hint="eastAsia" w:eastAsia="仿宋_GB2312"/>
          <w:color w:val="000000"/>
          <w:kern w:val="2"/>
          <w:sz w:val="32"/>
          <w:szCs w:val="32"/>
        </w:rPr>
        <w:t>县级以上人民政府科技、教育、文化、卫生等专项规划应当将人才工作作为重要内容，优化配置资源，加强人才队伍建设。</w:t>
      </w:r>
    </w:p>
    <w:p>
      <w:pPr>
        <w:pStyle w:val="2"/>
        <w:keepNext w:val="false"/>
        <w:keepLines w:val="false"/>
        <w:widowControl w:val="false"/>
        <w:suppressLineNumbers w:val="0"/>
        <w:autoSpaceDE w:val="false"/>
        <w:spacing w:before="0" w:after="0"/>
        <w:ind w:firstLineChars="196" w:startChars="0" w:start="0" w:endChars="0" w:end="0"/>
        <w:rPr>
          <w:rFonts w:ascii="仿宋_GB2312" w:hAnsi="仿宋_GB2312" w:eastAsia="仿宋_GB2312" w:cs="仿宋_GB2312" w:hint="eastAsia"/>
          <w:color w:val="000000"/>
          <w:kern w:val="2"/>
          <w:sz w:val="32"/>
          <w:szCs w:val="32"/>
        </w:rPr>
      </w:pPr>
      <w:r>
        <w:rPr>
          <w:rFonts w:ascii="黑体" w:hAnsi="黑体" w:cs="黑体" w:hint="eastAsia" w:eastAsia="黑体"/>
          <w:b w:val="false"/>
          <w:color w:val="000000"/>
          <w:kern w:val="2"/>
          <w:sz w:val="32"/>
          <w:szCs w:val="32"/>
        </w:rPr>
        <w:t>第八条</w:t>
      </w:r>
      <w:r>
        <w:rPr>
          <w:rFonts w:ascii="仿宋_GB2312" w:hAnsi="仿宋_GB2312" w:cs="仿宋_GB2312" w:hint="eastAsia" w:eastAsia="仿宋_GB2312"/>
          <w:b w:val="false"/>
          <w:color w:val="000000"/>
          <w:kern w:val="2"/>
          <w:sz w:val="32"/>
          <w:szCs w:val="32"/>
        </w:rPr>
        <w:t xml:space="preserve">  </w:t>
      </w:r>
      <w:r>
        <w:rPr>
          <w:rFonts w:ascii="仿宋_GB2312" w:hAnsi="仿宋_GB2312" w:cs="仿宋_GB2312" w:hint="eastAsia" w:eastAsia="仿宋_GB2312"/>
          <w:color w:val="000000"/>
          <w:kern w:val="2"/>
          <w:sz w:val="32"/>
          <w:szCs w:val="32"/>
        </w:rPr>
        <w:t>各类用人单位应当建立人才管理培训制度，落实人才政策，开展能力提升培训和继续教育，为人才创造性劳动提供保障。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第九条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县级以上人民政府教育和企业主管部门要推动职业院校与企业开展多种方式合作，建立政府、学校和企业联合培养实用型技术技能人才的模式。</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支持企事业单位建设各类技能大赛集训基地，注重工匠型人才的发现与培养，鼓励人才创业创新，开展技能竞赛、交流等活动，促进高技能人才队伍建设。</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第十一条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县级以上人民政府应当大力培育农村牧区实用人才带头人，增强乡村振兴实用人才服务发展的能力。</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第十二条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事业单位按照有关政策规定，结合工作技术</w:t>
      </w:r>
      <w:r>
        <w:rPr>
          <w:rFonts w:ascii="仿宋_GB2312" w:hAnsi="仿宋_GB2312" w:cs="仿宋_GB2312" w:hint="eastAsia"/>
          <w:color w:val="000000"/>
          <w:spacing w:val="0"/>
          <w:kern w:val="2"/>
          <w:sz w:val="32"/>
          <w:szCs w:val="32"/>
          <w:lang w:bidi="ar"/>
        </w:rPr>
        <w:t>含量、人才聚集程度和实际工作需求，自主制定岗位设置方案。</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kern w:val="2"/>
          <w:sz w:val="32"/>
          <w:szCs w:val="32"/>
        </w:rPr>
      </w:pPr>
      <w:r>
        <w:rPr>
          <w:rFonts w:ascii="黑体" w:hAnsi="黑体" w:cs="黑体" w:hint="eastAsia" w:eastAsia="黑体"/>
          <w:b w:val="false"/>
          <w:color w:val="000000"/>
          <w:kern w:val="2"/>
          <w:sz w:val="32"/>
          <w:szCs w:val="32"/>
          <w:lang w:bidi="ar"/>
        </w:rPr>
        <w:t>第十三条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级以上人民政府应当建立健全有利于企业家成长和创新经营的体制机制，加强在企业战略管理、市场开拓、创新经营模式、资本市场与投融资等方面的培训，积极推行职业经理人制度，壮大职业经营管理人员和优秀企业家队伍。</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Calibri" w:hint="eastAsia"/>
          <w:kern w:val="2"/>
          <w:sz w:val="32"/>
          <w:szCs w:val="32"/>
        </w:rPr>
      </w:pPr>
      <w:r>
        <w:rPr>
          <w:rFonts w:ascii="黑体" w:hAnsi="黑体" w:cs="黑体" w:hint="eastAsia" w:eastAsia="黑体"/>
          <w:color w:val="000000"/>
          <w:kern w:val="2"/>
          <w:sz w:val="32"/>
          <w:szCs w:val="32"/>
          <w:lang w:bidi="ar"/>
        </w:rPr>
        <w:t>第三章  人才引进与流动</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第十四条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Calibri" w:hAnsi="Calibri" w:cs="仿宋_GB2312" w:hint="eastAsia"/>
          <w:color w:val="000000"/>
          <w:kern w:val="2"/>
          <w:sz w:val="32"/>
          <w:szCs w:val="32"/>
          <w:lang w:bidi="ar"/>
        </w:rPr>
        <w:t>人才引进与流动应当充分发挥市场在人才资源配置中的</w:t>
      </w:r>
      <w:r>
        <w:rPr>
          <w:rFonts w:ascii="仿宋_GB2312" w:hAnsi="仿宋_GB2312" w:cs="仿宋_GB2312" w:hint="eastAsia"/>
          <w:color w:val="000000"/>
          <w:kern w:val="2"/>
          <w:sz w:val="32"/>
          <w:szCs w:val="32"/>
          <w:lang w:bidi="ar"/>
        </w:rPr>
        <w:t>导向</w:t>
      </w:r>
      <w:r>
        <w:rPr>
          <w:rFonts w:ascii="Calibri" w:hAnsi="Calibri" w:cs="仿宋_GB2312" w:hint="eastAsia"/>
          <w:color w:val="000000"/>
          <w:kern w:val="2"/>
          <w:sz w:val="32"/>
          <w:szCs w:val="32"/>
          <w:lang w:bidi="ar"/>
        </w:rPr>
        <w:t>作用，注重柔性引才用才和精准引才，破除户籍、地域、身份、学历、人事关系等制约，增强和释放人才活力，优先引进高层次创新创业人才，促进人才资源合理流动和有效配置。</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color w:val="0000FF"/>
          <w:kern w:val="2"/>
          <w:sz w:val="32"/>
          <w:szCs w:val="32"/>
        </w:rPr>
      </w:pPr>
      <w:r>
        <w:rPr>
          <w:rFonts w:ascii="黑体" w:hAnsi="黑体" w:cs="黑体" w:hint="eastAsia" w:eastAsia="黑体"/>
          <w:b w:val="false"/>
          <w:color w:val="000000"/>
          <w:kern w:val="2"/>
          <w:sz w:val="32"/>
          <w:szCs w:val="32"/>
          <w:lang w:bidi="ar"/>
        </w:rPr>
        <w:t>第十五条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县级以上事业单位人事综合管理部门可</w:t>
      </w:r>
      <w:r>
        <w:rPr>
          <w:rFonts w:ascii="仿宋_GB2312" w:hAnsi="仿宋_GB2312" w:cs="仿宋_GB2312" w:hint="eastAsia"/>
          <w:color w:val="000000"/>
          <w:kern w:val="2"/>
          <w:sz w:val="32"/>
          <w:szCs w:val="32"/>
          <w:lang w:bidi="ar"/>
        </w:rPr>
        <w:t>以</w:t>
      </w:r>
      <w:r>
        <w:rPr>
          <w:rFonts w:ascii="Calibri" w:hAnsi="Calibri" w:cs="仿宋_GB2312" w:hint="eastAsia"/>
          <w:color w:val="000000"/>
          <w:kern w:val="2"/>
          <w:sz w:val="32"/>
          <w:szCs w:val="32"/>
          <w:lang w:bidi="ar"/>
        </w:rPr>
        <w:t>结合实际，统筹使用本区域内高等级岗位，积极引导优秀专业技术人才向基层流动。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spacing w:val="0"/>
          <w:kern w:val="2"/>
          <w:sz w:val="32"/>
          <w:szCs w:val="32"/>
        </w:rPr>
      </w:pPr>
      <w:r>
        <w:rPr>
          <w:rFonts w:ascii="黑体" w:hAnsi="黑体" w:cs="黑体" w:hint="eastAsia" w:eastAsia="黑体"/>
          <w:b w:val="false"/>
          <w:color w:val="000000"/>
          <w:kern w:val="2"/>
          <w:sz w:val="32"/>
          <w:szCs w:val="32"/>
          <w:lang w:bidi="ar"/>
        </w:rPr>
        <w:t>第十六条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spacing w:val="0"/>
          <w:kern w:val="2"/>
          <w:sz w:val="32"/>
          <w:szCs w:val="32"/>
          <w:lang w:bidi="ar"/>
        </w:rPr>
        <w:t xml:space="preserve">县级以上人民政府应当根据经济社会发展需求，发布人才需求目录，引导用人单位精准引进急需紧缺人才。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kern w:val="2"/>
          <w:sz w:val="32"/>
          <w:szCs w:val="32"/>
        </w:rPr>
      </w:pPr>
      <w:r>
        <w:rPr>
          <w:rFonts w:ascii="仿宋_GB2312" w:hAnsi="仿宋_GB2312" w:cs="仿宋_GB2312" w:hint="eastAsia"/>
          <w:color w:val="000000"/>
          <w:kern w:val="2"/>
          <w:sz w:val="32"/>
          <w:szCs w:val="32"/>
          <w:lang w:bidi="ar"/>
        </w:rPr>
        <w:t>重点支持盐湖产业、清洁能源产业、生态旅游产业、绿色有机农畜产业领域急需紧缺人才引进工作。</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hint="eastAsia"/>
          <w:b w:val="false"/>
          <w:kern w:val="2"/>
          <w:sz w:val="32"/>
          <w:szCs w:val="32"/>
          <w:shd w:fill="D9D9D9" w:val="clear"/>
        </w:rPr>
      </w:pPr>
      <w:r>
        <w:rPr>
          <w:rFonts w:ascii="黑体" w:hAnsi="黑体" w:cs="黑体" w:hint="eastAsia" w:eastAsia="黑体"/>
          <w:b w:val="false"/>
          <w:color w:val="000000"/>
          <w:kern w:val="2"/>
          <w:sz w:val="32"/>
          <w:szCs w:val="32"/>
          <w:lang w:bidi="ar"/>
        </w:rPr>
        <w:t>第十七条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color w:val="000000"/>
          <w:kern w:val="2"/>
          <w:sz w:val="32"/>
          <w:szCs w:val="32"/>
          <w:lang w:bidi="ar"/>
        </w:rPr>
        <w:t>县级以上人民政府充分利用对口支援平台，依托援建方的人才优势，引进各行业所需人才，促进本土人才成长，实现人才共享，推动经济社会发展。</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color w:val="FF0000"/>
          <w:kern w:val="2"/>
          <w:sz w:val="32"/>
          <w:szCs w:val="32"/>
        </w:rPr>
      </w:pPr>
      <w:r>
        <w:rPr>
          <w:rFonts w:ascii="黑体" w:hAnsi="黑体" w:cs="黑体" w:hint="eastAsia" w:eastAsia="黑体"/>
          <w:b w:val="false"/>
          <w:color w:val="000000"/>
          <w:kern w:val="2"/>
          <w:sz w:val="32"/>
          <w:szCs w:val="32"/>
          <w:lang w:bidi="ar"/>
        </w:rPr>
        <w:t>第十八条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事业单位在没有相应空缺编制和岗位的情况下，为引进杰出、领军人才和急需紧缺人才，引导优秀人才到艰苦地区干事创业，可</w:t>
      </w:r>
      <w:r>
        <w:rPr>
          <w:rFonts w:ascii="仿宋_GB2312" w:hAnsi="仿宋_GB2312" w:cs="仿宋_GB2312" w:hint="eastAsia"/>
          <w:color w:val="000000"/>
          <w:kern w:val="2"/>
          <w:sz w:val="32"/>
          <w:szCs w:val="32"/>
          <w:lang w:bidi="ar"/>
        </w:rPr>
        <w:t>以</w:t>
      </w:r>
      <w:r>
        <w:rPr>
          <w:rFonts w:ascii="Calibri" w:hAnsi="Calibri" w:cs="仿宋_GB2312" w:hint="eastAsia"/>
          <w:color w:val="000000"/>
          <w:kern w:val="2"/>
          <w:sz w:val="32"/>
          <w:szCs w:val="32"/>
          <w:lang w:bidi="ar"/>
        </w:rPr>
        <w:t>按照国家和省有关规定，不受单位编制及岗位总量和结构比例限制</w:t>
      </w:r>
      <w:r>
        <w:rPr>
          <w:rFonts w:ascii="仿宋_GB2312" w:hAnsi="仿宋_GB2312" w:cs="仿宋_GB2312" w:hint="eastAsia"/>
          <w:color w:val="000000"/>
          <w:kern w:val="2"/>
          <w:sz w:val="32"/>
          <w:szCs w:val="32"/>
          <w:lang w:bidi="ar"/>
        </w:rPr>
        <w:t>，经批准设置特设岗位。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仿宋_GB2312"/>
          <w:kern w:val="2"/>
          <w:sz w:val="32"/>
          <w:szCs w:val="32"/>
        </w:rPr>
      </w:pPr>
      <w:r>
        <w:rPr>
          <w:rFonts w:ascii="黑体" w:hAnsi="黑体" w:cs="黑体" w:hint="eastAsia" w:eastAsia="黑体"/>
          <w:b w:val="false"/>
          <w:color w:val="000000"/>
          <w:kern w:val="2"/>
          <w:sz w:val="32"/>
          <w:szCs w:val="32"/>
          <w:lang w:bidi="ar"/>
        </w:rPr>
        <w:t>第十九条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机关、事业单位、国有企业应</w:t>
      </w:r>
      <w:r>
        <w:rPr>
          <w:rFonts w:ascii="仿宋_GB2312" w:hAnsi="仿宋_GB2312" w:cs="仿宋_GB2312" w:hint="eastAsia"/>
          <w:color w:val="000000"/>
          <w:kern w:val="2"/>
          <w:sz w:val="32"/>
          <w:szCs w:val="32"/>
          <w:lang w:bidi="ar"/>
        </w:rPr>
        <w:t>当</w:t>
      </w:r>
      <w:r>
        <w:rPr>
          <w:rFonts w:ascii="Calibri" w:hAnsi="Calibri" w:cs="仿宋_GB2312" w:hint="eastAsia"/>
          <w:color w:val="000000"/>
          <w:kern w:val="2"/>
          <w:sz w:val="32"/>
          <w:szCs w:val="32"/>
          <w:lang w:bidi="ar"/>
        </w:rPr>
        <w:t>拓宽选人用人渠道，吸收、引进非公有制经济组织和其他社会组织中的人才。</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第二十条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鼓励和支持机关、事业单位、国有企业中的人才向非公有制经济组织和其他社会组织流动。</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黑体" w:hAnsi="黑体" w:eastAsia="黑体" w:cs="黑体" w:hint="eastAsia"/>
          <w:spacing w:val="0"/>
          <w:kern w:val="2"/>
          <w:sz w:val="32"/>
          <w:szCs w:val="32"/>
        </w:rPr>
      </w:pPr>
      <w:r>
        <w:rPr>
          <w:rFonts w:ascii="黑体" w:hAnsi="黑体" w:cs="黑体" w:hint="eastAsia" w:eastAsia="黑体"/>
          <w:b w:val="false"/>
          <w:color w:val="000000"/>
          <w:kern w:val="2"/>
          <w:sz w:val="32"/>
          <w:szCs w:val="32"/>
          <w:lang w:bidi="ar"/>
        </w:rPr>
        <w:t>第二十一条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高校、科研院所等从事科研创新活动的公益类事业单位在编在岗专业技术人员可</w:t>
      </w:r>
      <w:r>
        <w:rPr>
          <w:rFonts w:ascii="仿宋_GB2312" w:hAnsi="仿宋_GB2312" w:cs="仿宋_GB2312" w:hint="eastAsia"/>
          <w:color w:val="000000"/>
          <w:kern w:val="2"/>
          <w:sz w:val="32"/>
          <w:szCs w:val="32"/>
          <w:lang w:bidi="ar"/>
        </w:rPr>
        <w:t>以</w:t>
      </w:r>
      <w:r>
        <w:rPr>
          <w:rFonts w:ascii="Calibri" w:hAnsi="Calibri" w:cs="仿宋_GB2312" w:hint="eastAsia"/>
          <w:color w:val="000000"/>
          <w:kern w:val="2"/>
          <w:sz w:val="32"/>
          <w:szCs w:val="32"/>
          <w:lang w:bidi="ar"/>
        </w:rPr>
        <w:t>参与或申请创新创业活动，取得的业绩可以作为专业技术人员职称评审、岗位竞聘、考核的重要依据。</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spacing w:val="0"/>
          <w:kern w:val="2"/>
          <w:sz w:val="32"/>
          <w:szCs w:val="32"/>
        </w:rPr>
      </w:pPr>
      <w:r>
        <w:rPr>
          <w:rFonts w:eastAsia="宋体" w:cs="宋体" w:hint="eastAsia" w:ascii="宋体" w:hAnsi="宋体"/>
          <w:color w:val="000000"/>
          <w:spacing w:val="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黑体" w:hint="eastAsia"/>
          <w:spacing w:val="0"/>
          <w:kern w:val="2"/>
          <w:sz w:val="32"/>
          <w:szCs w:val="32"/>
        </w:rPr>
      </w:pPr>
      <w:r>
        <w:rPr>
          <w:rFonts w:ascii="黑体" w:hAnsi="黑体" w:cs="黑体" w:hint="eastAsia" w:eastAsia="黑体"/>
          <w:color w:val="000000"/>
          <w:spacing w:val="0"/>
          <w:kern w:val="2"/>
          <w:sz w:val="32"/>
          <w:szCs w:val="32"/>
          <w:lang w:bidi="ar"/>
        </w:rPr>
        <w:t>第四章  人才评价与激励</w:t>
      </w:r>
    </w:p>
    <w:p>
      <w:pPr>
        <w:pStyle w:val="BodyTextIndent"/>
        <w:keepNext w:val="false"/>
        <w:keepLines w:val="false"/>
        <w:widowControl w:val="false"/>
        <w:suppressLineNumbers w:val="0"/>
        <w:autoSpaceDE w:val="false"/>
        <w:spacing w:before="0" w:after="0"/>
        <w:ind w:startChars="0" w:start="0" w:endChars="0" w:end="0"/>
        <w:jc w:val="center"/>
        <w:rPr>
          <w:rFonts w:ascii="宋体" w:hAnsi="宋体" w:eastAsia="宋体" w:cs="宋体" w:hint="eastAsia"/>
          <w:kern w:val="2"/>
          <w:sz w:val="32"/>
          <w:szCs w:val="32"/>
        </w:rPr>
      </w:pPr>
      <w:r>
        <w:rPr>
          <w:rFonts w:eastAsia="宋体" w:cs="宋体" w:hint="eastAsia" w:ascii="宋体" w:hAnsi="宋体"/>
          <w:kern w:val="2"/>
          <w:sz w:val="32"/>
          <w:szCs w:val="32"/>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color w:val="FF0000"/>
          <w:kern w:val="2"/>
          <w:sz w:val="32"/>
          <w:szCs w:val="32"/>
        </w:rPr>
      </w:pPr>
      <w:r>
        <w:rPr>
          <w:rFonts w:ascii="黑体" w:hAnsi="黑体" w:cs="黑体" w:hint="eastAsia" w:eastAsia="黑体"/>
          <w:b w:val="false"/>
          <w:color w:val="000000"/>
          <w:kern w:val="2"/>
          <w:sz w:val="32"/>
          <w:szCs w:val="32"/>
          <w:lang w:bidi="ar"/>
        </w:rPr>
        <w:t>第二十二条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建立健全科学化、社会化、市场化的人才评价机制。树立正确的人才评价使用导向，以人才的品德、能力、业绩和贡献为重点，发挥政府、市场、</w:t>
      </w:r>
      <w:r>
        <w:rPr>
          <w:rFonts w:ascii="仿宋_GB2312" w:hAnsi="仿宋_GB2312" w:cs="仿宋_GB2312" w:hint="eastAsia"/>
          <w:color w:val="000000"/>
          <w:kern w:val="2"/>
          <w:sz w:val="32"/>
          <w:szCs w:val="32"/>
          <w:lang w:bidi="ar"/>
        </w:rPr>
        <w:t>第三方机构、</w:t>
      </w:r>
      <w:r>
        <w:rPr>
          <w:rFonts w:ascii="Calibri" w:hAnsi="Calibri" w:cs="仿宋_GB2312" w:hint="eastAsia"/>
          <w:color w:val="000000"/>
          <w:kern w:val="2"/>
          <w:sz w:val="32"/>
          <w:szCs w:val="32"/>
          <w:lang w:bidi="ar"/>
        </w:rPr>
        <w:t>用人单位等多元评价主体作用，分类别、分层次对人才进行评价，并将评价结果作为奖励激励的重要参考依据。</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仿宋_GB2312"/>
          <w:kern w:val="2"/>
          <w:sz w:val="32"/>
          <w:szCs w:val="32"/>
        </w:rPr>
      </w:pPr>
      <w:r>
        <w:rPr>
          <w:rFonts w:ascii="黑体" w:hAnsi="黑体" w:cs="黑体" w:hint="eastAsia" w:eastAsia="黑体"/>
          <w:b w:val="false"/>
          <w:color w:val="000000"/>
          <w:kern w:val="2"/>
          <w:sz w:val="32"/>
          <w:szCs w:val="32"/>
          <w:lang w:bidi="ar"/>
        </w:rPr>
        <w:t>第二十三条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县级以上人民政府及行业坚持精神激励和物质激励相结合的原则，结合实际制定人才奖励激励政策，以尊重和实现人才价值为导向，对有突出贡献的人才给予表彰奖励，最大限度激发和释放人才创新创业活力。</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第二十四条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县级以上人力资源社会保障部门和行业主管部门应</w:t>
      </w:r>
      <w:r>
        <w:rPr>
          <w:rFonts w:ascii="仿宋_GB2312" w:hAnsi="仿宋_GB2312" w:cs="仿宋_GB2312" w:hint="eastAsia"/>
          <w:color w:val="000000"/>
          <w:kern w:val="2"/>
          <w:sz w:val="32"/>
          <w:szCs w:val="32"/>
          <w:lang w:bidi="ar"/>
        </w:rPr>
        <w:t>当</w:t>
      </w:r>
      <w:r>
        <w:rPr>
          <w:rFonts w:ascii="Calibri" w:hAnsi="Calibri" w:cs="仿宋_GB2312" w:hint="eastAsia"/>
          <w:color w:val="000000"/>
          <w:kern w:val="2"/>
          <w:sz w:val="32"/>
          <w:szCs w:val="32"/>
          <w:lang w:bidi="ar"/>
        </w:rPr>
        <w:t>按照分类评价标准，突出用人单位在职称评审中的主</w:t>
      </w:r>
      <w:r>
        <w:rPr>
          <w:rFonts w:ascii="仿宋_GB2312" w:hAnsi="仿宋_GB2312" w:cs="仿宋_GB2312" w:hint="eastAsia"/>
          <w:color w:val="000000"/>
          <w:kern w:val="2"/>
          <w:sz w:val="32"/>
          <w:szCs w:val="32"/>
          <w:lang w:bidi="ar"/>
        </w:rPr>
        <w:t>体</w:t>
      </w:r>
      <w:r>
        <w:rPr>
          <w:rFonts w:ascii="Calibri" w:hAnsi="Calibri" w:cs="仿宋_GB2312" w:hint="eastAsia"/>
          <w:color w:val="000000"/>
          <w:kern w:val="2"/>
          <w:sz w:val="32"/>
          <w:szCs w:val="32"/>
          <w:lang w:bidi="ar"/>
        </w:rPr>
        <w:t>作用，畅通各类经济组织和社会组织人才申报参加职称评审渠道。</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仿宋_GB2312" w:hAnsi="仿宋_GB2312" w:eastAsia="仿宋_GB2312" w:cs="仿宋_GB2312" w:hint="eastAsia"/>
          <w:spacing w:val="0"/>
          <w:kern w:val="2"/>
          <w:sz w:val="32"/>
          <w:szCs w:val="32"/>
        </w:rPr>
      </w:pPr>
      <w:r>
        <w:rPr>
          <w:rFonts w:ascii="黑体" w:hAnsi="黑体" w:cs="黑体" w:hint="eastAsia" w:eastAsia="黑体"/>
          <w:b w:val="false"/>
          <w:color w:val="000000"/>
          <w:kern w:val="2"/>
          <w:sz w:val="32"/>
          <w:szCs w:val="32"/>
          <w:lang w:bidi="ar"/>
        </w:rPr>
        <w:t>第二十五条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企</w:t>
      </w:r>
      <w:r>
        <w:rPr>
          <w:rFonts w:ascii="Calibri" w:hAnsi="Calibri" w:cs="仿宋_GB2312" w:hint="eastAsia"/>
          <w:color w:val="000000"/>
          <w:spacing w:val="0"/>
          <w:kern w:val="2"/>
          <w:sz w:val="32"/>
          <w:szCs w:val="32"/>
          <w:lang w:bidi="ar"/>
        </w:rPr>
        <w:t>业可</w:t>
      </w:r>
      <w:r>
        <w:rPr>
          <w:rFonts w:ascii="仿宋_GB2312" w:hAnsi="仿宋_GB2312" w:cs="仿宋_GB2312" w:hint="eastAsia"/>
          <w:color w:val="000000"/>
          <w:spacing w:val="0"/>
          <w:kern w:val="2"/>
          <w:sz w:val="32"/>
          <w:szCs w:val="32"/>
          <w:lang w:bidi="ar"/>
        </w:rPr>
        <w:t>以</w:t>
      </w:r>
      <w:r>
        <w:rPr>
          <w:rFonts w:ascii="Calibri" w:hAnsi="Calibri" w:cs="仿宋_GB2312" w:hint="eastAsia"/>
          <w:color w:val="000000"/>
          <w:spacing w:val="0"/>
          <w:kern w:val="2"/>
          <w:sz w:val="32"/>
          <w:szCs w:val="32"/>
          <w:lang w:bidi="ar"/>
        </w:rPr>
        <w:t>采用年薪制、协议工资制和项目工资制等分配方式，为急需紧缺人才、高层次人才及其团队合理确定薪酬。</w:t>
      </w:r>
      <w:r>
        <w:rPr>
          <w:rFonts w:ascii="仿宋_GB2312" w:hAnsi="仿宋_GB2312" w:cs="仿宋_GB2312" w:hint="eastAsia"/>
          <w:color w:val="000000"/>
          <w:spacing w:val="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spacing w:val="0"/>
          <w:kern w:val="2"/>
          <w:sz w:val="32"/>
          <w:szCs w:val="32"/>
        </w:rPr>
      </w:pPr>
      <w:r>
        <w:rPr>
          <w:rFonts w:eastAsia="宋体" w:cs="宋体" w:hint="eastAsia" w:ascii="宋体" w:hAnsi="宋体"/>
          <w:color w:val="000000"/>
          <w:spacing w:val="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textAlignment w:val="baseline"/>
        <w:rPr>
          <w:rFonts w:ascii="黑体" w:hAnsi="黑体" w:eastAsia="黑体" w:cs="Calibri" w:hint="eastAsia"/>
          <w:kern w:val="2"/>
          <w:position w:val="0"/>
          <w:sz w:val="32"/>
          <w:szCs w:val="32"/>
          <w:vertAlign w:val="baseline"/>
        </w:rPr>
      </w:pPr>
      <w:r>
        <w:rPr>
          <w:rFonts w:ascii="黑体" w:hAnsi="黑体" w:cs="黑体" w:hint="eastAsia" w:eastAsia="黑体"/>
          <w:color w:val="000000"/>
          <w:kern w:val="2"/>
          <w:position w:val="0"/>
          <w:sz w:val="32"/>
          <w:szCs w:val="32"/>
          <w:vertAlign w:val="baseline"/>
          <w:lang w:bidi="ar"/>
        </w:rPr>
        <w:t>第五章  人才服务与保障</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宋体" w:hAnsi="宋体" w:eastAsia="宋体" w:cs="宋体" w:hint="eastAsia"/>
          <w:color w:val="FF0000"/>
          <w:kern w:val="2"/>
          <w:sz w:val="32"/>
          <w:szCs w:val="32"/>
        </w:rPr>
      </w:pPr>
      <w:r>
        <w:rPr>
          <w:rFonts w:eastAsia="宋体" w:cs="宋体" w:hint="eastAsia" w:ascii="宋体" w:hAnsi="宋体"/>
          <w:b/>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第二十六条</w:t>
      </w:r>
      <w:r>
        <w:rPr>
          <w:rFonts w:ascii="仿宋_GB2312" w:hAnsi="仿宋_GB2312" w:cs="仿宋_GB2312" w:hint="eastAsia"/>
          <w:b w:val="false"/>
          <w:color w:val="000000"/>
          <w:kern w:val="2"/>
          <w:sz w:val="32"/>
          <w:szCs w:val="32"/>
          <w:lang w:bidi="ar"/>
        </w:rPr>
        <w:t xml:space="preserve"> </w:t>
      </w:r>
      <w:r>
        <w:rPr>
          <w:rFonts w:ascii="仿宋_GB2312" w:hAnsi="仿宋_GB2312" w:cs="仿宋_GB2312" w:hint="eastAsia"/>
          <w:b/>
          <w:color w:val="000000"/>
          <w:kern w:val="2"/>
          <w:sz w:val="32"/>
          <w:szCs w:val="32"/>
          <w:lang w:bidi="ar"/>
        </w:rPr>
        <w:t xml:space="preserve"> </w:t>
      </w:r>
      <w:r>
        <w:rPr>
          <w:rFonts w:ascii="Calibri" w:hAnsi="Calibri" w:cs="仿宋_GB2312" w:hint="eastAsia"/>
          <w:color w:val="000000"/>
          <w:kern w:val="2"/>
          <w:sz w:val="32"/>
          <w:szCs w:val="32"/>
          <w:lang w:bidi="ar"/>
        </w:rPr>
        <w:t>县级以上人民政府应当采取岗位津贴、科研补助、贷款贴息、人才奖励等多种方式，对重点人才工程给予支持。鼓励支持金融机构开发金融产品，为人才创新创业提供知识产权质押、股权质押等金融服务。</w:t>
      </w:r>
    </w:p>
    <w:p>
      <w:pPr>
        <w:pStyle w:val="2"/>
        <w:keepNext w:val="false"/>
        <w:keepLines w:val="false"/>
        <w:widowControl w:val="false"/>
        <w:suppressLineNumbers w:val="0"/>
        <w:autoSpaceDE w:val="false"/>
        <w:spacing w:before="0" w:after="0"/>
        <w:ind w:firstLineChars="196" w:startChars="0" w:start="0" w:endChars="0" w:end="0"/>
        <w:rPr>
          <w:rFonts w:ascii="Calibri" w:hAnsi="Calibri" w:eastAsia="仿宋_GB2312" w:cs="仿宋_GB2312"/>
          <w:color w:val="000000"/>
          <w:kern w:val="2"/>
          <w:sz w:val="32"/>
          <w:szCs w:val="32"/>
        </w:rPr>
      </w:pPr>
      <w:r>
        <w:rPr>
          <w:rFonts w:ascii="黑体" w:hAnsi="黑体" w:cs="黑体" w:hint="eastAsia" w:eastAsia="黑体"/>
          <w:b w:val="false"/>
          <w:color w:val="000000"/>
          <w:kern w:val="2"/>
          <w:sz w:val="32"/>
          <w:szCs w:val="32"/>
        </w:rPr>
        <w:t>第二十七条</w:t>
      </w:r>
      <w:r>
        <w:rPr>
          <w:rFonts w:ascii="仿宋_GB2312" w:hAnsi="仿宋_GB2312" w:cs="仿宋_GB2312" w:hint="eastAsia" w:eastAsia="仿宋_GB2312"/>
          <w:b w:val="false"/>
          <w:kern w:val="2"/>
          <w:sz w:val="32"/>
          <w:szCs w:val="32"/>
        </w:rPr>
        <w:t xml:space="preserve">  </w:t>
      </w:r>
      <w:r>
        <w:rPr>
          <w:rFonts w:ascii="Calibri" w:hAnsi="Calibri" w:cs="仿宋_GB2312" w:hint="eastAsia" w:eastAsia="仿宋_GB2312"/>
          <w:color w:val="000000"/>
          <w:kern w:val="2"/>
          <w:sz w:val="32"/>
          <w:szCs w:val="32"/>
        </w:rPr>
        <w:t>县级以上人才工作综合主管部门、人力资源社会保障及公安、教育等部门应当建立健全高层次人才服务机制，实行柴达木精英人才卡制度，为持卡者在创新创业以及居留、签证、户籍、住房、配偶随迁、子女入学、职称、岗位、薪酬等方面提供优惠政策和便捷服务，健全社会保险关系转移接续措施，为人才流动提供便利。</w:t>
      </w:r>
    </w:p>
    <w:p>
      <w:pPr>
        <w:pStyle w:val="2"/>
        <w:keepNext w:val="false"/>
        <w:keepLines w:val="false"/>
        <w:widowControl w:val="false"/>
        <w:suppressLineNumbers w:val="0"/>
        <w:autoSpaceDE w:val="false"/>
        <w:spacing w:before="0" w:after="0"/>
        <w:ind w:firstLineChars="196" w:startChars="0" w:start="0" w:endChars="0" w:end="0"/>
        <w:rPr>
          <w:rFonts w:ascii="仿宋_GB2312" w:hAnsi="仿宋_GB2312" w:eastAsia="仿宋_GB2312" w:cs="Calibri" w:hint="eastAsia"/>
          <w:color w:val="000000"/>
          <w:kern w:val="2"/>
          <w:sz w:val="32"/>
          <w:szCs w:val="32"/>
        </w:rPr>
      </w:pPr>
      <w:r>
        <w:rPr>
          <w:rFonts w:ascii="黑体" w:hAnsi="黑体" w:cs="黑体" w:hint="eastAsia" w:eastAsia="黑体"/>
          <w:b w:val="false"/>
          <w:color w:val="000000"/>
          <w:kern w:val="2"/>
          <w:sz w:val="32"/>
          <w:szCs w:val="32"/>
        </w:rPr>
        <w:t>第二十八条</w:t>
      </w:r>
      <w:r>
        <w:rPr>
          <w:rFonts w:ascii="仿宋_GB2312" w:hAnsi="仿宋_GB2312" w:cs="仿宋_GB2312" w:hint="eastAsia" w:eastAsia="仿宋_GB2312"/>
          <w:b w:val="false"/>
          <w:kern w:val="2"/>
          <w:sz w:val="32"/>
          <w:szCs w:val="32"/>
        </w:rPr>
        <w:t xml:space="preserve">  </w:t>
      </w:r>
      <w:r>
        <w:rPr>
          <w:rFonts w:ascii="仿宋_GB2312" w:hAnsi="仿宋_GB2312" w:cs="Calibri" w:hint="eastAsia" w:eastAsia="仿宋_GB2312"/>
          <w:color w:val="000000"/>
          <w:kern w:val="2"/>
          <w:sz w:val="32"/>
          <w:szCs w:val="32"/>
        </w:rPr>
        <w:t>积极发展人才专业化服务机构，放宽人才服务业准入限制，积极培育各类</w:t>
      </w:r>
      <w:r>
        <w:rPr>
          <w:rFonts w:ascii="仿宋_GB2312" w:hAnsi="仿宋_GB2312" w:cs="仿宋_GB2312" w:hint="eastAsia" w:eastAsia="仿宋_GB2312"/>
          <w:color w:val="000000"/>
          <w:kern w:val="2"/>
          <w:sz w:val="32"/>
          <w:szCs w:val="32"/>
        </w:rPr>
        <w:t>符合条件的</w:t>
      </w:r>
      <w:r>
        <w:rPr>
          <w:rFonts w:ascii="仿宋_GB2312" w:hAnsi="仿宋_GB2312" w:cs="Calibri" w:hint="eastAsia" w:eastAsia="仿宋_GB2312"/>
          <w:color w:val="000000"/>
          <w:kern w:val="2"/>
          <w:sz w:val="32"/>
          <w:szCs w:val="32"/>
        </w:rPr>
        <w:t>专业社会组织和人才中介服务机构，有序承接政府转移的人才培养、流动、评价、激励等职能。</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第二十九条</w:t>
      </w:r>
      <w:r>
        <w:rPr>
          <w:rFonts w:ascii="仿宋_GB2312" w:hAnsi="仿宋_GB2312" w:cs="仿宋_GB2312" w:hint="eastAsia"/>
          <w:b w:val="false"/>
          <w:color w:val="000000"/>
          <w:kern w:val="2"/>
          <w:sz w:val="32"/>
          <w:szCs w:val="32"/>
          <w:lang w:bidi="ar"/>
        </w:rPr>
        <w:t xml:space="preserve">  </w:t>
      </w:r>
      <w:r>
        <w:rPr>
          <w:rFonts w:ascii="Calibri" w:hAnsi="Calibri" w:cs="Calibri" w:hint="eastAsia"/>
          <w:color w:val="000000"/>
          <w:kern w:val="2"/>
          <w:sz w:val="32"/>
          <w:szCs w:val="32"/>
          <w:lang w:bidi="ar"/>
        </w:rPr>
        <w:t>县级以上人民政府应当建立支持创新创业容错免责机制，激发人才创造活力。</w:t>
      </w:r>
      <w:r>
        <w:rPr>
          <w:rFonts w:ascii="Calibri" w:hAnsi="Calibri" w:cs="仿宋_GB2312" w:hint="eastAsia"/>
          <w:color w:val="000000"/>
          <w:kern w:val="2"/>
          <w:sz w:val="32"/>
          <w:szCs w:val="32"/>
          <w:lang w:bidi="ar"/>
        </w:rPr>
        <w:t>鼓励支持社会力量通过搭建创新创业服务平台、举办创新创业大赛、提供创新创业服务等方式，吸引优秀项目和科技成果到自治州落地转化。</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第三十条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县级以上人民政府应当将人才工作专项资金纳入同级财政预算。</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Calibri"/>
          <w:kern w:val="2"/>
          <w:sz w:val="32"/>
          <w:szCs w:val="32"/>
        </w:rPr>
      </w:pPr>
      <w:r>
        <w:rPr>
          <w:rFonts w:ascii="黑体" w:hAnsi="黑体" w:cs="黑体" w:hint="eastAsia" w:eastAsia="黑体"/>
          <w:b w:val="false"/>
          <w:color w:val="000000"/>
          <w:kern w:val="2"/>
          <w:sz w:val="32"/>
          <w:szCs w:val="32"/>
          <w:lang w:bidi="ar"/>
        </w:rPr>
        <w:t>第三十一条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县级以上人民政府应当</w:t>
      </w:r>
      <w:r>
        <w:rPr>
          <w:rFonts w:ascii="Calibri" w:hAnsi="Calibri" w:cs="Calibri" w:hint="eastAsia"/>
          <w:color w:val="000000"/>
          <w:kern w:val="2"/>
          <w:sz w:val="32"/>
          <w:szCs w:val="32"/>
          <w:lang w:bidi="ar"/>
        </w:rPr>
        <w:t>建立人才信用管理制度，促进守法诚信。</w:t>
      </w:r>
      <w:r>
        <w:rPr>
          <w:rFonts w:ascii="Calibri" w:hAnsi="Calibri" w:cs="仿宋_GB2312" w:hint="eastAsia"/>
          <w:color w:val="000000"/>
          <w:kern w:val="2"/>
          <w:sz w:val="32"/>
          <w:szCs w:val="32"/>
          <w:lang w:bidi="ar"/>
        </w:rPr>
        <w:t>畅通高效便捷服务通道，建立人才诉求表达机制，帮助提供解决办法或者途径，尊重人才的各项法定权利。</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黑体" w:hAnsi="黑体" w:eastAsia="黑体" w:cs="Calibri" w:hint="eastAsia"/>
          <w:kern w:val="2"/>
          <w:sz w:val="32"/>
          <w:szCs w:val="32"/>
        </w:rPr>
      </w:pPr>
      <w:r>
        <w:rPr>
          <w:rFonts w:ascii="黑体" w:hAnsi="黑体" w:cs="黑体" w:hint="eastAsia" w:eastAsia="黑体"/>
          <w:color w:val="000000"/>
          <w:kern w:val="2"/>
          <w:sz w:val="32"/>
          <w:szCs w:val="32"/>
          <w:lang w:bidi="ar"/>
        </w:rPr>
        <w:t>第六章  附则</w:t>
      </w:r>
    </w:p>
    <w:p>
      <w:pPr>
        <w:pStyle w:val="Normal"/>
        <w:keepNext w:val="false"/>
        <w:keepLines w:val="false"/>
        <w:widowControl w:val="false"/>
        <w:suppressLineNumbers w:val="0"/>
        <w:suppressAutoHyphens w:val="true"/>
        <w:autoSpaceDE w:val="false"/>
        <w:spacing w:before="0" w:after="0"/>
        <w:ind w:firstLineChars="0" w:firstLine="0" w:startChars="0" w:start="0" w:endChars="0" w:end="0"/>
        <w:jc w:val="center"/>
        <w:rPr>
          <w:rFonts w:ascii="宋体" w:hAnsi="宋体" w:eastAsia="宋体" w:cs="宋体" w:hint="eastAsia"/>
          <w:kern w:val="2"/>
          <w:sz w:val="32"/>
          <w:szCs w:val="32"/>
        </w:rPr>
      </w:pPr>
      <w:r>
        <w:rPr>
          <w:rFonts w:eastAsia="宋体" w:cs="宋体" w:hint="eastAsia" w:ascii="宋体" w:hAnsi="宋体"/>
          <w:color w:val="000000"/>
          <w:kern w:val="2"/>
          <w:sz w:val="32"/>
          <w:szCs w:val="32"/>
          <w:lang w:bidi="ar"/>
        </w:rPr>
        <w:t xml:space="preserve"> </w:t>
      </w:r>
    </w:p>
    <w:p>
      <w:pPr>
        <w:pStyle w:val="Normal"/>
        <w:keepNext w:val="false"/>
        <w:keepLines w:val="false"/>
        <w:widowControl w:val="false"/>
        <w:suppressLineNumbers w:val="0"/>
        <w:suppressAutoHyphens w:val="true"/>
        <w:autoSpaceDE w:val="false"/>
        <w:spacing w:before="0" w:after="0"/>
        <w:ind w:firstLineChars="200" w:startChars="0" w:start="0" w:endChars="0" w:end="0"/>
        <w:jc w:val="both"/>
        <w:rPr>
          <w:rFonts w:ascii="Calibri" w:hAnsi="Calibri" w:eastAsia="仿宋_GB2312" w:cs="Times New Roman"/>
          <w:kern w:val="2"/>
          <w:sz w:val="32"/>
          <w:szCs w:val="32"/>
        </w:rPr>
      </w:pPr>
      <w:r>
        <w:rPr>
          <w:rFonts w:ascii="黑体" w:hAnsi="黑体" w:cs="黑体" w:hint="eastAsia" w:eastAsia="黑体"/>
          <w:b w:val="false"/>
          <w:color w:val="000000"/>
          <w:kern w:val="2"/>
          <w:sz w:val="32"/>
          <w:szCs w:val="32"/>
          <w:lang w:bidi="ar"/>
        </w:rPr>
        <w:t>第三十二条</w:t>
      </w:r>
      <w:r>
        <w:rPr>
          <w:rFonts w:ascii="仿宋_GB2312" w:hAnsi="仿宋_GB2312" w:cs="仿宋_GB2312" w:hint="eastAsia"/>
          <w:b w:val="false"/>
          <w:color w:val="000000"/>
          <w:kern w:val="2"/>
          <w:sz w:val="32"/>
          <w:szCs w:val="32"/>
          <w:lang w:bidi="ar"/>
        </w:rPr>
        <w:t xml:space="preserve">  </w:t>
      </w:r>
      <w:r>
        <w:rPr>
          <w:rFonts w:ascii="Calibri" w:hAnsi="Calibri" w:cs="仿宋_GB2312" w:hint="eastAsia"/>
          <w:color w:val="000000"/>
          <w:kern w:val="2"/>
          <w:sz w:val="32"/>
          <w:szCs w:val="32"/>
          <w:lang w:bidi="ar"/>
        </w:rPr>
        <w:t>本条例自</w:t>
      </w:r>
      <w:r>
        <w:rPr>
          <w:rFonts w:eastAsia="仿宋_GB2312" w:cs="仿宋_GB2312" w:hint="eastAsia" w:ascii="仿宋_GB2312" w:hAnsi="仿宋_GB2312"/>
          <w:color w:val="000000"/>
          <w:kern w:val="2"/>
          <w:sz w:val="32"/>
          <w:szCs w:val="32"/>
          <w:lang w:bidi="ar"/>
        </w:rPr>
        <w:t>2021</w:t>
      </w:r>
      <w:r>
        <w:rPr>
          <w:rFonts w:ascii="仿宋_GB2312" w:hAnsi="仿宋_GB2312" w:cs="仿宋_GB2312" w:hint="eastAsia"/>
          <w:color w:val="000000"/>
          <w:kern w:val="2"/>
          <w:sz w:val="32"/>
          <w:szCs w:val="32"/>
          <w:lang w:bidi="ar"/>
        </w:rPr>
        <w:t>年</w:t>
      </w:r>
      <w:r>
        <w:rPr>
          <w:rFonts w:eastAsia="仿宋_GB2312" w:cs="仿宋_GB2312" w:hint="eastAsia" w:ascii="仿宋_GB2312" w:hAnsi="仿宋_GB2312"/>
          <w:color w:val="000000"/>
          <w:kern w:val="2"/>
          <w:sz w:val="32"/>
          <w:szCs w:val="32"/>
          <w:lang w:bidi="ar"/>
        </w:rPr>
        <w:t>9</w:t>
      </w:r>
      <w:r>
        <w:rPr>
          <w:rFonts w:ascii="仿宋_GB2312" w:hAnsi="仿宋_GB2312" w:cs="仿宋_GB2312" w:hint="eastAsia"/>
          <w:color w:val="000000"/>
          <w:kern w:val="2"/>
          <w:sz w:val="32"/>
          <w:szCs w:val="32"/>
          <w:lang w:bidi="ar"/>
        </w:rPr>
        <w:t>月</w:t>
      </w:r>
      <w:r>
        <w:rPr>
          <w:rFonts w:eastAsia="仿宋_GB2312" w:cs="仿宋_GB2312" w:hint="eastAsia" w:ascii="仿宋_GB2312" w:hAnsi="仿宋_GB2312"/>
          <w:color w:val="000000"/>
          <w:kern w:val="2"/>
          <w:sz w:val="32"/>
          <w:szCs w:val="32"/>
          <w:lang w:bidi="ar"/>
        </w:rPr>
        <w:t>1</w:t>
      </w:r>
      <w:r>
        <w:rPr>
          <w:rFonts w:ascii="仿宋_GB2312" w:hAnsi="仿宋_GB2312" w:cs="仿宋_GB2312" w:hint="eastAsia"/>
          <w:color w:val="000000"/>
          <w:kern w:val="2"/>
          <w:sz w:val="32"/>
          <w:szCs w:val="32"/>
          <w:lang w:bidi="ar"/>
        </w:rPr>
        <w:t>日</w:t>
      </w:r>
      <w:r>
        <w:rPr>
          <w:rFonts w:ascii="Calibri" w:hAnsi="Calibri" w:cs="仿宋_GB2312" w:hint="eastAsia"/>
          <w:color w:val="000000"/>
          <w:kern w:val="2"/>
          <w:sz w:val="32"/>
          <w:szCs w:val="32"/>
          <w:lang w:bidi="ar"/>
        </w:rPr>
        <w:t>起施行。</w:t>
      </w:r>
    </w:p>
    <w:p>
      <w:pPr>
        <w:pStyle w:val="Normal"/>
        <w:rPr>
          <w:rFonts w:ascii="Calibri" w:hAnsi="Calibri" w:eastAsia="仿宋_GB2312" w:cs="Times New Roman"/>
          <w:kern w:val="2"/>
          <w:sz w:val="32"/>
          <w:szCs w:val="32"/>
        </w:rPr>
      </w:pPr>
      <w:r>
        <w:rPr>
          <w:rFonts w:eastAsia="仿宋_GB2312" w:cs="Times New Roman"/>
          <w:kern w:val="2"/>
          <w:sz w:val="32"/>
          <w:szCs w:val="32"/>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417830"/>
              <wp:effectExtent l="0" t="0" r="0" b="0"/>
              <wp:wrapNone/>
              <wp:docPr id="2" name="Frame1"/>
              <a:graphic xmlns:a="http://schemas.openxmlformats.org/drawingml/2006/main">
                <a:graphicData uri="http://schemas.microsoft.com/office/word/2010/wordprocessingShape">
                  <wps:wsp>
                    <wps:cNvSpPr txBox="1"/>
                    <wps:spPr>
                      <a:xfrm>
                        <a:off x="0" y="0"/>
                        <a:ext cx="149225" cy="4178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2.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3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jc w:val="both"/>
    </w:pPr>
    <w:rPr>
      <w:rFonts w:ascii="Calibri" w:hAnsi="Calibri" w:eastAsia="仿宋_GB2312" w:cs="Times New Roman"/>
      <w:color w:val="000000"/>
      <w:kern w:val="2"/>
      <w:sz w:val="32"/>
      <w:szCs w:val="24"/>
      <w:lang w:bidi="ar-SA" w:val="en-US" w:eastAsia="zh-CN"/>
    </w:rPr>
  </w:style>
  <w:style w:type="character" w:styleId="Style14">
    <w:name w:val="默认段落字体"/>
    <w:qFormat/>
    <w:rPr/>
  </w:style>
  <w:style w:type="character" w:styleId="1">
    <w:name w:val="默认段落字体1"/>
    <w:qFormat/>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题注"/>
    <w:basedOn w:val="Normal"/>
    <w:qFormat/>
    <w:pPr>
      <w:widowControl w:val="false"/>
      <w:suppressLineNumbers/>
      <w:suppressAutoHyphens w:val="true"/>
      <w:spacing w:before="120" w:after="120"/>
    </w:pPr>
    <w:rPr>
      <w:i/>
      <w:iCs/>
      <w:sz w:val="24"/>
      <w:szCs w:val="24"/>
    </w:rPr>
  </w:style>
  <w:style w:type="paragraph" w:styleId="BodyTextIndent">
    <w:name w:val="Body Text Indent"/>
    <w:basedOn w:val="Normal"/>
    <w:pPr>
      <w:keepNext w:val="false"/>
      <w:keepLines w:val="false"/>
      <w:widowControl w:val="false"/>
      <w:suppressAutoHyphens w:val="true"/>
      <w:spacing w:before="0" w:after="120"/>
      <w:ind w:firstLineChars="0" w:firstLine="0" w:startChars="200" w:endChars="0" w:end="0"/>
      <w:jc w:val="both"/>
    </w:pPr>
    <w:rPr>
      <w:rFonts w:ascii="Calibri" w:hAnsi="Calibri" w:eastAsia="仿宋_GB2312" w:cs="Calibri"/>
      <w:kern w:val="2"/>
      <w:sz w:val="32"/>
      <w:szCs w:val="32"/>
      <w:lang w:bidi="a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正文首行缩进"/>
    <w:basedOn w:val="Normal"/>
    <w:qFormat/>
    <w:pPr>
      <w:keepNext w:val="false"/>
      <w:keepLines w:val="false"/>
      <w:widowControl w:val="false"/>
      <w:suppressAutoHyphens w:val="false"/>
      <w:spacing w:before="0" w:after="0"/>
      <w:ind w:firstLineChars="100" w:startChars="0" w:start="0" w:endChars="0" w:end="0"/>
      <w:jc w:val="both"/>
    </w:pPr>
    <w:rPr>
      <w:rFonts w:ascii="Calibri" w:hAnsi="Calibri" w:eastAsia="仿宋_GB2312" w:cs="Calibri"/>
      <w:kern w:val="2"/>
      <w:sz w:val="32"/>
      <w:szCs w:val="32"/>
      <w:lang w:bidi="ar"/>
    </w:rPr>
  </w:style>
  <w:style w:type="paragraph" w:styleId="2">
    <w:name w:val="正文首行缩进 2"/>
    <w:basedOn w:val="BodyTextIndent"/>
    <w:qFormat/>
    <w:pPr>
      <w:keepNext w:val="false"/>
      <w:keepLines w:val="false"/>
      <w:widowControl w:val="false"/>
      <w:suppressAutoHyphens w:val="true"/>
      <w:spacing w:lineRule="atLeast" w:line="357" w:before="0" w:after="120"/>
      <w:ind w:firstLineChars="200" w:startChars="200" w:endChars="0" w:end="0"/>
      <w:jc w:val="both"/>
      <w:textAlignment w:val="baseline"/>
    </w:pPr>
    <w:rPr>
      <w:rFonts w:ascii="Calibri" w:hAnsi="Calibri" w:eastAsia="宋体" w:cs="Calibri"/>
      <w:color w:val="000000"/>
      <w:kern w:val="2"/>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2018-11-27T09:47:00Z</dcterms:created>
  <dc:creator>uos</dc:creator>
  <dc:description/>
  <dc:language>en-US</dc:language>
  <cp:lastModifiedBy>uos</cp:lastModifiedBy>
  <dcterms:modified xsi:type="dcterms:W3CDTF">2021-08-05T23:29:28Z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