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tabs>
          <w:tab w:val="clear" w:pos="420"/>
          <w:tab w:val="left" w:pos="9215" w:leader="none"/>
        </w:tabs>
        <w:spacing w:lineRule="exact" w:line="600"/>
        <w:rPr>
          <w:rFonts w:ascii="宋体" w:hAnsi="宋体" w:eastAsia="宋体" w:cs="宋体" w:hint="eastAsia"/>
          <w:b w:val="false"/>
          <w:bCs w:val="false"/>
          <w:spacing w:val="-8"/>
          <w:sz w:val="32"/>
          <w:szCs w:val="32"/>
        </w:rPr>
      </w:pPr>
      <w:r>
        <w:rPr>
          <w:rFonts w:eastAsia="宋体" w:cs="宋体" w:hint="eastAsia" w:ascii="宋体" w:hAnsi="宋体"/>
          <w:b w:val="false"/>
          <w:bCs w:val="false"/>
          <w:spacing w:val="-8"/>
          <w:sz w:val="32"/>
          <w:szCs w:val="32"/>
        </w:rPr>
      </w:r>
    </w:p>
    <w:p>
      <w:pPr>
        <w:pStyle w:val="BodyText"/>
        <w:tabs>
          <w:tab w:val="clear" w:pos="420"/>
          <w:tab w:val="left" w:pos="9215" w:leader="none"/>
        </w:tabs>
        <w:spacing w:lineRule="exact" w:line="600"/>
        <w:rPr>
          <w:rFonts w:ascii="宋体" w:hAnsi="宋体" w:eastAsia="宋体" w:cs="宋体" w:hint="eastAsia"/>
          <w:b w:val="false"/>
          <w:bCs w:val="false"/>
          <w:spacing w:val="-8"/>
          <w:sz w:val="32"/>
          <w:szCs w:val="32"/>
        </w:rPr>
      </w:pPr>
      <w:r>
        <w:rPr>
          <w:rFonts w:eastAsia="宋体" w:cs="宋体" w:hint="eastAsia" w:ascii="宋体" w:hAnsi="宋体"/>
          <w:b w:val="false"/>
          <w:bCs w:val="false"/>
          <w:spacing w:val="-8"/>
          <w:sz w:val="32"/>
          <w:szCs w:val="32"/>
        </w:rPr>
      </w:r>
    </w:p>
    <w:p>
      <w:pPr>
        <w:pStyle w:val="BodyText"/>
        <w:tabs>
          <w:tab w:val="clear" w:pos="420"/>
          <w:tab w:val="left" w:pos="9215" w:leader="none"/>
        </w:tabs>
        <w:spacing w:lineRule="exact" w:line="600"/>
        <w:rPr>
          <w:rFonts w:ascii="宋体" w:hAnsi="宋体" w:eastAsia="宋体" w:cs="宋体" w:hint="eastAsia"/>
          <w:b w:val="false"/>
          <w:bCs w:val="false"/>
          <w:spacing w:val="-8"/>
          <w:szCs w:val="44"/>
        </w:rPr>
      </w:pPr>
      <w:r>
        <w:rPr>
          <w:rFonts w:ascii="宋体" w:hAnsi="宋体" w:cs="宋体" w:hint="eastAsia" w:eastAsia="宋体"/>
          <w:b w:val="false"/>
          <w:bCs w:val="false"/>
          <w:spacing w:val="-8"/>
          <w:szCs w:val="44"/>
        </w:rPr>
        <w:t>青海省实施《中华人民共和国</w:t>
      </w:r>
    </w:p>
    <w:p>
      <w:pPr>
        <w:pStyle w:val="BodyText"/>
        <w:tabs>
          <w:tab w:val="clear" w:pos="420"/>
          <w:tab w:val="left" w:pos="9215" w:leader="none"/>
        </w:tabs>
        <w:spacing w:lineRule="exact" w:line="600"/>
        <w:rPr>
          <w:rFonts w:ascii="宋体" w:hAnsi="宋体" w:eastAsia="宋体" w:cs="宋体" w:hint="eastAsia"/>
          <w:b w:val="false"/>
          <w:bCs w:val="false"/>
          <w:spacing w:val="-8"/>
          <w:szCs w:val="44"/>
        </w:rPr>
      </w:pPr>
      <w:r>
        <w:rPr>
          <w:rFonts w:ascii="宋体" w:hAnsi="宋体" w:cs="宋体" w:hint="eastAsia" w:eastAsia="宋体"/>
          <w:b w:val="false"/>
          <w:bCs w:val="false"/>
          <w:spacing w:val="-8"/>
          <w:szCs w:val="44"/>
        </w:rPr>
        <w:t>献血法》办法</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0" w:firstLine="0" w:startChars="0" w:start="0" w:endChars="200"/>
        <w:jc w:val="both"/>
        <w:textAlignment w:val="auto"/>
        <w:rPr>
          <w:rFonts w:ascii="宋体" w:hAnsi="宋体" w:eastAsia="宋体" w:cs="宋体" w:hint="eastAsia"/>
          <w:b w:val="false"/>
          <w:bCs/>
          <w:spacing w:val="-8"/>
          <w:sz w:val="32"/>
          <w:szCs w:val="32"/>
        </w:rPr>
      </w:pPr>
      <w:r>
        <w:rPr>
          <w:rFonts w:eastAsia="宋体" w:cs="宋体" w:hint="eastAsia" w:ascii="宋体" w:hAnsi="宋体"/>
          <w:b w:val="false"/>
          <w:bCs/>
          <w:spacing w:val="-8"/>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0" w:firstLine="0" w:startChars="0" w:start="0" w:endChars="200"/>
        <w:jc w:val="both"/>
        <w:textAlignment w:val="auto"/>
        <w:rPr>
          <w:rFonts w:ascii="楷体_GB2312" w:hAnsi="楷体_GB2312" w:eastAsia="楷体_GB2312" w:hint="eastAsia"/>
          <w:b w:val="false"/>
          <w:bCs/>
          <w:sz w:val="32"/>
          <w:szCs w:val="32"/>
        </w:rPr>
      </w:pPr>
      <w:r>
        <w:rPr>
          <w:rFonts w:ascii="楷体_GB2312" w:hAnsi="楷体_GB2312" w:hint="eastAsia" w:eastAsia="楷体_GB2312"/>
          <w:b w:val="false"/>
          <w:bCs/>
          <w:sz w:val="32"/>
          <w:szCs w:val="32"/>
        </w:rPr>
        <w:t>　　（</w:t>
      </w:r>
      <w:r>
        <w:rPr>
          <w:rFonts w:eastAsia="楷体_GB2312" w:hint="eastAsia" w:ascii="楷体_GB2312" w:hAnsi="楷体_GB2312"/>
          <w:b w:val="false"/>
          <w:bCs/>
          <w:sz w:val="32"/>
          <w:szCs w:val="32"/>
        </w:rPr>
        <w:t>2017</w:t>
      </w:r>
      <w:r>
        <w:rPr>
          <w:rFonts w:ascii="楷体_GB2312" w:hAnsi="楷体_GB2312" w:hint="eastAsia" w:eastAsia="楷体_GB2312"/>
          <w:b w:val="false"/>
          <w:bCs/>
          <w:sz w:val="32"/>
          <w:szCs w:val="32"/>
        </w:rPr>
        <w:t>年</w:t>
      </w:r>
      <w:r>
        <w:rPr>
          <w:rFonts w:eastAsia="楷体_GB2312" w:hint="eastAsia" w:ascii="楷体_GB2312" w:hAnsi="楷体_GB2312"/>
          <w:b w:val="false"/>
          <w:bCs/>
          <w:sz w:val="32"/>
          <w:szCs w:val="32"/>
        </w:rPr>
        <w:t>7</w:t>
      </w:r>
      <w:r>
        <w:rPr>
          <w:rFonts w:ascii="楷体_GB2312" w:hAnsi="楷体_GB2312" w:hint="eastAsia" w:eastAsia="楷体_GB2312"/>
          <w:b w:val="false"/>
          <w:bCs/>
          <w:sz w:val="32"/>
          <w:szCs w:val="32"/>
        </w:rPr>
        <w:t>月</w:t>
      </w:r>
      <w:r>
        <w:rPr>
          <w:rFonts w:eastAsia="楷体_GB2312" w:hint="eastAsia" w:ascii="楷体_GB2312" w:hAnsi="楷体_GB2312"/>
          <w:b w:val="false"/>
          <w:bCs/>
          <w:sz w:val="32"/>
          <w:szCs w:val="32"/>
        </w:rPr>
        <w:t>27</w:t>
      </w:r>
      <w:r>
        <w:rPr>
          <w:rFonts w:ascii="楷体_GB2312" w:hAnsi="楷体_GB2312" w:hint="eastAsia" w:eastAsia="楷体_GB2312"/>
          <w:b w:val="false"/>
          <w:bCs/>
          <w:sz w:val="32"/>
          <w:szCs w:val="32"/>
        </w:rPr>
        <w:t>日青海省第十二届人民代表大会　　</w:t>
      </w:r>
    </w:p>
    <w:p>
      <w:pPr>
        <w:pStyle w:val="Normal"/>
        <w:keepNext w:val="false"/>
        <w:keepLines w:val="false"/>
        <w:pageBreakBefore w:val="false"/>
        <w:widowControl w:val="false"/>
        <w:kinsoku w:val="true"/>
        <w:overflowPunct w:val="true"/>
        <w:autoSpaceDE w:val="true"/>
        <w:bidi w:val="0"/>
        <w:snapToGrid w:val="true"/>
        <w:spacing w:lineRule="exact" w:line="500" w:before="0" w:after="0"/>
        <w:ind w:firstLineChars="0" w:firstLine="0" w:startChars="0" w:start="0" w:endChars="200"/>
        <w:jc w:val="both"/>
        <w:textAlignment w:val="auto"/>
        <w:rPr>
          <w:rFonts w:ascii="楷体_GB2312" w:hAnsi="楷体_GB2312" w:eastAsia="楷体_GB2312" w:hint="eastAsia"/>
          <w:b w:val="false"/>
          <w:bCs/>
          <w:sz w:val="32"/>
          <w:szCs w:val="32"/>
        </w:rPr>
      </w:pPr>
      <w:r>
        <w:rPr>
          <w:rFonts w:ascii="楷体_GB2312" w:hAnsi="楷体_GB2312" w:hint="eastAsia" w:eastAsia="楷体_GB2312"/>
          <w:b w:val="false"/>
          <w:bCs/>
          <w:sz w:val="32"/>
          <w:szCs w:val="32"/>
        </w:rPr>
        <w:t>　　常务委员会第三十五次会议通过）</w:t>
      </w:r>
    </w:p>
    <w:p>
      <w:pPr>
        <w:pStyle w:val="Normal"/>
        <w:spacing w:lineRule="exact" w:line="600"/>
        <w:jc w:val="center"/>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tabs>
          <w:tab w:val="clear" w:pos="420"/>
          <w:tab w:val="left" w:pos="9215" w:leader="none"/>
        </w:tabs>
        <w:spacing w:lineRule="exact" w:line="600"/>
        <w:ind w:firstLineChars="200" w:startChars="0" w:start="0" w:endChars="0" w:end="0"/>
        <w:rPr>
          <w:rFonts w:ascii="仿宋" w:hAnsi="仿宋" w:eastAsia="仿宋" w:cs="仿宋" w:hint="eastAsia"/>
          <w:bCs/>
          <w:sz w:val="32"/>
          <w:szCs w:val="32"/>
        </w:rPr>
      </w:pPr>
      <w:r>
        <w:rPr>
          <w:rFonts w:ascii="黑体" w:hAnsi="黑体" w:cs="黑体" w:hint="eastAsia" w:eastAsia="黑体"/>
          <w:bCs/>
          <w:sz w:val="32"/>
          <w:szCs w:val="32"/>
        </w:rPr>
        <w:t>第一条</w:t>
      </w:r>
      <w:r>
        <w:rPr>
          <w:rFonts w:ascii="仿宋" w:hAnsi="仿宋" w:cs="仿宋" w:hint="eastAsia" w:eastAsia="仿宋"/>
          <w:bCs/>
          <w:sz w:val="32"/>
          <w:szCs w:val="32"/>
        </w:rPr>
        <w:t xml:space="preserve">  </w:t>
      </w:r>
      <w:r>
        <w:rPr>
          <w:rFonts w:ascii="仿宋_GB2312" w:hAnsi="仿宋_GB2312" w:cs="仿宋_GB2312" w:hint="eastAsia"/>
          <w:bCs/>
          <w:sz w:val="32"/>
          <w:szCs w:val="32"/>
        </w:rPr>
        <w:t>为了</w:t>
      </w:r>
      <w:r>
        <w:rPr>
          <w:rFonts w:ascii="仿宋_GB2312" w:hAnsi="仿宋_GB2312" w:cs="仿宋_GB2312" w:hint="eastAsia"/>
          <w:kern w:val="0"/>
          <w:sz w:val="32"/>
          <w:szCs w:val="32"/>
          <w:shd w:fill="FFFFFF" w:val="clear"/>
          <w:lang w:bidi="ar"/>
        </w:rPr>
        <w:t>保证医疗临床用血需要和安全，保障献血者和用血者身体健康，</w:t>
      </w:r>
      <w:r>
        <w:rPr>
          <w:rFonts w:ascii="仿宋_GB2312" w:hAnsi="仿宋_GB2312" w:cs="仿宋_GB2312" w:hint="eastAsia"/>
          <w:bCs/>
          <w:sz w:val="32"/>
          <w:szCs w:val="32"/>
        </w:rPr>
        <w:t>发扬人道主义精神，弘扬社会主义核心价值观，</w:t>
      </w:r>
      <w:r>
        <w:rPr>
          <w:rFonts w:ascii="仿宋_GB2312" w:hAnsi="仿宋_GB2312" w:cs="仿宋_GB2312" w:hint="eastAsia"/>
          <w:kern w:val="0"/>
          <w:sz w:val="32"/>
          <w:szCs w:val="32"/>
          <w:shd w:fill="FFFFFF" w:val="clear"/>
          <w:lang w:bidi="ar"/>
        </w:rPr>
        <w:t>根据</w:t>
      </w:r>
      <w:hyperlink r:id="rId2" w:tgtFrame="http://law.npc.gov.cn/FLFG/_blank">
        <w:r>
          <w:rPr>
            <w:rStyle w:val="Hyperlink"/>
            <w:rFonts w:ascii="仿宋_GB2312" w:hAnsi="仿宋_GB2312" w:cs="仿宋_GB2312" w:hint="eastAsia"/>
            <w:kern w:val="0"/>
            <w:sz w:val="32"/>
            <w:szCs w:val="32"/>
            <w:shd w:fill="FFFFFF" w:val="clear"/>
            <w:lang w:bidi="ar"/>
          </w:rPr>
          <w:t>《中华人民共和国献血法》</w:t>
        </w:r>
      </w:hyperlink>
      <w:r>
        <w:rPr>
          <w:rFonts w:eastAsia="仿宋_GB2312" w:cs="仿宋_GB2312" w:hint="eastAsia" w:ascii="仿宋_GB2312" w:hAnsi="仿宋_GB2312"/>
          <w:kern w:val="0"/>
          <w:sz w:val="32"/>
          <w:szCs w:val="32"/>
          <w:shd w:fill="FFFFFF" w:val="clear"/>
          <w:lang w:bidi="ar"/>
        </w:rPr>
        <w:t>,</w:t>
      </w:r>
      <w:r>
        <w:rPr>
          <w:rFonts w:ascii="仿宋_GB2312" w:hAnsi="仿宋_GB2312" w:cs="仿宋_GB2312" w:hint="eastAsia"/>
          <w:bCs/>
          <w:sz w:val="32"/>
          <w:szCs w:val="32"/>
        </w:rPr>
        <w:t>结合本省实际，制定本办法。</w:t>
      </w:r>
    </w:p>
    <w:p>
      <w:pPr>
        <w:pStyle w:val="Normal"/>
        <w:tabs>
          <w:tab w:val="clear" w:pos="420"/>
          <w:tab w:val="left" w:pos="9215" w:leader="none"/>
        </w:tabs>
        <w:spacing w:lineRule="exact" w:line="600"/>
        <w:ind w:firstLineChars="200" w:startChars="0" w:start="0" w:endChars="0" w:end="0"/>
        <w:rPr>
          <w:rFonts w:ascii="仿宋" w:hAnsi="仿宋" w:eastAsia="仿宋" w:cs="仿宋" w:hint="eastAsia"/>
          <w:bCs/>
          <w:sz w:val="32"/>
          <w:szCs w:val="32"/>
        </w:rPr>
      </w:pPr>
      <w:r>
        <w:rPr>
          <w:rFonts w:ascii="黑体" w:hAnsi="黑体" w:cs="黑体" w:hint="eastAsia" w:eastAsia="黑体"/>
          <w:bCs/>
          <w:sz w:val="32"/>
          <w:szCs w:val="32"/>
        </w:rPr>
        <w:t>第二条</w:t>
      </w:r>
      <w:r>
        <w:rPr>
          <w:rFonts w:ascii="仿宋" w:hAnsi="仿宋" w:cs="仿宋" w:hint="eastAsia" w:eastAsia="仿宋"/>
          <w:bCs/>
          <w:sz w:val="32"/>
          <w:szCs w:val="32"/>
        </w:rPr>
        <w:t xml:space="preserve">  </w:t>
      </w:r>
      <w:r>
        <w:rPr>
          <w:rFonts w:ascii="仿宋_GB2312" w:hAnsi="仿宋_GB2312" w:cs="仿宋_GB2312" w:hint="eastAsia"/>
          <w:bCs/>
          <w:sz w:val="32"/>
          <w:szCs w:val="32"/>
        </w:rPr>
        <w:t>本省行政区域内献血和采血、供血等活动及其监督管理，适用本办法。</w:t>
      </w:r>
    </w:p>
    <w:p>
      <w:pPr>
        <w:pStyle w:val="Normal"/>
        <w:tabs>
          <w:tab w:val="clear" w:pos="420"/>
          <w:tab w:val="left" w:pos="9215" w:leader="none"/>
        </w:tabs>
        <w:spacing w:lineRule="exact" w:line="600"/>
        <w:ind w:firstLineChars="200" w:startChars="0" w:start="0" w:endChars="0" w:end="0"/>
        <w:rPr>
          <w:rFonts w:ascii="仿宋" w:hAnsi="仿宋" w:eastAsia="仿宋" w:cs="仿宋" w:hint="eastAsia"/>
          <w:bCs/>
          <w:sz w:val="32"/>
          <w:szCs w:val="32"/>
        </w:rPr>
      </w:pPr>
      <w:r>
        <w:rPr>
          <w:rFonts w:ascii="黑体" w:hAnsi="黑体" w:cs="黑体" w:hint="eastAsia" w:eastAsia="黑体"/>
          <w:bCs/>
          <w:sz w:val="32"/>
          <w:szCs w:val="32"/>
        </w:rPr>
        <w:t>第三条</w:t>
      </w:r>
      <w:r>
        <w:rPr>
          <w:rFonts w:ascii="仿宋" w:hAnsi="仿宋" w:cs="仿宋" w:hint="eastAsia" w:eastAsia="仿宋"/>
          <w:bCs/>
          <w:sz w:val="32"/>
          <w:szCs w:val="32"/>
        </w:rPr>
        <w:t xml:space="preserve">  </w:t>
      </w:r>
      <w:r>
        <w:rPr>
          <w:rFonts w:ascii="仿宋_GB2312" w:hAnsi="仿宋_GB2312" w:cs="仿宋_GB2312" w:hint="eastAsia"/>
          <w:bCs/>
          <w:sz w:val="32"/>
          <w:szCs w:val="32"/>
        </w:rPr>
        <w:t>献血工作应当遵循政府主导、部门协调、公民自愿、社会参与的原则。</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第四条</w:t>
      </w:r>
      <w:r>
        <w:rPr>
          <w:rFonts w:ascii="仿宋" w:hAnsi="仿宋" w:cs="仿宋" w:hint="eastAsia" w:eastAsia="仿宋"/>
          <w:bCs/>
          <w:sz w:val="32"/>
          <w:szCs w:val="32"/>
        </w:rPr>
        <w:t xml:space="preserve"> </w:t>
      </w:r>
      <w:r>
        <w:rPr>
          <w:rFonts w:ascii="仿宋_GB2312" w:hAnsi="仿宋_GB2312" w:cs="仿宋_GB2312" w:hint="eastAsia"/>
          <w:bCs/>
          <w:sz w:val="32"/>
          <w:szCs w:val="32"/>
        </w:rPr>
        <w:t xml:space="preserve"> 提倡十八周岁至五十五周岁的健康公民自愿献血。</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bCs/>
          <w:sz w:val="32"/>
          <w:szCs w:val="32"/>
        </w:rPr>
        <w:t>鼓励健康适龄的国家工作人员、现役军人、高等学校在校学生每两年献血一次以上。</w:t>
      </w:r>
    </w:p>
    <w:p>
      <w:pPr>
        <w:pStyle w:val="Normal"/>
        <w:tabs>
          <w:tab w:val="clear" w:pos="420"/>
          <w:tab w:val="left" w:pos="9215" w:leader="none"/>
        </w:tabs>
        <w:spacing w:lineRule="exact" w:line="600"/>
        <w:ind w:firstLineChars="200" w:startChars="0" w:start="0" w:endChars="0" w:end="0"/>
        <w:rPr>
          <w:rFonts w:ascii="仿宋" w:hAnsi="仿宋" w:eastAsia="仿宋" w:cs="仿宋"/>
          <w:bCs/>
          <w:sz w:val="32"/>
          <w:szCs w:val="32"/>
        </w:rPr>
      </w:pPr>
      <w:r>
        <w:rPr>
          <w:rFonts w:ascii="仿宋_GB2312" w:hAnsi="仿宋_GB2312" w:cs="仿宋_GB2312" w:hint="eastAsia"/>
          <w:bCs/>
          <w:sz w:val="32"/>
          <w:szCs w:val="32"/>
        </w:rPr>
        <w:t>鼓励稀有血型公民根据临床用血需要积极献血。</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第五条</w:t>
      </w:r>
      <w:r>
        <w:rPr>
          <w:rFonts w:ascii="仿宋" w:hAnsi="仿宋" w:cs="仿宋" w:hint="eastAsia" w:eastAsia="仿宋"/>
          <w:bCs/>
          <w:sz w:val="32"/>
          <w:szCs w:val="32"/>
        </w:rPr>
        <w:t xml:space="preserve">  </w:t>
      </w:r>
      <w:r>
        <w:rPr>
          <w:rFonts w:ascii="仿宋_GB2312" w:hAnsi="仿宋_GB2312" w:cs="仿宋_GB2312" w:hint="eastAsia"/>
          <w:bCs/>
          <w:sz w:val="32"/>
          <w:szCs w:val="32"/>
        </w:rPr>
        <w:t>提倡公民、法人和其他组织通过捐赠、参与志愿服务等形式，推动献血公益活动。</w:t>
      </w:r>
    </w:p>
    <w:p>
      <w:pPr>
        <w:pStyle w:val="Normal"/>
        <w:tabs>
          <w:tab w:val="clear" w:pos="420"/>
          <w:tab w:val="left" w:pos="9215" w:leader="none"/>
        </w:tabs>
        <w:spacing w:lineRule="exact" w:line="600"/>
        <w:ind w:firstLineChars="200" w:startChars="0" w:start="0" w:endChars="0" w:end="0"/>
        <w:rPr>
          <w:rFonts w:ascii="仿宋" w:hAnsi="仿宋" w:eastAsia="仿宋" w:cs="仿宋" w:hint="eastAsia"/>
          <w:bCs/>
          <w:sz w:val="32"/>
          <w:szCs w:val="32"/>
        </w:rPr>
      </w:pPr>
      <w:r>
        <w:rPr>
          <w:rFonts w:ascii="仿宋_GB2312" w:hAnsi="仿宋_GB2312" w:cs="仿宋_GB2312" w:hint="eastAsia"/>
          <w:bCs/>
          <w:sz w:val="32"/>
          <w:szCs w:val="32"/>
        </w:rPr>
        <w:t>鼓励国家机关、社会团体、企业事业单位以及其他组织建立献血志愿服务组织。</w:t>
      </w:r>
    </w:p>
    <w:p>
      <w:pPr>
        <w:pStyle w:val="Normal"/>
        <w:tabs>
          <w:tab w:val="clear" w:pos="420"/>
          <w:tab w:val="left" w:pos="9215" w:leader="none"/>
        </w:tabs>
        <w:spacing w:lineRule="exact" w:line="600"/>
        <w:rPr>
          <w:rFonts w:ascii="仿宋_GB2312" w:hAnsi="仿宋_GB2312" w:eastAsia="仿宋_GB2312" w:cs="仿宋_GB2312" w:hint="eastAsia"/>
          <w:bCs/>
          <w:sz w:val="32"/>
          <w:szCs w:val="32"/>
        </w:rPr>
      </w:pPr>
      <w:r>
        <w:rPr>
          <w:rFonts w:ascii="黑体" w:hAnsi="黑体" w:cs="黑体" w:hint="eastAsia" w:eastAsia="黑体"/>
          <w:bCs/>
          <w:sz w:val="32"/>
          <w:szCs w:val="32"/>
        </w:rPr>
        <w:t>　　第六条</w:t>
      </w:r>
      <w:r>
        <w:rPr>
          <w:rFonts w:ascii="仿宋" w:hAnsi="仿宋" w:cs="仿宋" w:hint="eastAsia" w:eastAsia="仿宋"/>
          <w:bCs/>
          <w:sz w:val="32"/>
          <w:szCs w:val="32"/>
        </w:rPr>
        <w:t xml:space="preserve">  </w:t>
      </w:r>
      <w:r>
        <w:rPr>
          <w:rFonts w:ascii="仿宋_GB2312" w:hAnsi="仿宋_GB2312" w:cs="仿宋_GB2312" w:hint="eastAsia"/>
          <w:bCs/>
          <w:sz w:val="32"/>
          <w:szCs w:val="32"/>
        </w:rPr>
        <w:t>县级以上人民政府应当加强对献血工作的领导，将其纳入卫生计生事业发展专项规划，工作经费列入本级财政预算，促进献血事业发展。</w:t>
      </w:r>
    </w:p>
    <w:p>
      <w:pPr>
        <w:pStyle w:val="Normal"/>
        <w:tabs>
          <w:tab w:val="clear" w:pos="420"/>
          <w:tab w:val="left" w:pos="9215" w:leader="none"/>
        </w:tabs>
        <w:spacing w:lineRule="exact" w:line="600"/>
        <w:ind w:firstLineChars="200" w:startChars="0" w:start="0" w:endChars="0" w:end="0"/>
        <w:rPr>
          <w:rFonts w:ascii="仿宋" w:hAnsi="仿宋" w:eastAsia="仿宋" w:cs="仿宋" w:hint="eastAsia"/>
          <w:bCs/>
          <w:sz w:val="32"/>
          <w:szCs w:val="32"/>
        </w:rPr>
      </w:pPr>
      <w:r>
        <w:rPr>
          <w:rFonts w:ascii="仿宋_GB2312" w:hAnsi="仿宋_GB2312" w:cs="仿宋_GB2312" w:hint="eastAsia"/>
          <w:bCs/>
          <w:spacing w:val="-2"/>
          <w:sz w:val="32"/>
          <w:szCs w:val="32"/>
        </w:rPr>
        <w:t>县级以上人民政府应当建立健全由卫生计生、发展改革、教育、民族宗教、公安、民政、财政、人力资源社会保障、住房城乡建设（城市管理）、交通运输、文化新闻出版、广播电视等部门以及红十字会、工会、共青团、妇联等社会团体参加的献血工作联系协调机制，推进献血工作有效开展。</w:t>
      </w:r>
    </w:p>
    <w:p>
      <w:pPr>
        <w:pStyle w:val="Normal"/>
        <w:tabs>
          <w:tab w:val="clear" w:pos="420"/>
          <w:tab w:val="left" w:pos="9215" w:leader="none"/>
        </w:tabs>
        <w:spacing w:lineRule="exact" w:line="600"/>
        <w:ind w:firstLineChars="200" w:startChars="0" w:start="0" w:endChars="0" w:end="0"/>
        <w:rPr>
          <w:rFonts w:ascii="仿宋" w:hAnsi="仿宋" w:eastAsia="仿宋" w:cs="仿宋" w:hint="eastAsia"/>
          <w:bCs/>
          <w:sz w:val="32"/>
          <w:szCs w:val="32"/>
        </w:rPr>
      </w:pPr>
      <w:r>
        <w:rPr>
          <w:rFonts w:ascii="黑体" w:hAnsi="黑体" w:cs="黑体" w:hint="eastAsia" w:eastAsia="黑体"/>
          <w:bCs/>
          <w:sz w:val="32"/>
          <w:szCs w:val="32"/>
        </w:rPr>
        <w:t>第七条</w:t>
      </w:r>
      <w:r>
        <w:rPr>
          <w:rFonts w:ascii="仿宋" w:hAnsi="仿宋" w:cs="仿宋" w:hint="eastAsia" w:eastAsia="仿宋"/>
          <w:bCs/>
          <w:sz w:val="32"/>
          <w:szCs w:val="32"/>
        </w:rPr>
        <w:t xml:space="preserve">  </w:t>
      </w:r>
      <w:r>
        <w:rPr>
          <w:rFonts w:ascii="仿宋_GB2312" w:hAnsi="仿宋_GB2312" w:cs="仿宋_GB2312" w:hint="eastAsia"/>
          <w:bCs/>
          <w:sz w:val="32"/>
          <w:szCs w:val="32"/>
        </w:rPr>
        <w:t>县级以上人民政府应当建立临床用血应急保障机制，制定临床用血应急预案。在发生自然灾害、重大事故等突发事件，或者急救用血调剂不能保障时，按照预案要求分级发布预警信息，启动应急预案，动员和引导公民献血。</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第八条</w:t>
      </w:r>
      <w:r>
        <w:rPr>
          <w:rFonts w:ascii="仿宋" w:hAnsi="仿宋" w:cs="仿宋" w:hint="eastAsia" w:eastAsia="仿宋"/>
          <w:bCs/>
          <w:sz w:val="32"/>
          <w:szCs w:val="32"/>
        </w:rPr>
        <w:t xml:space="preserve">  </w:t>
      </w:r>
      <w:r>
        <w:rPr>
          <w:rFonts w:ascii="仿宋_GB2312" w:hAnsi="仿宋_GB2312" w:cs="仿宋_GB2312" w:hint="eastAsia"/>
          <w:bCs/>
          <w:spacing w:val="-5"/>
          <w:sz w:val="32"/>
          <w:szCs w:val="32"/>
        </w:rPr>
        <w:t>县级以上人民政府卫生计生主管部门具体负责指导、监督、管理本行政区域内的献血、采血、供血和临床用血工作。</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bCs/>
          <w:sz w:val="32"/>
          <w:szCs w:val="32"/>
        </w:rPr>
        <w:t>县级以上人民政府卫生计生主管部门应当会同工会、共青团、妇联等社会团体推动、指导献血志愿服务。</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bCs/>
          <w:sz w:val="32"/>
          <w:szCs w:val="32"/>
        </w:rPr>
        <w:t>红十字会应当依法参与和推动献血工作。</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第九条</w:t>
      </w:r>
      <w:r>
        <w:rPr>
          <w:rFonts w:ascii="仿宋" w:hAnsi="仿宋" w:cs="仿宋" w:hint="eastAsia" w:eastAsia="仿宋"/>
          <w:bCs/>
          <w:sz w:val="32"/>
          <w:szCs w:val="32"/>
        </w:rPr>
        <w:t xml:space="preserve">  </w:t>
      </w:r>
      <w:r>
        <w:rPr>
          <w:rFonts w:ascii="仿宋_GB2312" w:hAnsi="仿宋_GB2312" w:cs="仿宋_GB2312" w:hint="eastAsia"/>
          <w:bCs/>
          <w:sz w:val="32"/>
          <w:szCs w:val="32"/>
        </w:rPr>
        <w:t>县级以上人民政府卫生计生主管部门应当根据本行政区域内的临床用血需求量、健康适龄公民人数，拟定年度献血工作计划，报同级人民政府批准后实施。</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bCs/>
          <w:sz w:val="32"/>
          <w:szCs w:val="32"/>
        </w:rPr>
        <w:t>乡（镇）人民政府、街道办事处应当组织辖区内国家机关、社会团体、企业事业单位和村（居）民委员会开展献血宣传活动。</w:t>
      </w:r>
    </w:p>
    <w:p>
      <w:pPr>
        <w:pStyle w:val="Normal"/>
        <w:tabs>
          <w:tab w:val="clear" w:pos="420"/>
          <w:tab w:val="left" w:pos="9215" w:leader="none"/>
        </w:tabs>
        <w:spacing w:lineRule="exact" w:line="600"/>
        <w:ind w:firstLineChars="200" w:startChars="0" w:start="0" w:endChars="0" w:end="0"/>
        <w:rPr>
          <w:rFonts w:ascii="仿宋" w:hAnsi="仿宋" w:eastAsia="仿宋" w:cs="仿宋" w:hint="eastAsia"/>
          <w:bCs/>
          <w:sz w:val="32"/>
          <w:szCs w:val="32"/>
        </w:rPr>
      </w:pPr>
      <w:r>
        <w:rPr>
          <w:rFonts w:ascii="仿宋_GB2312" w:hAnsi="仿宋_GB2312" w:cs="仿宋_GB2312" w:hint="eastAsia"/>
          <w:bCs/>
          <w:sz w:val="32"/>
          <w:szCs w:val="32"/>
        </w:rPr>
        <w:t>国家机关、社会团体、企业事业单位和村（居）民委员会应当支持献血工作，动员和组织本单位或者本居住区的健康适龄公民献血。</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 xml:space="preserve">第十条  </w:t>
      </w:r>
      <w:r>
        <w:rPr>
          <w:rFonts w:ascii="仿宋_GB2312" w:hAnsi="仿宋_GB2312" w:cs="仿宋_GB2312" w:hint="eastAsia"/>
          <w:bCs/>
          <w:sz w:val="32"/>
          <w:szCs w:val="32"/>
        </w:rPr>
        <w:t>各级人民政府应当加强献血宣传教育工作，组织有关部门采取多种形式普及献血科学知识，开展献血宣传和动员。　</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bCs/>
          <w:sz w:val="32"/>
          <w:szCs w:val="32"/>
        </w:rPr>
        <w:t>县级以上人民政府卫生计生主管部门应当加强献血法律法规、政策和献血科学知识等方面的宣传教育，协调、指导有关部门和单位开展献血宣传和动员；教育主管部门应当将献血科学知识纳入健康教育范围，安排相关教育内容；科学技术、司法行政部门应当将献血宣传教育纳入科普、普法教育内容。</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bCs/>
          <w:sz w:val="32"/>
          <w:szCs w:val="32"/>
        </w:rPr>
        <w:t>每年</w:t>
      </w:r>
      <w:r>
        <w:rPr>
          <w:rFonts w:eastAsia="仿宋_GB2312" w:cs="仿宋_GB2312" w:hint="eastAsia" w:ascii="仿宋_GB2312" w:hAnsi="仿宋_GB2312"/>
          <w:bCs/>
          <w:sz w:val="32"/>
          <w:szCs w:val="32"/>
        </w:rPr>
        <w:t>6</w:t>
      </w:r>
      <w:r>
        <w:rPr>
          <w:rFonts w:ascii="仿宋_GB2312" w:hAnsi="仿宋_GB2312" w:cs="仿宋_GB2312" w:hint="eastAsia"/>
          <w:bCs/>
          <w:sz w:val="32"/>
          <w:szCs w:val="32"/>
        </w:rPr>
        <w:t>月为全省自愿无偿献血宣传月。</w:t>
      </w:r>
    </w:p>
    <w:p>
      <w:pPr>
        <w:pStyle w:val="Normal"/>
        <w:tabs>
          <w:tab w:val="clear" w:pos="420"/>
          <w:tab w:val="left" w:pos="9215" w:leader="none"/>
        </w:tabs>
        <w:spacing w:lineRule="exact" w:line="600"/>
        <w:ind w:firstLine="631" w:end="0"/>
        <w:rPr>
          <w:rFonts w:ascii="仿宋_GB2312" w:hAnsi="仿宋_GB2312" w:eastAsia="仿宋_GB2312" w:cs="仿宋_GB2312" w:hint="eastAsia"/>
          <w:bCs/>
          <w:sz w:val="32"/>
          <w:szCs w:val="32"/>
        </w:rPr>
      </w:pPr>
      <w:r>
        <w:rPr>
          <w:rFonts w:ascii="黑体" w:hAnsi="黑体" w:cs="黑体" w:hint="eastAsia" w:eastAsia="黑体"/>
          <w:bCs/>
          <w:sz w:val="32"/>
          <w:szCs w:val="32"/>
        </w:rPr>
        <w:t>第十一条</w:t>
      </w:r>
      <w:r>
        <w:rPr>
          <w:rFonts w:ascii="仿宋" w:hAnsi="仿宋" w:cs="仿宋" w:hint="eastAsia" w:eastAsia="仿宋"/>
          <w:bCs/>
          <w:sz w:val="32"/>
          <w:szCs w:val="32"/>
        </w:rPr>
        <w:t xml:space="preserve">  </w:t>
      </w:r>
      <w:r>
        <w:rPr>
          <w:rFonts w:ascii="仿宋_GB2312" w:hAnsi="仿宋_GB2312" w:cs="仿宋_GB2312" w:hint="eastAsia"/>
          <w:bCs/>
          <w:sz w:val="32"/>
          <w:szCs w:val="32"/>
        </w:rPr>
        <w:t>广播、电视、报刊、网络等新闻媒体，应当开展献血公益性宣传，刊播献血科学知识和公益广告，宣传献血先进事迹、典型人物。</w:t>
      </w:r>
    </w:p>
    <w:p>
      <w:pPr>
        <w:pStyle w:val="Normal"/>
        <w:tabs>
          <w:tab w:val="clear" w:pos="420"/>
          <w:tab w:val="left" w:pos="9215" w:leader="none"/>
        </w:tabs>
        <w:spacing w:lineRule="exact" w:line="600"/>
        <w:ind w:firstLine="631" w:end="0"/>
        <w:rPr>
          <w:rFonts w:ascii="仿宋" w:hAnsi="仿宋" w:eastAsia="仿宋" w:cs="仿宋" w:hint="eastAsia"/>
          <w:bCs/>
          <w:sz w:val="32"/>
          <w:szCs w:val="32"/>
        </w:rPr>
      </w:pPr>
      <w:r>
        <w:rPr>
          <w:rFonts w:ascii="仿宋_GB2312" w:hAnsi="仿宋_GB2312" w:cs="仿宋_GB2312" w:hint="eastAsia"/>
          <w:bCs/>
          <w:sz w:val="32"/>
          <w:szCs w:val="32"/>
        </w:rPr>
        <w:t>车站、机场、广场、公园、医院、旅游景区、商场、影剧院等公共场所，公交、出租车等公共交通工具的主管单位，应当通过其设置或者管理的广告牌、宣传栏、公共视听载体等设施免费开展献血公益性宣传。</w:t>
      </w:r>
    </w:p>
    <w:p>
      <w:pPr>
        <w:pStyle w:val="Normal"/>
        <w:tabs>
          <w:tab w:val="clear" w:pos="420"/>
          <w:tab w:val="left" w:pos="9215" w:leader="none"/>
        </w:tabs>
        <w:spacing w:lineRule="exact" w:line="600"/>
        <w:ind w:firstLineChars="200" w:startChars="0" w:start="0" w:endChars="0" w:end="0"/>
        <w:rPr>
          <w:rFonts w:ascii="仿宋" w:hAnsi="仿宋" w:eastAsia="仿宋" w:cs="仿宋" w:hint="eastAsia"/>
          <w:bCs/>
          <w:sz w:val="32"/>
          <w:szCs w:val="32"/>
        </w:rPr>
      </w:pPr>
      <w:r>
        <w:rPr>
          <w:rFonts w:ascii="黑体" w:hAnsi="黑体" w:cs="黑体" w:hint="eastAsia" w:eastAsia="黑体"/>
          <w:bCs/>
          <w:sz w:val="32"/>
          <w:szCs w:val="32"/>
        </w:rPr>
        <w:t>第十二条</w:t>
      </w:r>
      <w:r>
        <w:rPr>
          <w:rFonts w:ascii="仿宋" w:hAnsi="仿宋" w:cs="仿宋" w:hint="eastAsia" w:eastAsia="仿宋"/>
          <w:bCs/>
          <w:sz w:val="32"/>
          <w:szCs w:val="32"/>
        </w:rPr>
        <w:t>　</w:t>
      </w:r>
      <w:r>
        <w:rPr>
          <w:rFonts w:ascii="仿宋_GB2312" w:hAnsi="仿宋_GB2312" w:cs="仿宋_GB2312" w:hint="eastAsia"/>
          <w:bCs/>
          <w:sz w:val="32"/>
          <w:szCs w:val="32"/>
        </w:rPr>
        <w:t>省卫生计生主管部门应当会同有关部门，组织血站、医疗机构推进采血、供血、临床用血等工作的信息化建设，为社会公众献血与查询、医疗机构血液调配使用提供便利服务。</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第十三条</w:t>
      </w:r>
      <w:r>
        <w:rPr>
          <w:rFonts w:ascii="仿宋" w:hAnsi="仿宋" w:cs="仿宋" w:hint="eastAsia" w:eastAsia="仿宋"/>
          <w:bCs/>
          <w:sz w:val="32"/>
          <w:szCs w:val="32"/>
        </w:rPr>
        <w:t xml:space="preserve">  </w:t>
      </w:r>
      <w:r>
        <w:rPr>
          <w:rFonts w:ascii="仿宋_GB2312" w:hAnsi="仿宋_GB2312" w:cs="仿宋_GB2312" w:hint="eastAsia"/>
          <w:bCs/>
          <w:sz w:val="32"/>
          <w:szCs w:val="32"/>
        </w:rPr>
        <w:t>血站是采集、提供临床用血的机构，是不以营利为目的的公益性组织。</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bCs/>
          <w:sz w:val="32"/>
          <w:szCs w:val="32"/>
        </w:rPr>
        <w:t>县级以上人民政府应当加强血站建设，保证献血和采血工作正常开展。</w:t>
      </w:r>
    </w:p>
    <w:p>
      <w:pPr>
        <w:pStyle w:val="Normal"/>
        <w:tabs>
          <w:tab w:val="clear" w:pos="420"/>
          <w:tab w:val="left" w:pos="9215" w:leader="none"/>
        </w:tabs>
        <w:spacing w:lineRule="exact" w:line="600"/>
        <w:ind w:firstLineChars="200" w:startChars="0" w:start="0" w:endChars="0" w:end="0"/>
        <w:rPr>
          <w:rFonts w:ascii="仿宋" w:hAnsi="仿宋" w:eastAsia="仿宋" w:cs="仿宋" w:hint="eastAsia"/>
          <w:bCs/>
          <w:sz w:val="32"/>
          <w:szCs w:val="32"/>
        </w:rPr>
      </w:pPr>
      <w:r>
        <w:rPr>
          <w:rFonts w:ascii="仿宋_GB2312" w:hAnsi="仿宋_GB2312" w:cs="仿宋_GB2312" w:hint="eastAsia"/>
          <w:bCs/>
          <w:spacing w:val="-2"/>
          <w:sz w:val="32"/>
          <w:szCs w:val="32"/>
        </w:rPr>
        <w:t>县级以上人民政府及其相关部门应当为血站采血提供专门区域；血站需要在街道、广场、公园及其他公共场所设置临时采血点或者停放流动采血车的，应当事先与当地公安机关、城市管理等部门协商确定，相关部门应当予以支持配合。</w:t>
      </w:r>
      <w:r>
        <w:rPr>
          <w:rFonts w:ascii="仿宋" w:hAnsi="仿宋" w:cs="仿宋" w:hint="eastAsia" w:eastAsia="仿宋"/>
          <w:bCs/>
          <w:sz w:val="32"/>
          <w:szCs w:val="32"/>
        </w:rPr>
        <w:t xml:space="preserve">  </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第十四条</w:t>
      </w:r>
      <w:r>
        <w:rPr>
          <w:rFonts w:ascii="仿宋" w:hAnsi="仿宋" w:cs="仿宋" w:hint="eastAsia" w:eastAsia="仿宋"/>
          <w:bCs/>
          <w:sz w:val="32"/>
          <w:szCs w:val="32"/>
        </w:rPr>
        <w:t xml:space="preserve">  </w:t>
      </w:r>
      <w:r>
        <w:rPr>
          <w:rFonts w:ascii="仿宋_GB2312" w:hAnsi="仿宋_GB2312" w:cs="仿宋_GB2312" w:hint="eastAsia"/>
          <w:bCs/>
          <w:sz w:val="32"/>
          <w:szCs w:val="32"/>
        </w:rPr>
        <w:t>血站应当向社会公开献血地址（采血点、流动采血车位置）、服务时间、联系方式以及血液采集和使用、库存预警信息。</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bCs/>
          <w:sz w:val="32"/>
          <w:szCs w:val="32"/>
        </w:rPr>
        <w:t>血站或者采血点应当为献血者提供安全、卫生的环境和便利的服务以及免费食品、饮品。</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第十五条</w:t>
      </w:r>
      <w:r>
        <w:rPr>
          <w:rFonts w:ascii="仿宋" w:hAnsi="仿宋" w:cs="仿宋" w:hint="eastAsia" w:eastAsia="仿宋"/>
          <w:bCs/>
          <w:sz w:val="32"/>
          <w:szCs w:val="32"/>
        </w:rPr>
        <w:t xml:space="preserve">  </w:t>
      </w:r>
      <w:r>
        <w:rPr>
          <w:rFonts w:ascii="仿宋_GB2312" w:hAnsi="仿宋_GB2312" w:cs="仿宋_GB2312" w:hint="eastAsia"/>
          <w:bCs/>
          <w:sz w:val="32"/>
          <w:szCs w:val="32"/>
        </w:rPr>
        <w:t>公民献血时，应当出示本人居民身份证等有效证件，并按照规定如实登记。</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bCs/>
          <w:sz w:val="32"/>
          <w:szCs w:val="32"/>
        </w:rPr>
        <w:t>血站和医疗机构应当建立献血者档案数据库和献血者信息保密制度，规范管理、使用献血者信息。</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第十六条</w:t>
      </w:r>
      <w:r>
        <w:rPr>
          <w:rFonts w:ascii="仿宋" w:hAnsi="仿宋" w:cs="仿宋" w:hint="eastAsia" w:eastAsia="仿宋"/>
          <w:bCs/>
          <w:sz w:val="32"/>
          <w:szCs w:val="32"/>
        </w:rPr>
        <w:t xml:space="preserve">  </w:t>
      </w:r>
      <w:r>
        <w:rPr>
          <w:rFonts w:ascii="仿宋_GB2312" w:hAnsi="仿宋_GB2312" w:cs="仿宋_GB2312" w:hint="eastAsia"/>
          <w:bCs/>
          <w:sz w:val="32"/>
          <w:szCs w:val="32"/>
        </w:rPr>
        <w:t>血站和医疗机构采血前应当向参加献血的公民介绍相关献血科学知识、注意事项，免费进行必要的健康检查。对符合献血条件的，由具有采血资格的医务人员，使用符合国家标准的一次性采血器材采集血液；对不符合献血条件的，不得采集血液并予以说明。</w:t>
      </w:r>
    </w:p>
    <w:p>
      <w:pPr>
        <w:pStyle w:val="Normal"/>
        <w:tabs>
          <w:tab w:val="clear" w:pos="420"/>
          <w:tab w:val="left" w:pos="9215" w:leader="none"/>
        </w:tabs>
        <w:spacing w:lineRule="exact" w:line="60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t xml:space="preserve">    </w:t>
      </w:r>
      <w:r>
        <w:rPr>
          <w:rFonts w:ascii="仿宋_GB2312" w:hAnsi="仿宋_GB2312" w:cs="仿宋_GB2312" w:hint="eastAsia"/>
          <w:kern w:val="0"/>
          <w:sz w:val="32"/>
          <w:szCs w:val="32"/>
          <w:shd w:fill="FFFFFF" w:val="clear"/>
          <w:lang w:bidi="ar"/>
        </w:rPr>
        <w:t>血站对献血者每次采集血液量一般为二百毫升，最多不得超过四百毫升，两次采集间隔不少于六个月。</w:t>
      </w:r>
    </w:p>
    <w:p>
      <w:pPr>
        <w:pStyle w:val="Normal"/>
        <w:tabs>
          <w:tab w:val="clear" w:pos="420"/>
          <w:tab w:val="left" w:pos="9215" w:leader="none"/>
        </w:tabs>
        <w:spacing w:lineRule="exact" w:line="600"/>
        <w:ind w:firstLineChars="200" w:startChars="0" w:start="0" w:endChars="0" w:end="0"/>
        <w:rPr>
          <w:rFonts w:ascii="仿宋" w:hAnsi="仿宋" w:eastAsia="仿宋" w:cs="仿宋" w:hint="eastAsia"/>
          <w:bCs/>
          <w:sz w:val="32"/>
          <w:szCs w:val="32"/>
        </w:rPr>
      </w:pPr>
      <w:r>
        <w:rPr>
          <w:rFonts w:ascii="仿宋_GB2312" w:hAnsi="仿宋_GB2312" w:cs="仿宋_GB2312" w:hint="eastAsia"/>
          <w:bCs/>
          <w:spacing w:val="-5"/>
          <w:sz w:val="32"/>
          <w:szCs w:val="32"/>
        </w:rPr>
        <w:t>任何单位和个人不得要求献血者证明其所献血液安全性。</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第十七条</w:t>
      </w:r>
      <w:r>
        <w:rPr>
          <w:rFonts w:ascii="仿宋" w:hAnsi="仿宋" w:cs="仿宋" w:hint="eastAsia" w:eastAsia="仿宋"/>
          <w:bCs/>
          <w:sz w:val="32"/>
          <w:szCs w:val="32"/>
        </w:rPr>
        <w:t xml:space="preserve">  </w:t>
      </w:r>
      <w:r>
        <w:rPr>
          <w:rFonts w:ascii="仿宋_GB2312" w:hAnsi="仿宋_GB2312" w:cs="仿宋_GB2312" w:hint="eastAsia"/>
          <w:bCs/>
          <w:sz w:val="32"/>
          <w:szCs w:val="32"/>
        </w:rPr>
        <w:t>血站应当向献血者颁发国家统一制作的无偿献血证。</w:t>
      </w:r>
    </w:p>
    <w:p>
      <w:pPr>
        <w:pStyle w:val="Normal"/>
        <w:tabs>
          <w:tab w:val="clear" w:pos="420"/>
          <w:tab w:val="left" w:pos="9215" w:leader="none"/>
        </w:tabs>
        <w:spacing w:lineRule="exact" w:line="600"/>
        <w:ind w:firstLineChars="200" w:startChars="0" w:start="0" w:endChars="0" w:end="0"/>
        <w:rPr>
          <w:rFonts w:ascii="仿宋" w:hAnsi="仿宋" w:eastAsia="仿宋" w:cs="仿宋" w:hint="eastAsia"/>
          <w:bCs/>
          <w:sz w:val="32"/>
          <w:szCs w:val="32"/>
        </w:rPr>
      </w:pPr>
      <w:r>
        <w:rPr>
          <w:rFonts w:ascii="仿宋_GB2312" w:hAnsi="仿宋_GB2312" w:cs="仿宋_GB2312" w:hint="eastAsia"/>
          <w:bCs/>
          <w:sz w:val="32"/>
          <w:szCs w:val="32"/>
        </w:rPr>
        <w:t>无偿献血证不得伪造、涂改、买卖、转借或者冒用。</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第十八条</w:t>
      </w:r>
      <w:r>
        <w:rPr>
          <w:rFonts w:ascii="仿宋" w:hAnsi="仿宋" w:cs="仿宋" w:hint="eastAsia" w:eastAsia="仿宋"/>
          <w:bCs/>
          <w:sz w:val="32"/>
          <w:szCs w:val="32"/>
        </w:rPr>
        <w:t xml:space="preserve">  </w:t>
      </w:r>
      <w:r>
        <w:rPr>
          <w:rFonts w:ascii="仿宋_GB2312" w:hAnsi="仿宋_GB2312" w:cs="仿宋_GB2312" w:hint="eastAsia"/>
          <w:bCs/>
          <w:sz w:val="32"/>
          <w:szCs w:val="32"/>
        </w:rPr>
        <w:t>血站和医疗机构应当执行献血法律法规规定和采血、供血等技术标准和规范，保证医疗临床用血安全。</w:t>
      </w:r>
    </w:p>
    <w:p>
      <w:pPr>
        <w:pStyle w:val="Normal"/>
        <w:tabs>
          <w:tab w:val="clear" w:pos="420"/>
          <w:tab w:val="left" w:pos="9215" w:leader="none"/>
        </w:tabs>
        <w:spacing w:lineRule="exact" w:line="600"/>
        <w:ind w:firstLineChars="200" w:startChars="0" w:start="0" w:endChars="0" w:end="0"/>
        <w:rPr>
          <w:rFonts w:ascii="仿宋" w:hAnsi="仿宋" w:eastAsia="仿宋" w:cs="仿宋" w:hint="eastAsia"/>
          <w:bCs/>
          <w:sz w:val="32"/>
          <w:szCs w:val="32"/>
        </w:rPr>
      </w:pPr>
      <w:r>
        <w:rPr>
          <w:rFonts w:ascii="仿宋_GB2312" w:hAnsi="仿宋_GB2312" w:cs="仿宋_GB2312" w:hint="eastAsia"/>
          <w:bCs/>
          <w:sz w:val="32"/>
          <w:szCs w:val="32"/>
        </w:rPr>
        <w:t>医疗机构临床用血应当制定科学、合理的用血计划，不得浪费或者滥用血液。</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第十九条</w:t>
      </w:r>
      <w:r>
        <w:rPr>
          <w:rFonts w:ascii="仿宋" w:hAnsi="仿宋" w:cs="仿宋" w:hint="eastAsia" w:eastAsia="仿宋"/>
          <w:bCs/>
          <w:sz w:val="32"/>
          <w:szCs w:val="32"/>
        </w:rPr>
        <w:t xml:space="preserve">  </w:t>
      </w:r>
      <w:r>
        <w:rPr>
          <w:rFonts w:ascii="仿宋_GB2312" w:hAnsi="仿宋_GB2312" w:cs="仿宋_GB2312" w:hint="eastAsia"/>
          <w:bCs/>
          <w:sz w:val="32"/>
          <w:szCs w:val="32"/>
        </w:rPr>
        <w:t>公民献血后享受一日带薪休假，其所在单位应当给予安排。</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第二十条</w:t>
      </w:r>
      <w:r>
        <w:rPr>
          <w:rFonts w:ascii="仿宋" w:hAnsi="仿宋" w:cs="仿宋" w:hint="eastAsia" w:eastAsia="仿宋"/>
          <w:bCs/>
          <w:sz w:val="32"/>
          <w:szCs w:val="32"/>
        </w:rPr>
        <w:t xml:space="preserve">  </w:t>
      </w:r>
      <w:r>
        <w:rPr>
          <w:rFonts w:ascii="仿宋_GB2312" w:hAnsi="仿宋_GB2312" w:cs="仿宋_GB2312" w:hint="eastAsia"/>
          <w:bCs/>
          <w:spacing w:val="-4"/>
          <w:sz w:val="32"/>
          <w:szCs w:val="32"/>
        </w:rPr>
        <w:t>在本省献血的献血者及其配偶、父母和子女临床用血时，凭身份证、无偿献血证等有效证件享受下列优惠：</w:t>
      </w:r>
    </w:p>
    <w:p>
      <w:pPr>
        <w:pStyle w:val="Normal"/>
        <w:numPr>
          <w:ilvl w:val="0"/>
          <w:numId w:val="1"/>
        </w:numPr>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bCs/>
          <w:sz w:val="32"/>
          <w:szCs w:val="32"/>
        </w:rPr>
        <w:t>献血后五年以内，本人临床用血时，免费使用本人献血量五倍的血液；五年后，本人临床用血时，免费使用本人献血量三倍的血液；献血量累计超过八百毫升的，本人终身免费用血。</w:t>
      </w:r>
    </w:p>
    <w:p>
      <w:pPr>
        <w:pStyle w:val="Normal"/>
        <w:numPr>
          <w:ilvl w:val="0"/>
          <w:numId w:val="1"/>
        </w:numPr>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bCs/>
          <w:sz w:val="32"/>
          <w:szCs w:val="32"/>
        </w:rPr>
        <w:t>自献血之日起，献血者的配偶、父母和子女临床用血时，免费使用本人献血量的等量血液</w:t>
      </w:r>
      <w:r>
        <w:rPr>
          <w:rFonts w:cs="仿宋_GB2312" w:hint="eastAsia"/>
          <w:bCs/>
          <w:sz w:val="32"/>
          <w:szCs w:val="32"/>
        </w:rPr>
        <w:t>。</w:t>
      </w:r>
    </w:p>
    <w:p>
      <w:pPr>
        <w:pStyle w:val="Normal"/>
        <w:tabs>
          <w:tab w:val="clear" w:pos="420"/>
          <w:tab w:val="left" w:pos="9215" w:leader="none"/>
        </w:tabs>
        <w:spacing w:lineRule="exact" w:line="600"/>
        <w:ind w:firstLineChars="200" w:startChars="0" w:start="0" w:endChars="0" w:end="0"/>
        <w:rPr>
          <w:rFonts w:ascii="仿宋" w:hAnsi="仿宋" w:eastAsia="仿宋" w:cs="仿宋" w:hint="eastAsia"/>
          <w:bCs/>
          <w:sz w:val="32"/>
          <w:szCs w:val="32"/>
        </w:rPr>
      </w:pPr>
      <w:r>
        <w:rPr>
          <w:rFonts w:ascii="仿宋_GB2312" w:hAnsi="仿宋_GB2312" w:cs="仿宋_GB2312" w:hint="eastAsia"/>
          <w:bCs/>
          <w:sz w:val="32"/>
          <w:szCs w:val="32"/>
        </w:rPr>
        <w:t>（三）在同等临床条件下，优先保障献血者的临床用血。</w:t>
      </w:r>
    </w:p>
    <w:p>
      <w:pPr>
        <w:pStyle w:val="Normal"/>
        <w:tabs>
          <w:tab w:val="clear" w:pos="420"/>
          <w:tab w:val="left" w:pos="9215" w:leader="none"/>
        </w:tabs>
        <w:spacing w:lineRule="exact" w:line="600"/>
        <w:ind w:firstLineChars="200" w:startChars="0" w:start="0" w:endChars="0" w:end="0"/>
        <w:rPr>
          <w:rFonts w:ascii="仿宋" w:hAnsi="仿宋" w:eastAsia="仿宋" w:cs="仿宋" w:hint="eastAsia"/>
          <w:bCs/>
          <w:sz w:val="32"/>
          <w:szCs w:val="32"/>
        </w:rPr>
      </w:pPr>
      <w:r>
        <w:rPr>
          <w:rFonts w:ascii="黑体" w:hAnsi="黑体" w:cs="黑体" w:hint="eastAsia" w:eastAsia="黑体"/>
          <w:bCs/>
          <w:sz w:val="32"/>
          <w:szCs w:val="32"/>
        </w:rPr>
        <w:t>第二十一条</w:t>
      </w:r>
      <w:r>
        <w:rPr>
          <w:rFonts w:ascii="仿宋" w:hAnsi="仿宋" w:cs="仿宋" w:hint="eastAsia" w:eastAsia="仿宋"/>
          <w:bCs/>
          <w:sz w:val="32"/>
          <w:szCs w:val="32"/>
        </w:rPr>
        <w:t xml:space="preserve"> </w:t>
      </w:r>
      <w:r>
        <w:rPr>
          <w:rFonts w:ascii="仿宋_GB2312" w:hAnsi="仿宋_GB2312" w:cs="仿宋_GB2312" w:hint="eastAsia"/>
          <w:bCs/>
          <w:sz w:val="32"/>
          <w:szCs w:val="32"/>
        </w:rPr>
        <w:t xml:space="preserve"> 献血者捐献单采血小板的，每捐献一人份血小板按照献血全血四百毫升计算。</w:t>
      </w:r>
    </w:p>
    <w:p>
      <w:pPr>
        <w:pStyle w:val="Normal"/>
        <w:tabs>
          <w:tab w:val="clear" w:pos="420"/>
          <w:tab w:val="left" w:pos="9215" w:leader="none"/>
        </w:tabs>
        <w:spacing w:lineRule="exact" w:line="600"/>
        <w:ind w:firstLineChars="200" w:startChars="0" w:start="0" w:endChars="0" w:end="0"/>
        <w:rPr>
          <w:rFonts w:ascii="仿宋" w:hAnsi="仿宋" w:eastAsia="仿宋" w:cs="仿宋" w:hint="eastAsia"/>
          <w:bCs/>
          <w:sz w:val="32"/>
          <w:szCs w:val="32"/>
        </w:rPr>
      </w:pPr>
      <w:r>
        <w:rPr>
          <w:rFonts w:ascii="黑体" w:hAnsi="黑体" w:cs="黑体" w:hint="eastAsia" w:eastAsia="黑体"/>
          <w:bCs/>
          <w:sz w:val="32"/>
          <w:szCs w:val="32"/>
        </w:rPr>
        <w:t>第二十二条</w:t>
      </w:r>
      <w:r>
        <w:rPr>
          <w:rFonts w:ascii="仿宋" w:hAnsi="仿宋" w:cs="仿宋" w:hint="eastAsia" w:eastAsia="仿宋"/>
          <w:bCs/>
          <w:sz w:val="32"/>
          <w:szCs w:val="32"/>
        </w:rPr>
        <w:t xml:space="preserve">  </w:t>
      </w:r>
      <w:r>
        <w:rPr>
          <w:rFonts w:ascii="仿宋_GB2312" w:hAnsi="仿宋_GB2312" w:cs="仿宋_GB2312" w:hint="eastAsia"/>
          <w:bCs/>
          <w:sz w:val="32"/>
          <w:szCs w:val="32"/>
        </w:rPr>
        <w:t>获得国家献血奉献奖的公民，在非营利性医疗机构就诊时，应当给予其医疗费用减免优待，提供便利服务。</w:t>
      </w:r>
    </w:p>
    <w:p>
      <w:pPr>
        <w:pStyle w:val="Normal"/>
        <w:tabs>
          <w:tab w:val="clear" w:pos="420"/>
          <w:tab w:val="left" w:pos="9215" w:leader="none"/>
        </w:tabs>
        <w:spacing w:lineRule="exact" w:line="600"/>
        <w:ind w:firstLineChars="200" w:startChars="0" w:start="0" w:endChars="0" w:end="0"/>
        <w:rPr>
          <w:rFonts w:ascii="仿宋" w:hAnsi="仿宋" w:eastAsia="仿宋" w:cs="仿宋" w:hint="eastAsia"/>
          <w:bCs/>
          <w:sz w:val="32"/>
          <w:szCs w:val="32"/>
        </w:rPr>
      </w:pPr>
      <w:r>
        <w:rPr>
          <w:rFonts w:ascii="黑体" w:hAnsi="黑体" w:cs="黑体" w:hint="eastAsia" w:eastAsia="黑体"/>
          <w:bCs/>
          <w:sz w:val="32"/>
          <w:szCs w:val="32"/>
        </w:rPr>
        <w:t>第二十三条</w:t>
      </w:r>
      <w:r>
        <w:rPr>
          <w:rFonts w:ascii="仿宋" w:hAnsi="仿宋" w:cs="仿宋" w:hint="eastAsia" w:eastAsia="仿宋"/>
          <w:bCs/>
          <w:sz w:val="32"/>
          <w:szCs w:val="32"/>
        </w:rPr>
        <w:t xml:space="preserve">  </w:t>
      </w:r>
      <w:r>
        <w:rPr>
          <w:rFonts w:ascii="仿宋_GB2312" w:hAnsi="仿宋_GB2312" w:cs="仿宋_GB2312" w:hint="eastAsia"/>
          <w:bCs/>
          <w:sz w:val="32"/>
          <w:szCs w:val="32"/>
        </w:rPr>
        <w:t>县级以上人民政府根据本地实际设立献血关爱公益性专项资金，用于对献血者的关爱和无过错用血感染者的救助。具体办法由省卫生计生主管部门会同省财政部门制定。</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第二十四条</w:t>
      </w:r>
      <w:r>
        <w:rPr>
          <w:rFonts w:ascii="仿宋" w:hAnsi="仿宋" w:cs="仿宋" w:hint="eastAsia" w:eastAsia="仿宋"/>
          <w:bCs/>
          <w:sz w:val="32"/>
          <w:szCs w:val="32"/>
        </w:rPr>
        <w:t xml:space="preserve">  </w:t>
      </w:r>
      <w:r>
        <w:rPr>
          <w:rFonts w:ascii="仿宋_GB2312" w:hAnsi="仿宋_GB2312" w:cs="仿宋_GB2312" w:hint="eastAsia"/>
          <w:bCs/>
          <w:sz w:val="32"/>
          <w:szCs w:val="32"/>
        </w:rPr>
        <w:t>有下列情形之一的，由县级以上人民政府卫生计生主管部门会同红十字会给予表彰奖励：</w:t>
      </w:r>
    </w:p>
    <w:p>
      <w:pPr>
        <w:pStyle w:val="Normal"/>
        <w:numPr>
          <w:ilvl w:val="0"/>
          <w:numId w:val="2"/>
        </w:numPr>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bCs/>
          <w:sz w:val="32"/>
          <w:szCs w:val="32"/>
        </w:rPr>
        <w:t>个人无偿献血累计三千毫升以上的；</w:t>
      </w:r>
      <w:r>
        <w:rPr>
          <w:rFonts w:eastAsia="仿宋_GB2312" w:cs="仿宋_GB2312" w:hint="eastAsia" w:ascii="仿宋_GB2312" w:hAnsi="仿宋_GB2312"/>
          <w:bCs/>
          <w:sz w:val="32"/>
          <w:szCs w:val="32"/>
        </w:rPr>
        <w:br/>
      </w:r>
      <w:r>
        <w:rPr>
          <w:rFonts w:ascii="仿宋_GB2312" w:hAnsi="仿宋_GB2312" w:cs="仿宋_GB2312" w:hint="eastAsia"/>
          <w:bCs/>
          <w:sz w:val="32"/>
          <w:szCs w:val="32"/>
        </w:rPr>
        <w:t>　　（二）单位动员和组织献血，事迹突出的；</w:t>
      </w:r>
      <w:r>
        <w:rPr>
          <w:rFonts w:eastAsia="仿宋_GB2312" w:cs="仿宋_GB2312" w:hint="eastAsia" w:ascii="仿宋_GB2312" w:hAnsi="仿宋_GB2312"/>
          <w:bCs/>
          <w:sz w:val="32"/>
          <w:szCs w:val="32"/>
        </w:rPr>
        <w:br/>
      </w:r>
      <w:r>
        <w:rPr>
          <w:rFonts w:ascii="仿宋_GB2312" w:hAnsi="仿宋_GB2312" w:cs="仿宋_GB2312" w:hint="eastAsia"/>
          <w:bCs/>
          <w:sz w:val="32"/>
          <w:szCs w:val="32"/>
        </w:rPr>
        <w:t>　　（三）为抢救危重病人主动献血，表现突出的；</w:t>
      </w:r>
      <w:r>
        <w:rPr>
          <w:rFonts w:eastAsia="仿宋_GB2312" w:cs="仿宋_GB2312" w:hint="eastAsia" w:ascii="仿宋_GB2312" w:hAnsi="仿宋_GB2312"/>
          <w:bCs/>
          <w:sz w:val="32"/>
          <w:szCs w:val="32"/>
        </w:rPr>
        <w:br/>
      </w:r>
      <w:r>
        <w:rPr>
          <w:rFonts w:ascii="仿宋_GB2312" w:hAnsi="仿宋_GB2312" w:cs="仿宋_GB2312" w:hint="eastAsia"/>
          <w:bCs/>
          <w:sz w:val="32"/>
          <w:szCs w:val="32"/>
        </w:rPr>
        <w:t>　　（四）献血、采血、供血或者用血管理成效显著的；</w:t>
      </w:r>
      <w:r>
        <w:rPr>
          <w:rFonts w:eastAsia="仿宋_GB2312" w:cs="仿宋_GB2312" w:hint="eastAsia" w:ascii="仿宋_GB2312" w:hAnsi="仿宋_GB2312"/>
          <w:bCs/>
          <w:sz w:val="32"/>
          <w:szCs w:val="32"/>
        </w:rPr>
        <w:br/>
        <w:t xml:space="preserve">    </w:t>
      </w:r>
      <w:r>
        <w:rPr>
          <w:rFonts w:ascii="仿宋_GB2312" w:hAnsi="仿宋_GB2312" w:cs="仿宋_GB2312" w:hint="eastAsia"/>
          <w:bCs/>
          <w:sz w:val="32"/>
          <w:szCs w:val="32"/>
        </w:rPr>
        <w:t>（五）在献血的社会公益性宣传中成绩显著的；</w:t>
      </w:r>
    </w:p>
    <w:p>
      <w:pPr>
        <w:pStyle w:val="Normal"/>
        <w:tabs>
          <w:tab w:val="clear" w:pos="420"/>
          <w:tab w:val="left" w:pos="9215" w:leader="none"/>
        </w:tabs>
        <w:spacing w:lineRule="exact" w:line="600"/>
        <w:rPr>
          <w:rFonts w:ascii="仿宋" w:hAnsi="仿宋" w:eastAsia="仿宋" w:cs="仿宋" w:hint="eastAsia"/>
          <w:bCs/>
          <w:sz w:val="32"/>
          <w:szCs w:val="32"/>
        </w:rPr>
      </w:pPr>
      <w:r>
        <w:rPr>
          <w:rFonts w:eastAsia="仿宋_GB2312" w:cs="仿宋_GB2312" w:hint="eastAsia" w:ascii="仿宋_GB2312" w:hAnsi="仿宋_GB2312"/>
          <w:bCs/>
          <w:spacing w:val="-5"/>
          <w:sz w:val="32"/>
          <w:szCs w:val="32"/>
        </w:rPr>
        <w:t xml:space="preserve">    </w:t>
      </w:r>
      <w:r>
        <w:rPr>
          <w:rFonts w:ascii="仿宋_GB2312" w:hAnsi="仿宋_GB2312" w:cs="仿宋_GB2312" w:hint="eastAsia"/>
          <w:bCs/>
          <w:spacing w:val="-5"/>
          <w:sz w:val="32"/>
          <w:szCs w:val="32"/>
        </w:rPr>
        <w:t>（六）为献血事业捐赠资金、物资、设备做出突出贡献的。</w:t>
      </w:r>
      <w:r>
        <w:rPr>
          <w:rFonts w:eastAsia="仿宋_GB2312" w:cs="仿宋_GB2312" w:hint="eastAsia" w:ascii="仿宋_GB2312" w:hAnsi="仿宋_GB2312"/>
          <w:kern w:val="0"/>
          <w:sz w:val="32"/>
          <w:szCs w:val="32"/>
          <w:shd w:fill="FFFFFF" w:val="clear"/>
          <w:lang w:bidi="ar"/>
        </w:rPr>
        <w:br/>
      </w:r>
      <w:r>
        <w:rPr>
          <w:rFonts w:cs="宋体" w:hint="eastAsia" w:ascii="宋体" w:hAnsi="宋体"/>
          <w:kern w:val="0"/>
          <w:sz w:val="32"/>
          <w:szCs w:val="32"/>
          <w:shd w:fill="FFFFFF" w:val="clear"/>
          <w:lang w:bidi="ar"/>
        </w:rPr>
        <w:t xml:space="preserve">    </w:t>
      </w:r>
      <w:r>
        <w:rPr>
          <w:rFonts w:ascii="黑体" w:hAnsi="黑体" w:cs="黑体" w:hint="eastAsia" w:eastAsia="黑体"/>
          <w:bCs/>
          <w:sz w:val="32"/>
          <w:szCs w:val="32"/>
        </w:rPr>
        <w:t>第二十五条</w:t>
      </w:r>
      <w:r>
        <w:rPr>
          <w:rFonts w:ascii="仿宋" w:hAnsi="仿宋" w:cs="仿宋" w:hint="eastAsia" w:eastAsia="仿宋"/>
          <w:bCs/>
          <w:sz w:val="32"/>
          <w:szCs w:val="32"/>
        </w:rPr>
        <w:t xml:space="preserve">  </w:t>
      </w:r>
      <w:r>
        <w:rPr>
          <w:rFonts w:ascii="仿宋_GB2312" w:hAnsi="仿宋_GB2312" w:cs="仿宋_GB2312" w:hint="eastAsia"/>
          <w:bCs/>
          <w:sz w:val="32"/>
          <w:szCs w:val="32"/>
        </w:rPr>
        <w:t>县级以上人民政府卫生计生主管部门应当加强对血站、医疗机构执行献血法律法规、技术标准与规范的监督检查，建立健全投诉举报制度，及时查处违法违规行为。</w:t>
      </w:r>
    </w:p>
    <w:p>
      <w:pPr>
        <w:pStyle w:val="Normal"/>
        <w:tabs>
          <w:tab w:val="clear" w:pos="420"/>
          <w:tab w:val="left" w:pos="9215" w:leader="none"/>
        </w:tabs>
        <w:spacing w:lineRule="exact" w:line="600"/>
        <w:ind w:firstLineChars="200" w:startChars="0" w:start="0" w:endChars="0" w:end="0"/>
        <w:rPr>
          <w:rFonts w:ascii="仿宋" w:hAnsi="仿宋" w:eastAsia="仿宋" w:cs="仿宋" w:hint="eastAsia"/>
          <w:bCs/>
          <w:sz w:val="32"/>
          <w:szCs w:val="32"/>
        </w:rPr>
      </w:pPr>
      <w:r>
        <w:rPr>
          <w:rFonts w:ascii="黑体" w:hAnsi="黑体" w:cs="黑体" w:hint="eastAsia" w:eastAsia="黑体"/>
          <w:bCs/>
          <w:sz w:val="32"/>
          <w:szCs w:val="32"/>
        </w:rPr>
        <w:t>第二十六条</w:t>
      </w:r>
      <w:r>
        <w:rPr>
          <w:rFonts w:ascii="仿宋" w:hAnsi="仿宋" w:cs="仿宋" w:hint="eastAsia" w:eastAsia="仿宋"/>
          <w:bCs/>
          <w:sz w:val="32"/>
          <w:szCs w:val="32"/>
        </w:rPr>
        <w:t xml:space="preserve">  </w:t>
      </w:r>
      <w:r>
        <w:rPr>
          <w:rFonts w:ascii="仿宋_GB2312" w:hAnsi="仿宋_GB2312" w:cs="仿宋_GB2312" w:hint="eastAsia"/>
          <w:bCs/>
          <w:sz w:val="32"/>
          <w:szCs w:val="32"/>
        </w:rPr>
        <w:t>伪造、涂改、买卖、转借或者冒用无偿献血证的，不得减免临床用血费用，并由卫生计生主管部门将其违法事实作为个人信用信息告知征信机构。</w:t>
      </w:r>
    </w:p>
    <w:p>
      <w:pPr>
        <w:pStyle w:val="Normal"/>
        <w:tabs>
          <w:tab w:val="clear" w:pos="420"/>
          <w:tab w:val="left" w:pos="9215" w:leader="none"/>
        </w:tabs>
        <w:spacing w:lineRule="exact" w:line="600"/>
        <w:ind w:firstLineChars="200" w:startChars="0" w:start="0" w:endChars="0" w:end="0"/>
        <w:rPr>
          <w:rFonts w:ascii="仿宋" w:hAnsi="仿宋" w:eastAsia="仿宋" w:cs="仿宋" w:hint="eastAsia"/>
          <w:bCs/>
          <w:sz w:val="32"/>
          <w:szCs w:val="32"/>
        </w:rPr>
      </w:pPr>
      <w:r>
        <w:rPr>
          <w:rFonts w:ascii="黑体" w:hAnsi="黑体" w:cs="黑体" w:hint="eastAsia" w:eastAsia="黑体"/>
          <w:bCs/>
          <w:sz w:val="32"/>
          <w:szCs w:val="32"/>
        </w:rPr>
        <w:t>第二十七条</w:t>
      </w:r>
      <w:r>
        <w:rPr>
          <w:rFonts w:ascii="仿宋" w:hAnsi="仿宋" w:cs="仿宋" w:hint="eastAsia" w:eastAsia="仿宋"/>
          <w:bCs/>
          <w:sz w:val="32"/>
          <w:szCs w:val="32"/>
        </w:rPr>
        <w:t xml:space="preserve">  </w:t>
      </w:r>
      <w:r>
        <w:rPr>
          <w:rFonts w:ascii="仿宋_GB2312" w:hAnsi="仿宋_GB2312" w:cs="仿宋_GB2312" w:hint="eastAsia"/>
          <w:bCs/>
          <w:sz w:val="32"/>
          <w:szCs w:val="32"/>
        </w:rPr>
        <w:t>违反本办法的行为，法律法规已规定法律责任的，从其规定。</w:t>
      </w:r>
    </w:p>
    <w:p>
      <w:pPr>
        <w:pStyle w:val="Normal"/>
        <w:tabs>
          <w:tab w:val="clear" w:pos="420"/>
          <w:tab w:val="left" w:pos="9215" w:leader="none"/>
        </w:tabs>
        <w:spacing w:lineRule="exact" w:line="600"/>
        <w:ind w:firstLineChars="200" w:startChars="0" w:start="0" w:endChars="0" w:end="0"/>
        <w:rPr>
          <w:rFonts w:ascii="仿宋" w:hAnsi="仿宋" w:eastAsia="仿宋" w:cs="仿宋"/>
          <w:bCs/>
          <w:sz w:val="32"/>
          <w:szCs w:val="32"/>
        </w:rPr>
      </w:pPr>
      <w:r>
        <w:rPr>
          <w:rFonts w:ascii="黑体" w:hAnsi="黑体" w:cs="黑体" w:hint="eastAsia" w:eastAsia="黑体"/>
          <w:bCs/>
          <w:sz w:val="32"/>
          <w:szCs w:val="32"/>
        </w:rPr>
        <w:t>第二十八条</w:t>
      </w:r>
      <w:r>
        <w:rPr>
          <w:rFonts w:ascii="仿宋" w:hAnsi="仿宋" w:cs="仿宋" w:hint="eastAsia" w:eastAsia="仿宋"/>
          <w:bCs/>
          <w:sz w:val="32"/>
          <w:szCs w:val="32"/>
        </w:rPr>
        <w:t xml:space="preserve">  </w:t>
      </w:r>
      <w:r>
        <w:rPr>
          <w:rFonts w:ascii="仿宋_GB2312" w:hAnsi="仿宋_GB2312" w:cs="仿宋_GB2312" w:hint="eastAsia"/>
          <w:bCs/>
          <w:sz w:val="32"/>
          <w:szCs w:val="32"/>
        </w:rPr>
        <w:t>卫生计生主管部门工作人员在献血、采血、供血和临床用血监督管理工作中玩忽职守、徇私舞弊、滥用职权的，由所在单位或者有关机关责令改正，并按照管理权限对直接负责的主管人员和其他直接责任人员给予处分；构成犯罪的，依法追究刑事责任。</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黑体" w:hAnsi="黑体" w:cs="黑体" w:hint="eastAsia" w:eastAsia="黑体"/>
          <w:bCs/>
          <w:sz w:val="32"/>
          <w:szCs w:val="32"/>
        </w:rPr>
        <w:t>第二十九条</w:t>
      </w:r>
      <w:r>
        <w:rPr>
          <w:rFonts w:ascii="仿宋" w:hAnsi="仿宋" w:cs="仿宋" w:hint="eastAsia" w:eastAsia="仿宋"/>
          <w:bCs/>
          <w:sz w:val="32"/>
          <w:szCs w:val="32"/>
        </w:rPr>
        <w:t xml:space="preserve">  </w:t>
      </w:r>
      <w:r>
        <w:rPr>
          <w:rFonts w:ascii="仿宋_GB2312" w:hAnsi="仿宋_GB2312" w:cs="仿宋_GB2312" w:hint="eastAsia"/>
          <w:bCs/>
          <w:sz w:val="32"/>
          <w:szCs w:val="32"/>
        </w:rPr>
        <w:t>血站、医疗机构及其工作人员违反本办法规定，有下列行为之一的，由县级以上人民政府卫生计生主管部门责令改正；情节严重的，由有关机关按照管理权限对直接负责的主管人员和其他直接责任人员给予处分；构成犯罪的，依法追究刑事责任：</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bCs/>
          <w:sz w:val="32"/>
          <w:szCs w:val="32"/>
        </w:rPr>
        <w:t>（</w:t>
      </w:r>
      <w:r>
        <w:rPr>
          <w:rFonts w:cs="仿宋_GB2312" w:hint="eastAsia"/>
          <w:bCs/>
          <w:sz w:val="32"/>
          <w:szCs w:val="32"/>
        </w:rPr>
        <w:t>一</w:t>
      </w:r>
      <w:r>
        <w:rPr>
          <w:rFonts w:ascii="仿宋_GB2312" w:hAnsi="仿宋_GB2312" w:cs="仿宋_GB2312" w:hint="eastAsia"/>
          <w:bCs/>
          <w:sz w:val="32"/>
          <w:szCs w:val="32"/>
        </w:rPr>
        <w:t>）泄露献血者个人信息的；</w:t>
      </w:r>
    </w:p>
    <w:p>
      <w:pPr>
        <w:pStyle w:val="Normal"/>
        <w:tabs>
          <w:tab w:val="clear" w:pos="420"/>
          <w:tab w:val="left" w:pos="9215" w:leader="none"/>
        </w:tabs>
        <w:spacing w:lineRule="exact" w:line="60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bCs/>
          <w:sz w:val="32"/>
          <w:szCs w:val="32"/>
        </w:rPr>
        <w:t>（二）对献血者及其配偶、父母和子女不予落实临床用血优惠的；</w:t>
      </w:r>
    </w:p>
    <w:p>
      <w:pPr>
        <w:pStyle w:val="Normal"/>
        <w:tabs>
          <w:tab w:val="clear" w:pos="420"/>
          <w:tab w:val="left" w:pos="9215" w:leader="none"/>
        </w:tabs>
        <w:spacing w:lineRule="exact" w:line="600"/>
        <w:ind w:firstLineChars="200" w:startChars="0" w:start="0" w:endChars="0" w:end="0"/>
        <w:rPr>
          <w:rFonts w:ascii="仿宋" w:hAnsi="仿宋" w:eastAsia="仿宋" w:cs="仿宋" w:hint="eastAsia"/>
          <w:bCs/>
          <w:sz w:val="32"/>
          <w:szCs w:val="32"/>
        </w:rPr>
      </w:pPr>
      <w:r>
        <w:rPr>
          <w:rFonts w:ascii="仿宋_GB2312" w:hAnsi="仿宋_GB2312" w:cs="仿宋_GB2312" w:hint="eastAsia"/>
          <w:bCs/>
          <w:sz w:val="32"/>
          <w:szCs w:val="32"/>
        </w:rPr>
        <w:t>（三）对获得国家献血奉献奖的公民，不落实医疗费用减免优待的。</w:t>
      </w:r>
    </w:p>
    <w:p>
      <w:pPr>
        <w:pStyle w:val="Normal"/>
        <w:tabs>
          <w:tab w:val="clear" w:pos="420"/>
          <w:tab w:val="left" w:pos="9215" w:leader="none"/>
        </w:tabs>
        <w:spacing w:lineRule="exact" w:line="600"/>
        <w:ind w:firstLineChars="200" w:startChars="0" w:start="0" w:endChars="0" w:end="0"/>
        <w:rPr/>
      </w:pPr>
      <w:r>
        <w:rPr>
          <w:rFonts w:ascii="黑体" w:hAnsi="黑体" w:cs="黑体" w:hint="eastAsia" w:eastAsia="黑体"/>
          <w:bCs/>
          <w:sz w:val="32"/>
          <w:szCs w:val="32"/>
        </w:rPr>
        <w:t>第三十条</w:t>
      </w:r>
      <w:r>
        <w:rPr>
          <w:rFonts w:ascii="仿宋" w:hAnsi="仿宋" w:cs="仿宋" w:hint="eastAsia" w:eastAsia="仿宋"/>
          <w:bCs/>
          <w:sz w:val="32"/>
          <w:szCs w:val="32"/>
        </w:rPr>
        <w:t xml:space="preserve">  </w:t>
      </w:r>
      <w:r>
        <w:rPr>
          <w:rFonts w:ascii="仿宋_GB2312" w:hAnsi="仿宋_GB2312" w:cs="仿宋_GB2312" w:hint="eastAsia"/>
          <w:bCs/>
          <w:sz w:val="32"/>
          <w:szCs w:val="32"/>
        </w:rPr>
        <w:t>本办法自</w:t>
      </w:r>
      <w:r>
        <w:rPr>
          <w:rFonts w:eastAsia="仿宋_GB2312" w:cs="仿宋_GB2312" w:hint="eastAsia" w:ascii="仿宋_GB2312" w:hAnsi="仿宋_GB2312"/>
          <w:bCs/>
          <w:sz w:val="32"/>
          <w:szCs w:val="32"/>
        </w:rPr>
        <w:t>2017</w:t>
      </w:r>
      <w:r>
        <w:rPr>
          <w:rFonts w:ascii="仿宋_GB2312" w:hAnsi="仿宋_GB2312" w:cs="仿宋_GB2312" w:hint="eastAsia"/>
          <w:bCs/>
          <w:sz w:val="32"/>
          <w:szCs w:val="32"/>
        </w:rPr>
        <w:t>年</w:t>
      </w:r>
      <w:r>
        <w:rPr>
          <w:rFonts w:eastAsia="仿宋_GB2312" w:cs="仿宋_GB2312" w:hint="eastAsia" w:ascii="仿宋_GB2312" w:hAnsi="仿宋_GB2312"/>
          <w:bCs/>
          <w:sz w:val="32"/>
          <w:szCs w:val="32"/>
        </w:rPr>
        <w:t>9</w:t>
      </w:r>
      <w:r>
        <w:rPr>
          <w:rFonts w:ascii="仿宋_GB2312" w:hAnsi="仿宋_GB2312" w:cs="仿宋_GB2312" w:hint="eastAsia"/>
          <w:bCs/>
          <w:sz w:val="32"/>
          <w:szCs w:val="32"/>
        </w:rPr>
        <w:t>月</w:t>
      </w:r>
      <w:r>
        <w:rPr>
          <w:rFonts w:eastAsia="仿宋_GB2312" w:cs="仿宋_GB2312" w:hint="eastAsia" w:ascii="仿宋_GB2312" w:hAnsi="仿宋_GB2312"/>
          <w:bCs/>
          <w:sz w:val="32"/>
          <w:szCs w:val="32"/>
        </w:rPr>
        <w:t>1</w:t>
      </w:r>
      <w:r>
        <w:rPr>
          <w:rFonts w:ascii="仿宋_GB2312" w:hAnsi="仿宋_GB2312" w:cs="仿宋_GB2312" w:hint="eastAsia"/>
          <w:bCs/>
          <w:sz w:val="32"/>
          <w:szCs w:val="32"/>
        </w:rPr>
        <w:t>日起施行。</w:t>
      </w:r>
    </w:p>
    <w:sectPr>
      <w:headerReference w:type="even" r:id="rId3"/>
      <w:headerReference w:type="default" r:id="rId4"/>
      <w:footerReference w:type="even" r:id="rId5"/>
      <w:footerReference w:type="default" r:id="rId6"/>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278130" cy="303530"/>
              <wp:effectExtent l="0" t="0" r="0" b="0"/>
              <wp:wrapNone/>
              <wp:docPr id="1" name="Frame2"/>
              <a:graphic xmlns:a="http://schemas.openxmlformats.org/drawingml/2006/main">
                <a:graphicData uri="http://schemas.microsoft.com/office/word/2010/wordprocessingShape">
                  <wps:wsp>
                    <wps:cNvSpPr txBox="1"/>
                    <wps:spPr>
                      <a:xfrm>
                        <a:off x="0" y="0"/>
                        <a:ext cx="27813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6</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1.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6</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278130" cy="537210"/>
              <wp:effectExtent l="0" t="0" r="0" b="0"/>
              <wp:wrapNone/>
              <wp:docPr id="2" name="Frame1"/>
              <a:graphic xmlns:a="http://schemas.openxmlformats.org/drawingml/2006/main">
                <a:graphicData uri="http://schemas.microsoft.com/office/word/2010/wordprocessingShape">
                  <wps:wsp>
                    <wps:cNvSpPr txBox="1"/>
                    <wps:spPr>
                      <a:xfrm>
                        <a:off x="0" y="0"/>
                        <a:ext cx="278130" cy="53721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1.9pt;height:42.3pt;mso-wrap-distance-left:9.05pt;mso-wrap-distance-right:0pt;mso-wrap-distance-top:0pt;mso-wrap-distance-bottom:0pt;margin-top:0pt;mso-position-vertical-relative:text;margin-left:420.3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eastAsia="华文中宋"/>
      <w:b/>
      <w:bCs/>
      <w:kern w:val="2"/>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aw.npc.gov.cn:80/FLFG/%5C/FLFG/flfgByID.action?flfgID=255&amp;zlsxid=01&amp;showDetailType=QW"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2017-08-18T11:24:51Z</dcterms:modified>
  <cp:revision>0</cp:revision>
  <dc:subject/>
  <dc:title>青海省实施《中华人民共和国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