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宋体;SimSun" w:hAnsi="宋体;SimSun" w:eastAsia="宋体;SimSun" w:cs="宋体;SimSun" w:hint="eastAsia"/>
          <w:sz w:val="44"/>
        </w:rPr>
      </w:pPr>
      <w:r>
        <w:rPr>
          <w:rFonts w:ascii="宋体;SimSun" w:hAnsi="宋体;SimSun" w:cs="宋体;SimSun" w:hint="eastAsia" w:eastAsia="宋体;SimSun"/>
          <w:sz w:val="44"/>
        </w:rPr>
        <w:t>西宁市保护学校教学环境维护教学秩序的规定</w:t>
      </w:r>
    </w:p>
    <w:p>
      <w:pPr>
        <w:pStyle w:val="Normal"/>
        <w:rPr>
          <w:rFonts w:ascii="宋体;SimSun" w:hAnsi="宋体;SimSun" w:eastAsia="宋体;SimSun" w:cs="宋体;SimSun" w:hint="eastAsia"/>
          <w:sz w:val="44"/>
        </w:rPr>
      </w:pPr>
      <w:r>
        <w:rPr>
          <w:rFonts w:eastAsia="宋体;SimSun" w:cs="宋体;SimSun" w:hint="eastAsia" w:ascii="宋体;SimSun" w:hAnsi="宋体;SimSun"/>
          <w:sz w:val="44"/>
        </w:rPr>
      </w:r>
    </w:p>
    <w:p>
      <w:pPr>
        <w:pStyle w:val="Normal"/>
        <w:ind w:hangingChars="200" w:startChars="0" w:start="0" w:endChars="163"/>
        <w:rPr/>
      </w:pPr>
      <w:r>
        <w:rPr>
          <w:rFonts w:hint="eastAsia"/>
        </w:rPr>
        <w:t>　　</w:t>
      </w:r>
      <w:r>
        <w:rPr>
          <w:rFonts w:ascii="楷体_GB2312" w:hAnsi="楷体_GB2312" w:hint="eastAsia" w:eastAsia="楷体_GB2312"/>
        </w:rPr>
        <w:t>（</w:t>
      </w:r>
      <w:r>
        <w:rPr>
          <w:rFonts w:eastAsia="楷体_GB2312" w:hint="eastAsia" w:ascii="楷体_GB2312" w:hAnsi="楷体_GB2312"/>
        </w:rPr>
        <w:t>1987</w:t>
      </w:r>
      <w:r>
        <w:rPr>
          <w:rFonts w:ascii="楷体_GB2312" w:hAnsi="楷体_GB2312" w:hint="eastAsia" w:eastAsia="楷体_GB2312"/>
        </w:rPr>
        <w:t>年</w:t>
      </w:r>
      <w:r>
        <w:rPr>
          <w:rFonts w:eastAsia="楷体_GB2312" w:hint="eastAsia" w:ascii="楷体_GB2312" w:hAnsi="楷体_GB2312"/>
        </w:rPr>
        <w:t>11</w:t>
      </w:r>
      <w:r>
        <w:rPr>
          <w:rFonts w:ascii="楷体_GB2312" w:hAnsi="楷体_GB2312" w:hint="eastAsia" w:eastAsia="楷体_GB2312"/>
        </w:rPr>
        <w:t>月</w:t>
      </w:r>
      <w:r>
        <w:rPr>
          <w:rFonts w:eastAsia="楷体_GB2312" w:hint="eastAsia" w:ascii="楷体_GB2312" w:hAnsi="楷体_GB2312"/>
        </w:rPr>
        <w:t>13</w:t>
      </w:r>
      <w:r>
        <w:rPr>
          <w:rFonts w:ascii="楷体_GB2312" w:hAnsi="楷体_GB2312" w:hint="eastAsia" w:eastAsia="楷体_GB2312"/>
        </w:rPr>
        <w:t>日西宁市第十届人民代表大会常务委员会第三次会议通过　</w:t>
      </w:r>
      <w:r>
        <w:rPr>
          <w:rFonts w:eastAsia="楷体_GB2312" w:hint="eastAsia" w:ascii="楷体_GB2312" w:hAnsi="楷体_GB2312"/>
        </w:rPr>
        <w:t>1988</w:t>
      </w:r>
      <w:r>
        <w:rPr>
          <w:rFonts w:ascii="楷体_GB2312" w:hAnsi="楷体_GB2312" w:hint="eastAsia" w:eastAsia="楷体_GB2312"/>
        </w:rPr>
        <w:t>年</w:t>
      </w:r>
      <w:r>
        <w:rPr>
          <w:rFonts w:eastAsia="楷体_GB2312" w:hint="eastAsia" w:ascii="楷体_GB2312" w:hAnsi="楷体_GB2312"/>
        </w:rPr>
        <w:t>7</w:t>
      </w:r>
      <w:r>
        <w:rPr>
          <w:rFonts w:ascii="楷体_GB2312" w:hAnsi="楷体_GB2312" w:hint="eastAsia" w:eastAsia="楷体_GB2312"/>
        </w:rPr>
        <w:t>月</w:t>
      </w:r>
      <w:r>
        <w:rPr>
          <w:rFonts w:eastAsia="楷体_GB2312" w:hint="eastAsia" w:ascii="楷体_GB2312" w:hAnsi="楷体_GB2312"/>
        </w:rPr>
        <w:t>2</w:t>
      </w:r>
      <w:r>
        <w:rPr>
          <w:rFonts w:ascii="楷体_GB2312" w:hAnsi="楷体_GB2312" w:hint="eastAsia" w:eastAsia="楷体_GB2312"/>
        </w:rPr>
        <w:t>日青海省第七届人民代表大会常务委员会第三次会议批准　根据</w:t>
      </w:r>
      <w:r>
        <w:rPr>
          <w:rFonts w:eastAsia="楷体_GB2312" w:hint="eastAsia" w:ascii="楷体_GB2312" w:hAnsi="楷体_GB2312"/>
        </w:rPr>
        <w:t>1997</w:t>
      </w:r>
      <w:r>
        <w:rPr>
          <w:rFonts w:ascii="楷体_GB2312" w:hAnsi="楷体_GB2312" w:hint="eastAsia" w:eastAsia="楷体_GB2312"/>
        </w:rPr>
        <w:t>年</w:t>
      </w:r>
      <w:r>
        <w:rPr>
          <w:rFonts w:eastAsia="楷体_GB2312" w:hint="eastAsia" w:ascii="楷体_GB2312" w:hAnsi="楷体_GB2312"/>
        </w:rPr>
        <w:t>4</w:t>
      </w:r>
      <w:r>
        <w:rPr>
          <w:rFonts w:ascii="楷体_GB2312" w:hAnsi="楷体_GB2312" w:hint="eastAsia" w:eastAsia="楷体_GB2312"/>
        </w:rPr>
        <w:t>月</w:t>
      </w:r>
      <w:r>
        <w:rPr>
          <w:rFonts w:eastAsia="楷体_GB2312" w:hint="eastAsia" w:ascii="楷体_GB2312" w:hAnsi="楷体_GB2312"/>
        </w:rPr>
        <w:t>30</w:t>
      </w:r>
      <w:r>
        <w:rPr>
          <w:rFonts w:ascii="楷体_GB2312" w:hAnsi="楷体_GB2312" w:hint="eastAsia" w:eastAsia="楷体_GB2312"/>
        </w:rPr>
        <w:t>日西宁市第十一届人民代表大会常务委员会第三十五次会议通过　</w:t>
      </w:r>
      <w:r>
        <w:rPr>
          <w:rFonts w:eastAsia="楷体_GB2312" w:hint="eastAsia" w:ascii="楷体_GB2312" w:hAnsi="楷体_GB2312"/>
        </w:rPr>
        <w:t>1997</w:t>
      </w:r>
      <w:r>
        <w:rPr>
          <w:rFonts w:ascii="楷体_GB2312" w:hAnsi="楷体_GB2312" w:hint="eastAsia" w:eastAsia="楷体_GB2312"/>
        </w:rPr>
        <w:t>年</w:t>
      </w:r>
      <w:r>
        <w:rPr>
          <w:rFonts w:eastAsia="楷体_GB2312" w:hint="eastAsia" w:ascii="楷体_GB2312" w:hAnsi="楷体_GB2312"/>
        </w:rPr>
        <w:t>7</w:t>
      </w:r>
      <w:r>
        <w:rPr>
          <w:rFonts w:ascii="楷体_GB2312" w:hAnsi="楷体_GB2312" w:hint="eastAsia" w:eastAsia="楷体_GB2312"/>
        </w:rPr>
        <w:t>月</w:t>
      </w:r>
      <w:r>
        <w:rPr>
          <w:rFonts w:eastAsia="楷体_GB2312" w:hint="eastAsia" w:ascii="楷体_GB2312" w:hAnsi="楷体_GB2312"/>
        </w:rPr>
        <w:t>25</w:t>
      </w:r>
      <w:r>
        <w:rPr>
          <w:rFonts w:ascii="楷体_GB2312" w:hAnsi="楷体_GB2312" w:hint="eastAsia" w:eastAsia="楷体_GB2312"/>
        </w:rPr>
        <w:t>日青海省第八届人民代表大会常务委员会第三十一次会议批准的《西宁市人民代表大会常务委员会关于修改〈西宁市保护学校教学环境维护教学秩序的暂行规定〉的决定》修正）</w:t>
      </w:r>
    </w:p>
    <w:p>
      <w:pPr>
        <w:pStyle w:val="Normal"/>
        <w:rPr>
          <w:rFonts w:ascii="楷体_GB2312" w:hAnsi="楷体_GB2312" w:eastAsia="楷体_GB2312" w:hint="eastAsia"/>
        </w:rPr>
      </w:pPr>
      <w:r>
        <w:rPr>
          <w:rFonts w:eastAsia="楷体_GB2312" w:hint="eastAsia" w:ascii="楷体_GB2312" w:hAnsi="楷体_GB2312"/>
        </w:rPr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第一条</w:t>
      </w:r>
      <w:r>
        <w:rPr>
          <w:rFonts w:hint="eastAsia"/>
        </w:rPr>
        <w:t>　为了保护学校教学环境，维护教学秩序，促进教育事业的发展，根据《中华人民共和国教育法》、《中华人民共和国义务教育法》、《青海省实施＜中华人民共和国义务教育法＞办法》等法律法规，结合本市实际，制定本规定。</w:t>
      </w:r>
    </w:p>
    <w:p>
      <w:pPr>
        <w:pStyle w:val="Normal"/>
        <w:rPr/>
      </w:pPr>
      <w:r>
        <w:rPr>
          <w:rFonts w:ascii="黑体;SimHei" w:hAnsi="黑体;SimHei" w:cs="黑体;SimHei" w:hint="eastAsia" w:eastAsia="黑体;SimHei"/>
        </w:rPr>
        <w:t>　　第二条</w:t>
      </w:r>
      <w:r>
        <w:rPr>
          <w:rFonts w:hint="eastAsia"/>
        </w:rPr>
        <w:t>　本市辖区内的各级各类学校、幼儿园（以下简称学校），均适用本规定。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第三条</w:t>
      </w:r>
      <w:r>
        <w:rPr>
          <w:rFonts w:hint="eastAsia"/>
        </w:rPr>
        <w:t>　本规定由各级人民政府组织实施。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各级教育、公安、工商、文化、城管、环保、交通、规划、城建等部门以及行业、企业学校的主管部门按各自的职责，共同做好保护学校教学环境维护教学秩序工作。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全社会都有保护学校教学环境维护教学秩序的义务。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第四条</w:t>
      </w:r>
      <w:r>
        <w:rPr>
          <w:rFonts w:hint="eastAsia"/>
        </w:rPr>
        <w:t>　各级人民政府、教育行政部门应当依法保护学校的校园、校舍、运动场及其它教学设施。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第五条</w:t>
      </w:r>
      <w:r>
        <w:rPr>
          <w:rFonts w:hint="eastAsia"/>
        </w:rPr>
        <w:t>　各级人民政府、教育行政部门和学校应当及时修缮学校教学用房和其它设施，确保师生员工的安全。学校危房应当停止使用。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第六条</w:t>
      </w:r>
      <w:r>
        <w:rPr>
          <w:rFonts w:hint="eastAsia"/>
        </w:rPr>
        <w:t>　学校有保护教学环境、维护教学秩序的权利和义务。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学校应当加强对师生员工进行热爱祖国，维护民族平等、团结、友爱和遵纪守法、讲究公德的教育。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第七条</w:t>
      </w:r>
      <w:r>
        <w:rPr>
          <w:rFonts w:hint="eastAsia"/>
        </w:rPr>
        <w:t>　学校不得将教学设施和场地出租、租赁、转让给他人，用于非教学活动。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第八条　</w:t>
      </w:r>
      <w:r>
        <w:rPr>
          <w:rFonts w:hint="eastAsia"/>
        </w:rPr>
        <w:t>学生不得进入电子游戏厅、参与封建迷信活动和酗酒、赌博活动。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学校应当对学生加强禁毒教育。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第九条</w:t>
      </w:r>
      <w:r>
        <w:rPr>
          <w:rFonts w:hint="eastAsia"/>
        </w:rPr>
        <w:t>　学校应当建立、健全规章制度，严格门卫管理，加强安全保卫，落实治安管理职责。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第十条</w:t>
      </w:r>
      <w:r>
        <w:rPr>
          <w:rFonts w:hint="eastAsia"/>
        </w:rPr>
        <w:t>　学校应当加强学生个人卫生、环境卫生以及教室、宿舍、食堂卫生管理。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第十—条</w:t>
      </w:r>
      <w:r>
        <w:rPr>
          <w:rFonts w:hint="eastAsia"/>
        </w:rPr>
        <w:t>　严禁下列影响教学环境和教学秩序的行为：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（一）在教学区内取土、开渠灌溉、堆放物品；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（二）向学校及校园围墙、栅拦周围排放废气、废水，倾倒废渣、垃圾等污染物；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（三）在学校附近制造、播放超过</w:t>
      </w:r>
      <w:r>
        <w:rPr>
          <w:rFonts w:hint="eastAsia"/>
        </w:rPr>
        <w:t>50</w:t>
      </w:r>
      <w:r>
        <w:rPr>
          <w:rFonts w:hint="eastAsia"/>
        </w:rPr>
        <w:t>分的噪声；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（四）在学校门前及两侧</w:t>
      </w:r>
      <w:r>
        <w:rPr>
          <w:rFonts w:hint="eastAsia"/>
        </w:rPr>
        <w:t>30</w:t>
      </w:r>
      <w:r>
        <w:rPr>
          <w:rFonts w:hint="eastAsia"/>
        </w:rPr>
        <w:t>米范围内停放机动车辆、摆摊设点、设置垃圾斗（桶）；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（五）在学校门前及两侧</w:t>
      </w:r>
      <w:r>
        <w:rPr>
          <w:rFonts w:hint="eastAsia"/>
        </w:rPr>
        <w:t>200</w:t>
      </w:r>
      <w:r>
        <w:rPr>
          <w:rFonts w:hint="eastAsia"/>
        </w:rPr>
        <w:t>米以内经营电子游戏、台球，开设未成年人不宜进入的场馆；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（六）在教学区内饲养家畜、家禽；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（七）在教学区内训练及练习驾驶技术；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（八）在教学区内进行商品营销。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第十二条</w:t>
      </w:r>
      <w:r>
        <w:rPr>
          <w:rFonts w:hint="eastAsia"/>
        </w:rPr>
        <w:t>　校园内严禁下列活动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（一）宗教活动；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（二）封建迷信活动；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（三）酗酒、赌博；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（四）出售、出租或者以其他方式传播含有淫秽、暴力、凶杀、恐怖等内容的图书、报刊、音像制品。</w:t>
      </w:r>
    </w:p>
    <w:p>
      <w:pPr>
        <w:pStyle w:val="Normal"/>
        <w:rPr/>
      </w:pPr>
      <w:r>
        <w:rPr>
          <w:rFonts w:ascii="黑体;SimHei" w:hAnsi="黑体;SimHei" w:cs="黑体;SimHei" w:hint="eastAsia" w:eastAsia="黑体;SimHei"/>
        </w:rPr>
        <w:t>　　第十三条</w:t>
      </w:r>
      <w:r>
        <w:rPr>
          <w:rFonts w:hint="eastAsia"/>
        </w:rPr>
        <w:t>　严禁堵截、威逼、侮辱、殴打师生员工，侵犯人身权利，抢劫学生财物。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第十四条</w:t>
      </w:r>
      <w:r>
        <w:rPr>
          <w:rFonts w:hint="eastAsia"/>
        </w:rPr>
        <w:t>　严禁携带各种管制刀具及易燃、易爆、有毒等危险品进入教学区。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未经学校允许，校外人员、车辆不得进入教学区。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第十五条</w:t>
      </w:r>
      <w:r>
        <w:rPr>
          <w:rFonts w:hint="eastAsia"/>
        </w:rPr>
        <w:t>　严禁在学校教室、实验室、图书室、阅览室及其它教学场所内吸烟。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第十六条</w:t>
      </w:r>
      <w:r>
        <w:rPr>
          <w:rFonts w:hint="eastAsia"/>
        </w:rPr>
        <w:t>　未经县级以上教育行政部门批准，任何单位或者个人不得要求学校停课，参加与教学无关的活动。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第十七条</w:t>
      </w:r>
      <w:r>
        <w:rPr>
          <w:rFonts w:hint="eastAsia"/>
        </w:rPr>
        <w:t>　严禁任何单位和个人在校园内向中小学生推销各类练习、复习资料。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第十八条</w:t>
      </w:r>
      <w:r>
        <w:rPr>
          <w:rFonts w:hint="eastAsia"/>
        </w:rPr>
        <w:t>　违反本规定第五条的，依法追究有关部门主管负责人和主要责任人的责任。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违反本规定第七条的，由教育行政部门追究学校主管负责人或者直接责任人的责任，没收非法所得。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第十九条</w:t>
      </w:r>
      <w:r>
        <w:rPr>
          <w:rFonts w:hint="eastAsia"/>
        </w:rPr>
        <w:t>　对违反本规定第十一条有关规定的，按下列规定分别给予处罚：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（一）违反第（一）项的，由教育行政部门予以制止，并令其恢复原状，赔偿损失；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（二）违反第（二）、（三）项之一的，由区（县）环保部门依法处理；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（三）违反第（四）项的，分别由区（县）公安、工商、城管部门予以处罚，对个人处</w:t>
      </w:r>
      <w:r>
        <w:rPr>
          <w:rFonts w:hint="eastAsia"/>
        </w:rPr>
        <w:t>50</w:t>
      </w:r>
      <w:r>
        <w:rPr>
          <w:rFonts w:hint="eastAsia"/>
        </w:rPr>
        <w:t>元以下罚款，对单位处</w:t>
      </w:r>
      <w:r>
        <w:rPr>
          <w:rFonts w:hint="eastAsia"/>
        </w:rPr>
        <w:t>500</w:t>
      </w:r>
      <w:r>
        <w:rPr>
          <w:rFonts w:hint="eastAsia"/>
        </w:rPr>
        <w:t>元至</w:t>
      </w:r>
      <w:r>
        <w:rPr>
          <w:rFonts w:hint="eastAsia"/>
        </w:rPr>
        <w:t>1000</w:t>
      </w:r>
      <w:r>
        <w:rPr>
          <w:rFonts w:hint="eastAsia"/>
        </w:rPr>
        <w:t>元罚款；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（四）违反第（五）项的，由区（县）文化部门依法制止，并处</w:t>
      </w:r>
      <w:r>
        <w:rPr>
          <w:rFonts w:hint="eastAsia"/>
        </w:rPr>
        <w:t>1000</w:t>
      </w:r>
      <w:r>
        <w:rPr>
          <w:rFonts w:hint="eastAsia"/>
        </w:rPr>
        <w:t>元至</w:t>
      </w:r>
      <w:r>
        <w:rPr>
          <w:rFonts w:hint="eastAsia"/>
        </w:rPr>
        <w:t>2000</w:t>
      </w:r>
      <w:r>
        <w:rPr>
          <w:rFonts w:hint="eastAsia"/>
        </w:rPr>
        <w:t>元罚款。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第二十条</w:t>
      </w:r>
      <w:r>
        <w:rPr>
          <w:rFonts w:hint="eastAsia"/>
        </w:rPr>
        <w:t>　违反本规定第十三条的，按照谁主管、谁负责的原则，由街道、学校、公安等部门按照自己的职责进行处理；构成犯罪的，由司法机关依法追究刑事责任。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第二十—条</w:t>
      </w:r>
      <w:r>
        <w:rPr>
          <w:rFonts w:hint="eastAsia"/>
        </w:rPr>
        <w:t>　违反本规定第十四条第一款的，由学校暂扣并移交公安部门处理。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第二十二条</w:t>
      </w:r>
      <w:r>
        <w:rPr>
          <w:rFonts w:hint="eastAsia"/>
        </w:rPr>
        <w:t>　违反本规定第十七条的，由教育行政部门制止销售活动，没收非法所得，对违反的单位和个人处非法所得</w:t>
      </w:r>
      <w:r>
        <w:rPr>
          <w:rFonts w:hint="eastAsia"/>
        </w:rPr>
        <w:t>3</w:t>
      </w:r>
      <w:r>
        <w:rPr>
          <w:rFonts w:hint="eastAsia"/>
        </w:rPr>
        <w:t>倍的罚款。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第二十三条</w:t>
      </w:r>
      <w:r>
        <w:rPr>
          <w:rFonts w:hint="eastAsia"/>
        </w:rPr>
        <w:t>　学校工作人员由于不负责任、玩忽职守，致使学校教学环境和教学秩序受到严重破坏或者发生重大事故的，须追究其行政或者法律责任。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第二十四条</w:t>
      </w:r>
      <w:r>
        <w:rPr>
          <w:rFonts w:hint="eastAsia"/>
        </w:rPr>
        <w:t>　本规定应用中的具体问题由西宁市人民政府解释。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第二十五条</w:t>
      </w:r>
      <w:r>
        <w:rPr>
          <w:rFonts w:hint="eastAsia"/>
        </w:rPr>
        <w:t>　本规定经青海省人民代表大会常务委员会批准后，自</w:t>
      </w:r>
      <w:r>
        <w:rPr>
          <w:rFonts w:hint="eastAsia"/>
        </w:rPr>
        <w:t>1988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日起施行。</w:t>
      </w:r>
      <w:bookmarkStart w:id="0" w:name="_GoBack"/>
      <w:bookmarkEnd w:id="0"/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41" w:footer="992" w:bottom="2041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  <w:font w:name="黑体">
    <w:altName w:val="SimHei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宋体;SimSun" w:hAnsi="宋体;SimSun" w:eastAsia="宋体;SimSun" w:cs="宋体;SimSun"/>
        <w:sz w:val="28"/>
        <w:szCs w:val="28"/>
      </w:rPr>
    </w:pPr>
    <w:r>
      <w:rPr>
        <w:rFonts w:ascii="宋体;SimSun" w:hAnsi="宋体;SimSun" w:cs="宋体;SimSun" w:hint="eastAsia" w:eastAsia="宋体;SimSun"/>
        <w:sz w:val="28"/>
        <w:szCs w:val="28"/>
      </w:rPr>
      <w:t>　</w:t>
    </w:r>
    <w:r>
      <w:rPr>
        <w:rFonts w:ascii="宋体;SimSun" w:hAnsi="宋体;SimSun" w:cs="宋体;SimSun" w:eastAsia="宋体;SimSun"/>
        <w:sz w:val="28"/>
        <w:szCs w:val="28"/>
      </w:rPr>
      <w:fldChar w:fldCharType="begin"/>
    </w:r>
    <w:r>
      <w:rPr>
        <w:rFonts w:ascii="宋体;SimSun" w:hAnsi="宋体;SimSun" w:cs="宋体;SimSun" w:eastAsia="宋体;SimSun"/>
        <w:sz w:val="28"/>
        <w:szCs w:val="28"/>
      </w:rPr>
      <w:instrText xml:space="preserve"> PAGE </w:instrText>
    </w:r>
    <w:r>
      <w:rPr>
        <w:rFonts w:ascii="宋体;SimSun" w:hAnsi="宋体;SimSun" w:cs="宋体;SimSun" w:eastAsia="宋体;SimSun"/>
        <w:sz w:val="28"/>
        <w:szCs w:val="28"/>
      </w:rPr>
      <w:fldChar w:fldCharType="separate"/>
    </w:r>
    <w:r>
      <w:rPr>
        <w:rFonts w:ascii="宋体;SimSun" w:hAnsi="宋体;SimSun" w:cs="宋体;SimSun" w:eastAsia="宋体;SimSun"/>
        <w:sz w:val="28"/>
        <w:szCs w:val="28"/>
      </w:rPr>
      <w:t>4</w:t>
    </w:r>
    <w:r>
      <w:rPr>
        <w:rFonts w:ascii="宋体;SimSun" w:hAnsi="宋体;SimSun" w:cs="宋体;SimSun" w:eastAsia="宋体;SimSun"/>
        <w:sz w:val="28"/>
        <w:szCs w:val="28"/>
      </w:rPr>
      <w:fldChar w:fldCharType="end"/>
    </w:r>
  </w:p>
  <w:p>
    <w:pPr>
      <w:pStyle w:val="Footer"/>
      <w:rPr>
        <w:rFonts w:ascii="宋体;SimSun" w:hAnsi="宋体;SimSun" w:eastAsia="宋体;SimSun" w:cs="宋体;SimSun"/>
        <w:sz w:val="28"/>
        <w:szCs w:val="28"/>
      </w:rPr>
    </w:pPr>
    <w:r>
      <w:rPr>
        <w:rFonts w:eastAsia="宋体;SimSun" w:cs="宋体;SimSun" w:ascii="宋体;SimSun" w:hAnsi="宋体;SimSun"/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宋体;SimSun" w:hAnsi="宋体;SimSun" w:eastAsia="宋体;SimSun" w:cs="宋体;SimSun"/>
        <w:sz w:val="28"/>
        <w:szCs w:val="28"/>
      </w:rPr>
    </w:pPr>
    <w:r>
      <w:rPr>
        <w:rFonts w:eastAsia="宋体;SimSun" w:cs="宋体;SimSun" w:ascii="宋体;SimSun" w:hAnsi="宋体;SimSun"/>
        <w:sz w:val="28"/>
        <w:szCs w:val="28"/>
      </w:rPr>
      <w:fldChar w:fldCharType="begin"/>
    </w:r>
    <w:r>
      <w:rPr>
        <w:rFonts w:eastAsia="宋体;SimSun" w:cs="宋体;SimSun" w:ascii="宋体;SimSun" w:hAnsi="宋体;SimSun"/>
        <w:sz w:val="28"/>
        <w:szCs w:val="28"/>
      </w:rPr>
      <w:instrText xml:space="preserve"> PAGE </w:instrText>
    </w:r>
    <w:r>
      <w:rPr>
        <w:rFonts w:eastAsia="宋体;SimSun" w:cs="宋体;SimSun" w:ascii="宋体;SimSun" w:hAnsi="宋体;SimSun"/>
        <w:sz w:val="28"/>
        <w:szCs w:val="28"/>
      </w:rPr>
      <w:fldChar w:fldCharType="separate"/>
    </w:r>
    <w:r>
      <w:rPr>
        <w:rFonts w:eastAsia="宋体;SimSun" w:cs="宋体;SimSun" w:ascii="宋体;SimSun" w:hAnsi="宋体;SimSun"/>
        <w:sz w:val="28"/>
        <w:szCs w:val="28"/>
      </w:rPr>
      <w:t>5</w:t>
    </w:r>
    <w:r>
      <w:rPr>
        <w:rFonts w:eastAsia="宋体;SimSun" w:cs="宋体;SimSun" w:ascii="宋体;SimSun" w:hAnsi="宋体;SimSun"/>
        <w:sz w:val="28"/>
        <w:szCs w:val="28"/>
      </w:rPr>
      <w:fldChar w:fldCharType="end"/>
    </w:r>
    <w:r>
      <w:rPr>
        <w:rFonts w:ascii="宋体;SimSun" w:hAnsi="宋体;SimSun" w:cs="宋体;SimSun" w:hint="eastAsia" w:eastAsia="宋体;SimSun"/>
        <w:sz w:val="28"/>
        <w:szCs w:val="28"/>
      </w:rPr>
      <w:t>　</w:t>
    </w:r>
  </w:p>
  <w:p>
    <w:pPr>
      <w:pStyle w:val="Footer"/>
      <w:rPr>
        <w:rFonts w:ascii="宋体;SimSun" w:hAnsi="宋体;SimSun" w:eastAsia="宋体;SimSun" w:cs="宋体;SimSun"/>
        <w:sz w:val="28"/>
        <w:szCs w:val="28"/>
      </w:rPr>
    </w:pPr>
    <w:r>
      <w:rPr>
        <w:rFonts w:eastAsia="宋体;SimSun" w:cs="宋体;SimSun" w:ascii="宋体;SimSun" w:hAnsi="宋体;SimSun"/>
        <w:sz w:val="28"/>
        <w:szCs w:val="28"/>
      </w:rPr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Arial" w:hAnsi="Arial" w:eastAsia="仿宋_GB2312" w:cs="Arial"/>
      <w:color w:val="auto"/>
      <w:kern w:val="2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rFonts w:ascii="Arial" w:hAnsi="Arial" w:eastAsia="仿宋_GB2312" w:cs="Arial"/>
      <w:kern w:val="2"/>
      <w:sz w:val="18"/>
      <w:szCs w:val="18"/>
    </w:rPr>
  </w:style>
  <w:style w:type="character" w:styleId="Char1">
    <w:name w:val="页眉 Char"/>
    <w:qFormat/>
    <w:rPr>
      <w:rFonts w:ascii="Arial" w:hAnsi="Arial" w:eastAsia="仿宋_GB2312" w:cs="Arial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  <w:lang w:val="en-US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2016-09-28T14:44:00Z</dcterms:created>
  <dc:creator>冯玉林</dc:creator>
  <dc:description/>
  <cp:keywords/>
  <dc:language>en-US</dc:language>
  <cp:lastModifiedBy>冯玉林</cp:lastModifiedBy>
  <dcterms:modified xsi:type="dcterms:W3CDTF">2017-03-03T16:46:00Z</dcterms:modified>
  <cp:revision>3</cp:revision>
  <dc:subject/>
  <dc:title>冯玉林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2052-8.1.0.3199</vt:lpwstr>
  </property>
</Properties>
</file>