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pacing w:lineRule="exact" w:line="592"/>
        <w:ind w:startChars="0" w:start="0" w:endChars="0" w:end="0"/>
        <w:jc w:val="center"/>
        <w:rPr>
          <w:rFonts w:ascii="宋体;SimSun" w:hAnsi="宋体;SimSun" w:cs="宋体;SimSun"/>
          <w:color w:val="000000"/>
        </w:rPr>
      </w:pPr>
      <w:r>
        <w:rPr>
          <w:rFonts w:cs="宋体;SimSun" w:ascii="宋体;SimSun" w:hAnsi="宋体;SimSun"/>
          <w:color w:val="000000"/>
        </w:rPr>
      </w:r>
    </w:p>
    <w:p>
      <w:pPr>
        <w:pStyle w:val="NewNewNewNewNewNewNewNewNewNewNewNewNewNewNewNewNewNewNewNewNewNewNewNewNewNewNewNewNewNewNewNewNewNewNewNewNewNewNewNewNewNewNewNewNewNewNewNewNewNewNewNewNewNewNewNewNewNewNewNewNewNewNe"/>
        <w:overflowPunct w:val="false"/>
        <w:snapToGrid w:val="false"/>
        <w:spacing w:lineRule="exact" w:line="592"/>
        <w:jc w:val="center"/>
        <w:rPr>
          <w:rFonts w:ascii="宋体;SimSun" w:hAnsi="宋体;SimSun" w:cs="方正小标宋_GBK"/>
          <w:color w:val="000000"/>
          <w:sz w:val="44"/>
          <w:szCs w:val="44"/>
        </w:rPr>
      </w:pPr>
      <w:r>
        <w:rPr>
          <w:rFonts w:cs="方正小标宋_GBK" w:ascii="宋体;SimSun" w:hAnsi="宋体;SimSun"/>
          <w:color w:val="000000"/>
          <w:sz w:val="44"/>
          <w:szCs w:val="44"/>
        </w:rPr>
      </w:r>
    </w:p>
    <w:p>
      <w:pPr>
        <w:pStyle w:val="NewNewNewNewNewNewNewNewNewNewNewNewNewNewNewNewNewNewNewNewNewNewNewNewNewNewNewNewNewNewNewNewNewNewNewNewNewNewNewNewNewNewNewNewNewNewNewNewNewNewNewNewNewNewNewNewNewNewNewNewNewNewNe"/>
        <w:overflowPunct w:val="false"/>
        <w:snapToGrid w:val="false"/>
        <w:spacing w:lineRule="exact" w:line="592"/>
        <w:jc w:val="center"/>
        <w:rPr>
          <w:rFonts w:ascii="宋体;SimSun" w:hAnsi="宋体;SimSun" w:cs="方正小标宋_GBK"/>
          <w:color w:val="000000"/>
          <w:sz w:val="44"/>
          <w:szCs w:val="44"/>
        </w:rPr>
      </w:pPr>
      <w:r>
        <w:rPr>
          <w:rFonts w:ascii="宋体;SimSun" w:hAnsi="宋体;SimSun" w:cs="方正小标宋_GBK" w:hint="eastAsia"/>
          <w:color w:val="000000"/>
          <w:sz w:val="44"/>
          <w:szCs w:val="44"/>
        </w:rPr>
        <w:t>云南省社会信用条例</w:t>
      </w:r>
    </w:p>
    <w:p>
      <w:pPr>
        <w:pStyle w:val="Normal"/>
        <w:overflowPunct w:val="false"/>
        <w:snapToGrid w:val="false"/>
        <w:spacing w:lineRule="exact" w:line="592"/>
        <w:rPr>
          <w:rFonts w:ascii="方正楷体_GBK" w:hAnsi="方正楷体_GBK" w:eastAsia="方正楷体_GBK" w:cs="方正楷体_GBK"/>
          <w:color w:val="000000"/>
          <w:sz w:val="32"/>
          <w:szCs w:val="32"/>
        </w:rPr>
      </w:pPr>
      <w:r>
        <w:rPr>
          <w:rFonts w:eastAsia="方正楷体_GBK" w:cs="方正楷体_GBK" w:ascii="方正楷体_GBK" w:hAnsi="方正楷体_GBK"/>
          <w:color w:val="000000"/>
          <w:sz w:val="32"/>
          <w:szCs w:val="32"/>
        </w:rPr>
      </w:r>
    </w:p>
    <w:p>
      <w:pPr>
        <w:pStyle w:val="Normal"/>
        <w:overflowPunct w:val="false"/>
        <w:snapToGrid w:val="false"/>
        <w:spacing w:lineRule="exact" w:line="592"/>
        <w:jc w:val="center"/>
        <w:rPr>
          <w:rFonts w:ascii="方正楷体_GBK" w:hAnsi="方正楷体_GBK" w:eastAsia="方正楷体_GBK" w:cs="方正楷体_GBK"/>
          <w:color w:val="000000"/>
          <w:sz w:val="32"/>
          <w:szCs w:val="32"/>
        </w:rPr>
      </w:pPr>
      <w:r>
        <w:rPr>
          <w:rFonts w:ascii="方正楷体_GBK" w:hAnsi="方正楷体_GBK" w:cs="方正楷体_GBK" w:hint="eastAsia" w:eastAsia="方正楷体_GBK"/>
          <w:color w:val="000000"/>
          <w:sz w:val="32"/>
          <w:szCs w:val="32"/>
        </w:rPr>
        <w:t>（</w:t>
      </w:r>
      <w:r>
        <w:rPr>
          <w:rFonts w:eastAsia="仿宋" w:cs="仿宋" w:hint="eastAsia" w:ascii="仿宋" w:hAnsi="仿宋"/>
          <w:color w:val="000000"/>
          <w:sz w:val="32"/>
          <w:szCs w:val="32"/>
        </w:rPr>
        <w:t>2022</w:t>
      </w:r>
      <w:r>
        <w:rPr>
          <w:rFonts w:ascii="方正楷体_GBK" w:hAnsi="方正楷体_GBK" w:cs="方正楷体_GBK" w:hint="eastAsia" w:eastAsia="方正楷体_GBK"/>
          <w:color w:val="000000"/>
          <w:sz w:val="32"/>
          <w:szCs w:val="32"/>
        </w:rPr>
        <w:t>年</w:t>
      </w:r>
      <w:r>
        <w:rPr>
          <w:rFonts w:eastAsia="仿宋" w:cs="仿宋" w:hint="eastAsia" w:ascii="仿宋" w:hAnsi="仿宋"/>
          <w:color w:val="000000"/>
          <w:sz w:val="32"/>
          <w:szCs w:val="32"/>
        </w:rPr>
        <w:t>11</w:t>
      </w:r>
      <w:r>
        <w:rPr>
          <w:rFonts w:ascii="方正楷体_GBK" w:hAnsi="方正楷体_GBK" w:cs="方正楷体_GBK" w:hint="eastAsia" w:eastAsia="方正楷体_GBK"/>
          <w:color w:val="000000"/>
          <w:sz w:val="32"/>
          <w:szCs w:val="32"/>
        </w:rPr>
        <w:t>月</w:t>
      </w:r>
      <w:r>
        <w:rPr>
          <w:rFonts w:eastAsia="仿宋" w:cs="仿宋" w:hint="eastAsia" w:ascii="仿宋" w:hAnsi="仿宋"/>
          <w:color w:val="000000"/>
          <w:sz w:val="32"/>
          <w:szCs w:val="32"/>
        </w:rPr>
        <w:t>30</w:t>
      </w:r>
      <w:r>
        <w:rPr>
          <w:rFonts w:ascii="方正楷体_GBK" w:hAnsi="方正楷体_GBK" w:cs="方正楷体_GBK" w:hint="eastAsia" w:eastAsia="方正楷体_GBK"/>
          <w:color w:val="000000"/>
          <w:sz w:val="32"/>
          <w:szCs w:val="32"/>
        </w:rPr>
        <w:t>日云南省第十三届人民代表大会</w:t>
      </w:r>
    </w:p>
    <w:p>
      <w:pPr>
        <w:pStyle w:val="Normal"/>
        <w:overflowPunct w:val="false"/>
        <w:snapToGrid w:val="false"/>
        <w:spacing w:lineRule="exact" w:line="592"/>
        <w:jc w:val="center"/>
        <w:rPr>
          <w:rFonts w:ascii="方正楷体_GBK" w:hAnsi="方正楷体_GBK" w:eastAsia="方正楷体_GBK" w:cs="方正楷体_GBK"/>
          <w:color w:val="000000"/>
          <w:sz w:val="32"/>
          <w:szCs w:val="32"/>
        </w:rPr>
      </w:pPr>
      <w:r>
        <w:rPr>
          <w:rFonts w:ascii="方正楷体_GBK" w:hAnsi="方正楷体_GBK" w:cs="方正楷体_GBK" w:hint="eastAsia" w:eastAsia="方正楷体_GBK"/>
          <w:color w:val="000000"/>
          <w:sz w:val="32"/>
          <w:szCs w:val="32"/>
        </w:rPr>
        <w:t>常务委员会第三十五次会议通过）</w:t>
      </w:r>
    </w:p>
    <w:p>
      <w:pPr>
        <w:pStyle w:val="Normal"/>
        <w:overflowPunct w:val="false"/>
        <w:snapToGrid w:val="false"/>
        <w:spacing w:lineRule="exact" w:line="592"/>
        <w:rPr>
          <w:rFonts w:ascii="方正楷体_GBK" w:hAnsi="方正楷体_GBK" w:eastAsia="方正楷体_GBK" w:cs="方正楷体_GBK"/>
          <w:color w:val="000000"/>
          <w:sz w:val="32"/>
          <w:szCs w:val="32"/>
        </w:rPr>
      </w:pPr>
      <w:r>
        <w:rPr>
          <w:rFonts w:eastAsia="方正楷体_GBK" w:cs="方正楷体_GBK" w:ascii="方正楷体_GBK" w:hAnsi="方正楷体_GBK"/>
          <w:color w:val="000000"/>
          <w:sz w:val="32"/>
          <w:szCs w:val="32"/>
        </w:rPr>
      </w:r>
    </w:p>
    <w:p>
      <w:pPr>
        <w:pStyle w:val="Normal"/>
        <w:overflowPunct w:val="false"/>
        <w:snapToGrid w:val="false"/>
        <w:spacing w:lineRule="exact" w:line="592"/>
        <w:jc w:val="center"/>
        <w:rPr>
          <w:rFonts w:ascii="楷体_GB2312" w:hAnsi="楷体_GB2312" w:eastAsia="楷体_GB2312" w:cs="Calibri"/>
          <w:color w:val="000000"/>
          <w:sz w:val="32"/>
          <w:szCs w:val="32"/>
        </w:rPr>
      </w:pPr>
      <w:r>
        <w:rPr>
          <w:rFonts w:ascii="楷体_GB2312" w:hAnsi="楷体_GB2312" w:cs="Calibri" w:hint="eastAsia" w:eastAsia="楷体_GB2312"/>
          <w:color w:val="000000"/>
          <w:sz w:val="32"/>
          <w:szCs w:val="32"/>
        </w:rPr>
        <w:t>目  录</w:t>
      </w:r>
    </w:p>
    <w:p>
      <w:pPr>
        <w:pStyle w:val="Normal"/>
        <w:overflowPunct w:val="false"/>
        <w:snapToGrid w:val="false"/>
        <w:spacing w:lineRule="exact" w:line="592"/>
        <w:ind w:firstLineChars="200" w:startChars="0" w:start="0" w:endChars="0" w:end="0"/>
        <w:jc w:val="start"/>
        <w:rPr>
          <w:rFonts w:ascii="楷体_GB2312" w:hAnsi="楷体_GB2312" w:eastAsia="楷体_GB2312" w:cs="Calibri"/>
          <w:color w:val="000000"/>
          <w:sz w:val="32"/>
          <w:szCs w:val="32"/>
        </w:rPr>
      </w:pPr>
      <w:r>
        <w:rPr>
          <w:rFonts w:ascii="楷体_GB2312" w:hAnsi="楷体_GB2312" w:cs="Calibri" w:hint="eastAsia" w:eastAsia="楷体_GB2312"/>
          <w:color w:val="000000"/>
          <w:sz w:val="32"/>
          <w:szCs w:val="32"/>
        </w:rPr>
        <w:t>第一章  总  则</w:t>
      </w:r>
    </w:p>
    <w:p>
      <w:pPr>
        <w:pStyle w:val="Normal"/>
        <w:overflowPunct w:val="false"/>
        <w:snapToGrid w:val="false"/>
        <w:spacing w:lineRule="exact" w:line="592"/>
        <w:ind w:firstLineChars="200" w:startChars="0" w:start="0" w:endChars="0" w:end="0"/>
        <w:jc w:val="start"/>
        <w:rPr>
          <w:rFonts w:ascii="楷体_GB2312" w:hAnsi="楷体_GB2312" w:eastAsia="楷体_GB2312" w:cs="Calibri"/>
          <w:color w:val="000000"/>
          <w:sz w:val="32"/>
          <w:szCs w:val="32"/>
        </w:rPr>
      </w:pPr>
      <w:r>
        <w:rPr>
          <w:rFonts w:ascii="楷体_GB2312" w:hAnsi="楷体_GB2312" w:cs="Calibri" w:hint="eastAsia" w:eastAsia="楷体_GB2312"/>
          <w:color w:val="000000"/>
          <w:sz w:val="32"/>
          <w:szCs w:val="32"/>
        </w:rPr>
        <w:t>第二章  社会信用信息管理</w:t>
      </w:r>
    </w:p>
    <w:p>
      <w:pPr>
        <w:pStyle w:val="Normal"/>
        <w:overflowPunct w:val="false"/>
        <w:snapToGrid w:val="false"/>
        <w:spacing w:lineRule="exact" w:line="592"/>
        <w:ind w:firstLineChars="200" w:startChars="0" w:start="0" w:endChars="0" w:end="0"/>
        <w:jc w:val="start"/>
        <w:rPr>
          <w:rFonts w:ascii="楷体_GB2312" w:hAnsi="楷体_GB2312" w:eastAsia="楷体_GB2312" w:cs="Calibri"/>
          <w:color w:val="000000"/>
          <w:sz w:val="32"/>
          <w:szCs w:val="32"/>
        </w:rPr>
      </w:pPr>
      <w:r>
        <w:rPr>
          <w:rFonts w:ascii="楷体_GB2312" w:hAnsi="楷体_GB2312" w:cs="Calibri" w:hint="eastAsia" w:eastAsia="楷体_GB2312"/>
          <w:color w:val="000000"/>
          <w:sz w:val="32"/>
          <w:szCs w:val="32"/>
        </w:rPr>
        <w:t>第三章  守信激励和失信惩戒</w:t>
      </w:r>
    </w:p>
    <w:p>
      <w:pPr>
        <w:pStyle w:val="Normal"/>
        <w:overflowPunct w:val="false"/>
        <w:snapToGrid w:val="false"/>
        <w:spacing w:lineRule="exact" w:line="592"/>
        <w:ind w:firstLineChars="200" w:startChars="0" w:start="0" w:endChars="0" w:end="0"/>
        <w:jc w:val="start"/>
        <w:rPr>
          <w:rFonts w:ascii="楷体_GB2312" w:hAnsi="楷体_GB2312" w:eastAsia="楷体_GB2312" w:cs="Calibri"/>
          <w:color w:val="000000"/>
          <w:sz w:val="32"/>
          <w:szCs w:val="32"/>
        </w:rPr>
      </w:pPr>
      <w:r>
        <w:rPr>
          <w:rFonts w:ascii="楷体_GB2312" w:hAnsi="楷体_GB2312" w:cs="Calibri" w:hint="eastAsia" w:eastAsia="楷体_GB2312"/>
          <w:color w:val="000000"/>
          <w:sz w:val="32"/>
          <w:szCs w:val="32"/>
        </w:rPr>
        <w:t>第四章  信用主体权益保护</w:t>
      </w:r>
    </w:p>
    <w:p>
      <w:pPr>
        <w:pStyle w:val="Normal"/>
        <w:overflowPunct w:val="false"/>
        <w:snapToGrid w:val="false"/>
        <w:spacing w:lineRule="exact" w:line="592"/>
        <w:ind w:firstLineChars="200" w:startChars="0" w:start="0" w:endChars="0" w:end="0"/>
        <w:jc w:val="start"/>
        <w:rPr>
          <w:rFonts w:ascii="楷体_GB2312" w:hAnsi="楷体_GB2312" w:eastAsia="楷体_GB2312" w:cs="CESI仿宋-GB2312"/>
          <w:color w:val="000000"/>
          <w:sz w:val="32"/>
          <w:szCs w:val="32"/>
        </w:rPr>
      </w:pPr>
      <w:r>
        <w:rPr>
          <w:rFonts w:ascii="楷体_GB2312" w:hAnsi="楷体_GB2312" w:cs="Calibri" w:hint="eastAsia" w:eastAsia="楷体_GB2312"/>
          <w:color w:val="000000"/>
          <w:sz w:val="32"/>
          <w:szCs w:val="32"/>
        </w:rPr>
        <w:t xml:space="preserve">第五章  </w:t>
      </w:r>
      <w:r>
        <w:rPr>
          <w:rFonts w:ascii="楷体_GB2312" w:hAnsi="楷体_GB2312" w:cs="宋体;SimSun" w:hint="eastAsia" w:eastAsia="楷体_GB2312"/>
          <w:color w:val="000000"/>
          <w:sz w:val="32"/>
          <w:szCs w:val="32"/>
        </w:rPr>
        <w:t>信用服务行业规范发展</w:t>
      </w:r>
    </w:p>
    <w:p>
      <w:pPr>
        <w:pStyle w:val="Normal"/>
        <w:overflowPunct w:val="false"/>
        <w:snapToGrid w:val="false"/>
        <w:spacing w:lineRule="exact" w:line="592"/>
        <w:ind w:firstLineChars="200" w:startChars="0" w:start="0" w:endChars="0" w:end="0"/>
        <w:jc w:val="start"/>
        <w:rPr>
          <w:rFonts w:ascii="楷体_GB2312" w:hAnsi="楷体_GB2312" w:eastAsia="楷体_GB2312" w:cs="CESI仿宋-GB2312"/>
          <w:color w:val="000000"/>
          <w:sz w:val="32"/>
          <w:szCs w:val="32"/>
        </w:rPr>
      </w:pPr>
      <w:r>
        <w:rPr>
          <w:rFonts w:ascii="楷体_GB2312" w:hAnsi="楷体_GB2312" w:cs="宋体;SimSun" w:hint="eastAsia" w:eastAsia="楷体_GB2312"/>
          <w:color w:val="000000"/>
          <w:sz w:val="32"/>
          <w:szCs w:val="32"/>
        </w:rPr>
        <w:t>第六章  社会信用环境建设</w:t>
      </w:r>
    </w:p>
    <w:p>
      <w:pPr>
        <w:pStyle w:val="Normal"/>
        <w:overflowPunct w:val="false"/>
        <w:snapToGrid w:val="false"/>
        <w:spacing w:lineRule="exact" w:line="592"/>
        <w:ind w:firstLineChars="200" w:startChars="0" w:start="0" w:endChars="0" w:end="0"/>
        <w:jc w:val="start"/>
        <w:rPr>
          <w:rFonts w:ascii="楷体_GB2312" w:hAnsi="楷体_GB2312" w:eastAsia="楷体_GB2312" w:cs="CESI仿宋-GB2312"/>
          <w:color w:val="000000"/>
          <w:sz w:val="32"/>
          <w:szCs w:val="32"/>
        </w:rPr>
      </w:pPr>
      <w:r>
        <w:rPr>
          <w:rFonts w:ascii="楷体_GB2312" w:hAnsi="楷体_GB2312" w:cs="宋体;SimSun" w:hint="eastAsia" w:eastAsia="楷体_GB2312"/>
          <w:color w:val="000000"/>
          <w:sz w:val="32"/>
          <w:szCs w:val="32"/>
        </w:rPr>
        <w:t>第七章  法律责任</w:t>
      </w:r>
    </w:p>
    <w:p>
      <w:pPr>
        <w:pStyle w:val="Normal"/>
        <w:overflowPunct w:val="false"/>
        <w:snapToGrid w:val="false"/>
        <w:spacing w:lineRule="exact" w:line="592"/>
        <w:ind w:firstLineChars="200" w:startChars="0" w:start="0" w:endChars="0" w:end="0"/>
        <w:jc w:val="start"/>
        <w:rPr>
          <w:rFonts w:ascii="楷体_GB2312" w:hAnsi="楷体_GB2312" w:eastAsia="楷体_GB2312" w:cs="Calibri"/>
          <w:color w:val="000000"/>
          <w:sz w:val="32"/>
          <w:szCs w:val="32"/>
        </w:rPr>
      </w:pPr>
      <w:r>
        <w:rPr>
          <w:rFonts w:ascii="楷体_GB2312" w:hAnsi="楷体_GB2312" w:cs="宋体;SimSun" w:hint="eastAsia" w:eastAsia="楷体_GB2312"/>
          <w:color w:val="000000"/>
          <w:sz w:val="32"/>
          <w:szCs w:val="32"/>
        </w:rPr>
        <w:t>第八章  附  则</w:t>
      </w:r>
    </w:p>
    <w:p>
      <w:pPr>
        <w:pStyle w:val="Normal"/>
        <w:overflowPunct w:val="false"/>
        <w:snapToGrid w:val="false"/>
        <w:spacing w:lineRule="exact" w:line="592"/>
        <w:rPr>
          <w:rFonts w:ascii="宋体;SimSun" w:hAnsi="宋体;SimSun" w:eastAsia="方正小标宋_GBK" w:cs="Calibri"/>
          <w:color w:val="000000"/>
          <w:sz w:val="32"/>
          <w:szCs w:val="32"/>
        </w:rPr>
      </w:pPr>
      <w:r>
        <w:rPr>
          <w:rFonts w:eastAsia="方正小标宋_GBK" w:cs="Calibri" w:ascii="宋体;SimSun" w:hAnsi="宋体;SimSun"/>
          <w:color w:val="000000"/>
          <w:sz w:val="32"/>
          <w:szCs w:val="32"/>
        </w:rPr>
      </w:r>
    </w:p>
    <w:p>
      <w:pPr>
        <w:pStyle w:val="Normal"/>
        <w:overflowPunct w:val="false"/>
        <w:snapToGrid w:val="false"/>
        <w:spacing w:lineRule="exact" w:line="592"/>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第一章  总  则</w:t>
      </w:r>
    </w:p>
    <w:p>
      <w:pPr>
        <w:pStyle w:val="Normal"/>
        <w:overflowPunct w:val="false"/>
        <w:snapToGrid w:val="false"/>
        <w:spacing w:lineRule="exact" w:line="592"/>
        <w:ind w:firstLineChars="200" w:startChars="0" w:start="0" w:endChars="0" w:end="0"/>
        <w:rPr>
          <w:rFonts w:ascii="宋体;SimSun" w:hAnsi="宋体;SimSun" w:eastAsia="黑体;SimHei" w:cs="方正黑体_GBK"/>
          <w:color w:val="000000"/>
          <w:sz w:val="32"/>
          <w:szCs w:val="32"/>
        </w:rPr>
      </w:pPr>
      <w:r>
        <w:rPr>
          <w:rFonts w:eastAsia="黑体;SimHei" w:cs="方正黑体_GBK" w:ascii="宋体;SimSun" w:hAnsi="宋体;SimSun"/>
          <w:color w:val="000000"/>
          <w:sz w:val="32"/>
          <w:szCs w:val="32"/>
        </w:rPr>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第一条</w:t>
      </w:r>
      <w:r>
        <w:rPr>
          <w:rFonts w:eastAsia="黑体;SimHei"/>
          <w:color w:val="000000"/>
          <w:sz w:val="32"/>
          <w:szCs w:val="32"/>
        </w:rPr>
        <w:t xml:space="preserve">  </w:t>
      </w:r>
      <w:r>
        <w:rPr>
          <w:rFonts w:ascii="宋体;SimSun" w:hAnsi="宋体;SimSun" w:cs="CESI仿宋-GB2312" w:hint="eastAsia" w:eastAsia="仿宋_GB2312"/>
          <w:color w:val="000000"/>
          <w:sz w:val="32"/>
          <w:szCs w:val="32"/>
        </w:rPr>
        <w:t>为了规范社会信用管理，推进社会信用体系建设，保护信用主体合法权益，弘扬社会主义核心价</w:t>
      </w:r>
      <w:r>
        <w:rPr>
          <w:rFonts w:ascii="宋体;SimSun" w:hAnsi="宋体;SimSun" w:cs="宋体;SimSun" w:hint="eastAsia" w:eastAsia="仿宋_GB2312"/>
          <w:color w:val="000000"/>
          <w:sz w:val="32"/>
          <w:szCs w:val="32"/>
        </w:rPr>
        <w:t>值观，优化营商环境，提升</w:t>
      </w:r>
      <w:r>
        <w:rPr>
          <w:rFonts w:ascii="宋体;SimSun" w:hAnsi="宋体;SimSun" w:cs="仿宋" w:hint="eastAsia" w:eastAsia="仿宋"/>
          <w:color w:val="000000"/>
          <w:sz w:val="32"/>
          <w:szCs w:val="32"/>
        </w:rPr>
        <w:t>全社会诚信意识和信用水</w:t>
      </w:r>
      <w:r>
        <w:rPr>
          <w:rFonts w:ascii="宋体;SimSun" w:hAnsi="宋体;SimSun" w:cs="宋体;SimSun" w:hint="eastAsia" w:eastAsia="仿宋_GB2312"/>
          <w:color w:val="000000"/>
          <w:sz w:val="32"/>
          <w:szCs w:val="32"/>
        </w:rPr>
        <w:t>平，根据有关法律、行政</w:t>
      </w:r>
      <w:r>
        <w:rPr>
          <w:rFonts w:ascii="宋体;SimSun" w:hAnsi="宋体;SimSun" w:cs="CESI仿宋-GB2312" w:hint="eastAsia" w:eastAsia="仿宋_GB2312"/>
          <w:color w:val="000000"/>
          <w:sz w:val="32"/>
          <w:szCs w:val="32"/>
        </w:rPr>
        <w:t>法规，结合本省实际，制定本条例。</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第二条</w:t>
      </w:r>
      <w:r>
        <w:rPr>
          <w:rFonts w:ascii="宋体;SimSun" w:hAnsi="宋体;SimSun" w:cs="宋体;SimSun" w:hint="eastAsia" w:eastAsia="仿宋_GB2312"/>
          <w:color w:val="000000"/>
          <w:sz w:val="32"/>
          <w:szCs w:val="32"/>
        </w:rPr>
        <w:t xml:space="preserve">  </w:t>
      </w:r>
      <w:r>
        <w:rPr>
          <w:rFonts w:ascii="宋体;SimSun" w:hAnsi="宋体;SimSun" w:cs="CESI仿宋-GB2312" w:hint="eastAsia" w:eastAsia="仿宋_GB2312"/>
          <w:color w:val="000000"/>
          <w:sz w:val="32"/>
          <w:szCs w:val="32"/>
        </w:rPr>
        <w:t>本省行政区域内社会信用信息管理、守信激励和失信惩戒、信用主体权益保护、信用服务行业规范发展和社会信用</w:t>
      </w:r>
    </w:p>
    <w:p>
      <w:pPr>
        <w:pStyle w:val="Normal"/>
        <w:overflowPunct w:val="false"/>
        <w:snapToGrid w:val="false"/>
        <w:spacing w:lineRule="exact" w:line="592"/>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环境建设等活动，适用本条例。</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第三条</w:t>
      </w:r>
      <w:r>
        <w:rPr>
          <w:rFonts w:hint="eastAsia" w:eastAsia="黑体;SimHei"/>
          <w:color w:val="000000"/>
          <w:sz w:val="32"/>
          <w:szCs w:val="32"/>
        </w:rPr>
        <w:t xml:space="preserve">  </w:t>
      </w:r>
      <w:r>
        <w:rPr>
          <w:rFonts w:ascii="宋体;SimSun" w:hAnsi="宋体;SimSun" w:cs="CESI仿宋-GB2312" w:hint="eastAsia" w:eastAsia="仿宋_GB2312"/>
          <w:color w:val="000000"/>
          <w:sz w:val="32"/>
          <w:szCs w:val="32"/>
        </w:rPr>
        <w:t>本条例所称社会信用，是指具有完全民事行为能力的自然人、法人和非法人组织（以下统称信用主体），在社会和经济活动中履行法定义务或者约定义务的状态。</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第四条</w:t>
      </w:r>
      <w:r>
        <w:rPr>
          <w:rFonts w:ascii="宋体;SimSun" w:hAnsi="宋体;SimSun" w:cs="宋体;SimSun" w:hint="eastAsia" w:eastAsia="仿宋_GB2312"/>
          <w:color w:val="000000"/>
          <w:sz w:val="32"/>
          <w:szCs w:val="32"/>
        </w:rPr>
        <w:t xml:space="preserve">  </w:t>
      </w:r>
      <w:r>
        <w:rPr>
          <w:rFonts w:ascii="宋体;SimSun" w:hAnsi="宋体;SimSun" w:cs="CESI仿宋-GB2312" w:hint="eastAsia" w:eastAsia="仿宋_GB2312"/>
          <w:color w:val="000000"/>
          <w:sz w:val="32"/>
          <w:szCs w:val="32"/>
        </w:rPr>
        <w:t>社会信用体系建设应当遵循政府推动、社会共建、信息共享、奖惩结合、保护权益、强化应用的原则。</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第五条</w:t>
      </w:r>
      <w:r>
        <w:rPr>
          <w:rFonts w:eastAsia="黑体;SimHei"/>
          <w:color w:val="000000"/>
          <w:sz w:val="32"/>
          <w:szCs w:val="32"/>
        </w:rPr>
        <w:t xml:space="preserve">  </w:t>
      </w:r>
      <w:r>
        <w:rPr>
          <w:rFonts w:ascii="宋体;SimSun" w:hAnsi="宋体;SimSun" w:cs="CESI仿宋-GB2312" w:hint="eastAsia" w:eastAsia="仿宋_GB2312"/>
          <w:color w:val="000000"/>
          <w:sz w:val="32"/>
          <w:szCs w:val="32"/>
        </w:rPr>
        <w:t>县级以上人民政府应当加强对社会信用工作的领导，将社会信用体系建设纳入国民经济和社会发展规划，统筹推进本行政区域内社会信用体系建设工作，建立健全协调机制，加强工作机构和队伍建设，保障工作经费，</w:t>
      </w:r>
      <w:r>
        <w:rPr>
          <w:rFonts w:ascii="宋体;SimSun" w:hAnsi="宋体;SimSun" w:cs="宋体;SimSun" w:hint="eastAsia" w:eastAsia="仿宋_GB2312"/>
          <w:color w:val="000000"/>
          <w:sz w:val="32"/>
          <w:szCs w:val="32"/>
        </w:rPr>
        <w:t>纳</w:t>
      </w:r>
      <w:r>
        <w:rPr>
          <w:rFonts w:ascii="宋体;SimSun" w:hAnsi="宋体;SimSun" w:cs="CESI仿宋-GB2312" w:hint="eastAsia" w:eastAsia="仿宋_GB2312"/>
          <w:color w:val="000000"/>
          <w:sz w:val="32"/>
          <w:szCs w:val="32"/>
        </w:rPr>
        <w:t>入年度综合考评。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第六条</w:t>
      </w:r>
      <w:r>
        <w:rPr>
          <w:rFonts w:eastAsia="黑体;SimHei"/>
          <w:color w:val="000000"/>
          <w:sz w:val="32"/>
          <w:szCs w:val="32"/>
        </w:rPr>
        <w:t xml:space="preserve">  </w:t>
      </w:r>
      <w:r>
        <w:rPr>
          <w:rFonts w:ascii="宋体;SimSun" w:hAnsi="宋体;SimSun" w:cs="CESI仿宋-GB2312" w:hint="eastAsia" w:eastAsia="仿宋_GB2312"/>
          <w:color w:val="000000"/>
          <w:sz w:val="32"/>
          <w:szCs w:val="32"/>
        </w:rPr>
        <w:t>县级以上人民政府发展改革部门是本行政区域内社会信用工作主管部门，负责本行政区域社会信用体系建设的统筹规划、综合协调和监督管理工作。</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社会信用工作主管部门应当指定或者明确相关机构（以下统称公共信用信息机构），负责公共信用信息平台的建设、运行和维护，推进公共信用信息跨部门、跨领域、跨地区互联互通、共享共用。</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其他部门和有关单位按照各自职责，负责本行业、本领域社会信用体系建设工作。</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第七条</w:t>
      </w:r>
      <w:r>
        <w:rPr>
          <w:rFonts w:ascii="宋体;SimSun" w:hAnsi="宋体;SimSun" w:cs="宋体;SimSun" w:eastAsia="仿宋_GB2312"/>
          <w:color w:val="000000"/>
          <w:sz w:val="32"/>
          <w:szCs w:val="32"/>
        </w:rPr>
        <w:t xml:space="preserve"> </w:t>
      </w:r>
      <w:r>
        <w:rPr>
          <w:rFonts w:ascii="宋体;SimSun" w:hAnsi="宋体;SimSun" w:cs="宋体;SimSun" w:hint="eastAsia" w:eastAsia="仿宋_GB2312"/>
          <w:color w:val="000000"/>
          <w:sz w:val="32"/>
          <w:szCs w:val="32"/>
        </w:rPr>
        <w:t xml:space="preserve"> </w:t>
      </w:r>
      <w:r>
        <w:rPr>
          <w:rFonts w:ascii="宋体;SimSun" w:hAnsi="宋体;SimSun" w:cs="CESI仿宋-GB2312" w:hint="eastAsia" w:eastAsia="仿宋_GB2312"/>
          <w:color w:val="000000"/>
          <w:sz w:val="32"/>
          <w:szCs w:val="32"/>
        </w:rPr>
        <w:t>鼓励和支持社会各方参与社会信用建设，提高守法履约意识，弘扬诚信文化，积极参与诚信教育和信用监督活动，共同提升全社会信用水平。</w:t>
      </w:r>
    </w:p>
    <w:p>
      <w:pPr>
        <w:pStyle w:val="Normal"/>
        <w:overflowPunct w:val="false"/>
        <w:snapToGrid w:val="false"/>
        <w:spacing w:lineRule="exact" w:line="592"/>
        <w:ind w:firstLineChars="200" w:startChars="0" w:start="0" w:endChars="0" w:end="0"/>
        <w:rPr>
          <w:rFonts w:ascii="宋体;SimSun" w:hAnsi="宋体;SimSun" w:eastAsia="仿宋_GB2312" w:cs="CESI仿宋-GB2312" w:hint="eastAsia"/>
          <w:color w:val="000000"/>
          <w:sz w:val="32"/>
          <w:szCs w:val="32"/>
        </w:rPr>
      </w:pPr>
      <w:r>
        <w:rPr>
          <w:rFonts w:eastAsia="仿宋_GB2312" w:cs="CESI仿宋-GB2312" w:hint="eastAsia" w:ascii="宋体;SimSun" w:hAnsi="宋体;SimSun"/>
          <w:color w:val="000000"/>
          <w:sz w:val="32"/>
          <w:szCs w:val="32"/>
        </w:rPr>
      </w:r>
    </w:p>
    <w:p>
      <w:pPr>
        <w:pStyle w:val="Normal"/>
        <w:overflowPunct w:val="false"/>
        <w:snapToGrid w:val="false"/>
        <w:spacing w:lineRule="exact" w:line="592"/>
        <w:jc w:val="center"/>
        <w:rPr>
          <w:rFonts w:ascii="宋体;SimSun" w:hAnsi="宋体;SimSun" w:eastAsia="黑体;SimHei" w:cs="Calibri"/>
          <w:color w:val="000000"/>
          <w:sz w:val="32"/>
          <w:szCs w:val="32"/>
        </w:rPr>
      </w:pPr>
      <w:r>
        <w:rPr>
          <w:rFonts w:ascii="宋体;SimSun" w:hAnsi="宋体;SimSun" w:cs="宋体;SimSun" w:hint="eastAsia" w:eastAsia="黑体;SimHei"/>
          <w:color w:val="000000"/>
          <w:sz w:val="32"/>
          <w:szCs w:val="32"/>
        </w:rPr>
        <w:t>第二章  社会信用信息管理</w:t>
      </w:r>
    </w:p>
    <w:p>
      <w:pPr>
        <w:pStyle w:val="Normal"/>
        <w:tabs>
          <w:tab w:val="clear" w:pos="420"/>
          <w:tab w:val="left" w:pos="2127" w:leader="none"/>
        </w:tabs>
        <w:overflowPunct w:val="false"/>
        <w:snapToGrid w:val="false"/>
        <w:spacing w:lineRule="exact" w:line="592"/>
        <w:ind w:firstLineChars="200" w:startChars="0" w:start="0" w:endChars="0" w:end="0"/>
        <w:rPr>
          <w:rFonts w:ascii="宋体;SimSun" w:hAnsi="宋体;SimSun" w:eastAsia="黑体;SimHei" w:cs="CESI仿宋-GB2312"/>
          <w:color w:val="000000"/>
          <w:sz w:val="32"/>
          <w:szCs w:val="32"/>
        </w:rPr>
      </w:pPr>
      <w:r>
        <w:rPr>
          <w:rFonts w:eastAsia="黑体;SimHei" w:cs="CESI仿宋-GB2312" w:ascii="宋体;SimSun" w:hAnsi="宋体;SimSun"/>
          <w:color w:val="000000"/>
          <w:sz w:val="32"/>
          <w:szCs w:val="32"/>
        </w:rPr>
      </w:r>
    </w:p>
    <w:p>
      <w:pPr>
        <w:pStyle w:val="Normal"/>
        <w:tabs>
          <w:tab w:val="clear" w:pos="420"/>
          <w:tab w:val="left" w:pos="2127" w:leader="none"/>
        </w:tabs>
        <w:overflowPunct w:val="false"/>
        <w:snapToGrid w:val="false"/>
        <w:spacing w:lineRule="exact" w:line="592"/>
        <w:ind w:firstLineChars="200" w:startChars="0" w:start="0" w:endChars="0" w:end="0"/>
        <w:rPr>
          <w:rFonts w:ascii="宋体;SimSun" w:hAnsi="宋体;SimSun" w:eastAsia="仿宋_GB2312" w:cs="宋体;SimSun"/>
          <w:color w:val="000000"/>
          <w:sz w:val="32"/>
          <w:szCs w:val="32"/>
        </w:rPr>
      </w:pPr>
      <w:r>
        <w:rPr>
          <w:rFonts w:ascii="宋体;SimSun" w:hAnsi="宋体;SimSun" w:cs="CESI仿宋-GB2312" w:hint="eastAsia" w:eastAsia="黑体;SimHei"/>
          <w:color w:val="000000"/>
          <w:sz w:val="32"/>
          <w:szCs w:val="32"/>
        </w:rPr>
        <w:t>第八条</w:t>
      </w:r>
      <w:r>
        <w:rPr>
          <w:rFonts w:eastAsia="黑体;SimHei"/>
          <w:color w:val="000000"/>
          <w:sz w:val="32"/>
          <w:szCs w:val="32"/>
        </w:rPr>
        <w:t xml:space="preserve"> </w:t>
      </w:r>
      <w:r>
        <w:rPr>
          <w:rFonts w:hint="eastAsia" w:eastAsia="黑体;SimHei"/>
          <w:color w:val="000000"/>
          <w:sz w:val="32"/>
          <w:szCs w:val="32"/>
        </w:rPr>
        <w:t xml:space="preserve"> </w:t>
      </w:r>
      <w:r>
        <w:rPr>
          <w:rFonts w:ascii="宋体;SimSun" w:hAnsi="宋体;SimSun" w:cs="CESI仿宋-GB2312" w:hint="eastAsia" w:eastAsia="仿宋_GB2312"/>
          <w:color w:val="000000"/>
          <w:sz w:val="32"/>
          <w:szCs w:val="32"/>
        </w:rPr>
        <w:t>社会信用信息的采集、归集、公开、共享、查询、修复、使用等活动，应当遵循合法、客观、正当、必要、安全的原则，不得危害公共安全、侵犯公共</w:t>
      </w:r>
      <w:r>
        <w:rPr>
          <w:rFonts w:ascii="宋体;SimSun" w:hAnsi="宋体;SimSun" w:cs="宋体;SimSun" w:hint="eastAsia" w:eastAsia="仿宋_GB2312"/>
          <w:color w:val="000000"/>
          <w:sz w:val="32"/>
          <w:szCs w:val="32"/>
        </w:rPr>
        <w:t>利益和个人合法权益，不得泄露国家秘密、商业秘密和个人隐私。</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第九条</w:t>
      </w:r>
      <w:r>
        <w:rPr>
          <w:rFonts w:hint="eastAsia" w:eastAsia="黑体;SimHei"/>
          <w:color w:val="000000"/>
          <w:sz w:val="32"/>
          <w:szCs w:val="32"/>
        </w:rPr>
        <w:t xml:space="preserve"> </w:t>
      </w:r>
      <w:r>
        <w:rPr>
          <w:rFonts w:ascii="宋体;SimSun" w:hAnsi="宋体;SimSun" w:cs="CESI仿宋-GB2312" w:hint="eastAsia" w:eastAsia="仿宋_GB2312"/>
          <w:color w:val="000000"/>
          <w:sz w:val="32"/>
          <w:szCs w:val="32"/>
        </w:rPr>
        <w:t xml:space="preserve"> 公共信用信息实行目录管理。公共信用信息目录包括全国公共信用信息基础目录和地方公共信用信息补充目录。</w:t>
      </w:r>
    </w:p>
    <w:p>
      <w:pPr>
        <w:pStyle w:val="Normal"/>
        <w:shd w:fill="FFFFFF" w:val="clear"/>
        <w:overflowPunct w:val="false"/>
        <w:snapToGrid w:val="false"/>
        <w:spacing w:lineRule="exact" w:line="592"/>
        <w:ind w:firstLineChars="200" w:startChars="0" w:start="0" w:endChars="0" w:end="0"/>
        <w:rPr>
          <w:rFonts w:ascii="宋体;SimSun" w:hAnsi="宋体;SimSun" w:eastAsia="黑体;SimHei" w:cs="黑体;SimHei"/>
          <w:color w:val="000000"/>
          <w:szCs w:val="21"/>
        </w:rPr>
      </w:pPr>
      <w:r>
        <w:rPr>
          <w:rFonts w:ascii="宋体;SimSun" w:hAnsi="宋体;SimSun" w:cs="宋体;SimSun" w:hint="eastAsia" w:eastAsia="仿宋_GB2312"/>
          <w:color w:val="000000"/>
          <w:sz w:val="32"/>
          <w:szCs w:val="32"/>
        </w:rPr>
        <w:t>国家机关和法律、法规授权的具有管理公共事务职能的组织应当按照全国公共信用信息基础目录将相关信息纳入公共信用信息，不得擅自扩大纳入范围。</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仿宋_GB2312"/>
          <w:color w:val="000000"/>
          <w:sz w:val="32"/>
          <w:szCs w:val="32"/>
        </w:rPr>
        <w:t>地方性法规对公共信用信息纳入范围有特殊规定的，省、州（市）社会信用工作主管部门可以会同有关部门、单位参照全国公共信用信息基础目录的制定程序和要求，依法编制在本行政区域适用的地方公共信用信息补充目录，</w:t>
      </w:r>
      <w:r>
        <w:rPr>
          <w:rFonts w:ascii="宋体;SimSun" w:hAnsi="宋体;SimSun" w:cs="CESI仿宋-GB2312" w:hint="eastAsia" w:eastAsia="仿宋_GB2312"/>
          <w:color w:val="000000"/>
          <w:sz w:val="32"/>
          <w:szCs w:val="32"/>
        </w:rPr>
        <w:t>按</w:t>
      </w:r>
      <w:r>
        <w:rPr>
          <w:rFonts w:ascii="宋体;SimSun" w:hAnsi="宋体;SimSun" w:cs="仿宋" w:hint="eastAsia" w:eastAsia="仿宋"/>
          <w:color w:val="000000"/>
          <w:sz w:val="32"/>
          <w:szCs w:val="32"/>
        </w:rPr>
        <w:t>照</w:t>
      </w:r>
      <w:r>
        <w:rPr>
          <w:rFonts w:ascii="宋体;SimSun" w:hAnsi="宋体;SimSun" w:cs="CESI仿宋-GB2312" w:hint="eastAsia" w:eastAsia="仿宋_GB2312"/>
          <w:color w:val="000000"/>
          <w:sz w:val="32"/>
          <w:szCs w:val="32"/>
        </w:rPr>
        <w:t>规定公开，并抄送上级社会信用工作主管部门。</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纳入地方补充目录的公共信用信息</w:t>
      </w:r>
      <w:r>
        <w:rPr>
          <w:rFonts w:ascii="仿宋_GB2312" w:hAnsi="仿宋_GB2312" w:cs="宋体;SimSun" w:hint="eastAsia" w:eastAsia="仿宋_GB2312"/>
          <w:color w:val="000000"/>
          <w:sz w:val="32"/>
          <w:szCs w:val="32"/>
        </w:rPr>
        <w:t>，</w:t>
      </w:r>
      <w:r>
        <w:rPr>
          <w:rFonts w:ascii="宋体;SimSun" w:hAnsi="宋体;SimSun" w:cs="CESI仿宋-GB2312" w:hint="eastAsia" w:eastAsia="仿宋_GB2312"/>
          <w:color w:val="000000"/>
          <w:sz w:val="32"/>
          <w:szCs w:val="32"/>
        </w:rPr>
        <w:t>应当逐条明确其对应的具体行为、公开属性、共享范围、归集来源和渠道、更新频次等内容，并征求有关部门、单位和相关市场主体、行业协会</w:t>
      </w:r>
      <w:r>
        <w:rPr>
          <w:rFonts w:ascii="宋体;SimSun" w:hAnsi="宋体;SimSun" w:cs="仿宋" w:hint="eastAsia" w:eastAsia="仿宋"/>
          <w:color w:val="000000"/>
          <w:sz w:val="32"/>
          <w:szCs w:val="32"/>
        </w:rPr>
        <w:t>、</w:t>
      </w:r>
      <w:r>
        <w:rPr>
          <w:rFonts w:ascii="宋体;SimSun" w:hAnsi="宋体;SimSun" w:cs="CESI仿宋-GB2312" w:hint="eastAsia" w:eastAsia="仿宋_GB2312"/>
          <w:color w:val="000000"/>
          <w:sz w:val="32"/>
          <w:szCs w:val="32"/>
        </w:rPr>
        <w:t>商会、法律服务机构、专家学者和社会公众意见。</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第十条</w:t>
      </w:r>
      <w:r>
        <w:rPr>
          <w:rFonts w:hint="eastAsia" w:eastAsia="黑体;SimHei"/>
          <w:color w:val="000000"/>
          <w:sz w:val="32"/>
          <w:szCs w:val="32"/>
        </w:rPr>
        <w:t xml:space="preserve">  </w:t>
      </w:r>
      <w:r>
        <w:rPr>
          <w:rFonts w:ascii="宋体;SimSun" w:hAnsi="宋体;SimSun" w:cs="宋体;SimSun" w:hint="eastAsia" w:eastAsia="仿宋_GB2312"/>
          <w:color w:val="000000"/>
          <w:sz w:val="32"/>
          <w:szCs w:val="32"/>
        </w:rPr>
        <w:t>下列信息</w:t>
      </w:r>
      <w:r>
        <w:rPr>
          <w:rFonts w:ascii="宋体;SimSun" w:hAnsi="宋体;SimSun" w:cs="CESI仿宋-GB2312" w:hint="eastAsia" w:eastAsia="仿宋_GB2312"/>
          <w:color w:val="000000"/>
          <w:sz w:val="32"/>
          <w:szCs w:val="32"/>
        </w:rPr>
        <w:t>应当依法审慎纳入地方公共信用信息补充目录：</w:t>
      </w:r>
    </w:p>
    <w:p>
      <w:pPr>
        <w:pStyle w:val="Normal"/>
        <w:overflowPunct w:val="false"/>
        <w:snapToGrid w:val="false"/>
        <w:spacing w:lineRule="exact" w:line="592"/>
        <w:ind w:firstLineChars="200" w:startChars="0" w:start="0" w:endChars="0" w:end="0"/>
        <w:rPr>
          <w:rFonts w:ascii="宋体;SimSun" w:hAnsi="宋体;SimSun" w:eastAsia="黑体;SimHei" w:cs="Calibri"/>
          <w:color w:val="000000"/>
          <w:sz w:val="32"/>
          <w:szCs w:val="32"/>
        </w:rPr>
      </w:pPr>
      <w:r>
        <w:rPr>
          <w:rFonts w:ascii="宋体;SimSun" w:hAnsi="宋体;SimSun" w:cs="CESI仿宋-GB2312" w:hint="eastAsia" w:eastAsia="仿宋_GB2312"/>
          <w:color w:val="000000"/>
          <w:sz w:val="32"/>
          <w:szCs w:val="32"/>
        </w:rPr>
        <w:t>（一）涉及商业秘密、个人隐私的信息，以及涉及未成年人、不具备完全民事行为能力的其他自然人的信息，除法律、法规明确规定外，不得纳入公共信用信息范围</w:t>
      </w:r>
      <w:r>
        <w:rPr>
          <w:rFonts w:ascii="宋体;SimSun" w:hAnsi="宋体;SimSun" w:cs="宋体;SimSun" w:hint="eastAsia" w:eastAsia="仿宋_GB2312"/>
          <w:color w:val="000000"/>
          <w:sz w:val="32"/>
          <w:szCs w:val="32"/>
        </w:rPr>
        <w:t>；</w:t>
      </w:r>
    </w:p>
    <w:p>
      <w:pPr>
        <w:pStyle w:val="Normal"/>
        <w:overflowPunct w:val="false"/>
        <w:snapToGrid w:val="false"/>
        <w:spacing w:lineRule="exact" w:line="592"/>
        <w:ind w:firstLineChars="200" w:startChars="0" w:start="0" w:endChars="0" w:end="0"/>
        <w:rPr>
          <w:rFonts w:ascii="宋体;SimSun" w:hAnsi="宋体;SimSun" w:eastAsia="黑体;SimHei" w:cs="宋体;SimSun"/>
          <w:color w:val="000000"/>
          <w:sz w:val="32"/>
          <w:szCs w:val="32"/>
        </w:rPr>
      </w:pPr>
      <w:r>
        <w:rPr>
          <w:rFonts w:ascii="宋体;SimSun" w:hAnsi="宋体;SimSun" w:cs="CESI仿宋-GB2312" w:hint="eastAsia" w:eastAsia="仿宋_GB2312"/>
          <w:color w:val="000000"/>
          <w:sz w:val="32"/>
          <w:szCs w:val="32"/>
        </w:rPr>
        <w:t>（二）涉及信访、垃圾分类、不文明养犬、无偿献血、退役军人管理、宗教信仰等的个人信息，除法律、法规明确规定外，不得纳入公共信用信息范围</w:t>
      </w:r>
      <w:r>
        <w:rPr>
          <w:rFonts w:ascii="宋体;SimSun" w:hAnsi="宋体;SimSun" w:cs="宋体;SimSun" w:hint="eastAsia" w:eastAsia="仿宋_GB2312"/>
          <w:color w:val="000000"/>
          <w:sz w:val="32"/>
          <w:szCs w:val="32"/>
        </w:rPr>
        <w:t>；</w:t>
      </w:r>
    </w:p>
    <w:p>
      <w:pPr>
        <w:pStyle w:val="Normal"/>
        <w:overflowPunct w:val="false"/>
        <w:snapToGrid w:val="false"/>
        <w:spacing w:lineRule="exact" w:line="592"/>
        <w:ind w:firstLineChars="200" w:startChars="0" w:start="0" w:endChars="0" w:end="0"/>
        <w:rPr>
          <w:rFonts w:ascii="宋体;SimSun" w:hAnsi="宋体;SimSun" w:eastAsia="仿宋_GB2312" w:cs="宋体;SimSun"/>
          <w:color w:val="000000"/>
          <w:sz w:val="32"/>
          <w:szCs w:val="32"/>
        </w:rPr>
      </w:pPr>
      <w:r>
        <w:rPr>
          <w:rFonts w:ascii="宋体;SimSun" w:hAnsi="宋体;SimSun" w:cs="CESI仿宋-GB2312" w:hint="eastAsia" w:eastAsia="仿宋_GB2312"/>
          <w:color w:val="000000"/>
          <w:sz w:val="32"/>
          <w:szCs w:val="32"/>
        </w:rPr>
        <w:t>（三）涉及拖欠物业服务费、公共交通逃票、闯红灯、违章建筑等个人信息的纳入，应当有法律、法规依据，符合情节严重或者存在主观恶意等标准，且经有关部门依法依规认定</w:t>
      </w:r>
      <w:r>
        <w:rPr>
          <w:rFonts w:ascii="宋体;SimSun" w:hAnsi="宋体;SimSun" w:cs="宋体;SimSun" w:hint="eastAsia" w:eastAsia="仿宋_GB2312"/>
          <w:color w:val="000000"/>
          <w:sz w:val="32"/>
          <w:szCs w:val="32"/>
        </w:rPr>
        <w:t>；</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（四）有关机关根据纪检监察机关通报的情况，对行贿人作出行政处罚和资格资质限制等处理，拟纳入公共信用信息归集范围的，应当征求有关纪检监察机关的意见。</w:t>
      </w:r>
    </w:p>
    <w:p>
      <w:pPr>
        <w:pStyle w:val="Normal"/>
        <w:overflowPunct w:val="false"/>
        <w:snapToGrid w:val="false"/>
        <w:spacing w:lineRule="exact" w:line="592"/>
        <w:ind w:firstLineChars="200" w:startChars="0" w:start="0" w:endChars="0" w:end="0"/>
        <w:rPr>
          <w:rFonts w:ascii="宋体;SimSun" w:hAnsi="宋体;SimSun" w:eastAsia="仿宋_GB2312" w:cs="Calibri"/>
          <w:color w:val="000000"/>
          <w:sz w:val="32"/>
          <w:szCs w:val="32"/>
        </w:rPr>
      </w:pPr>
      <w:r>
        <w:rPr>
          <w:rFonts w:ascii="宋体;SimSun" w:hAnsi="宋体;SimSun" w:cs="宋体;SimSun" w:hint="eastAsia" w:eastAsia="黑体;SimHei"/>
          <w:color w:val="000000"/>
          <w:sz w:val="32"/>
          <w:szCs w:val="32"/>
        </w:rPr>
        <w:t>第十一条</w:t>
      </w:r>
      <w:r>
        <w:rPr>
          <w:rFonts w:hint="eastAsia" w:eastAsia="黑体;SimHei"/>
          <w:color w:val="000000"/>
          <w:sz w:val="32"/>
          <w:szCs w:val="32"/>
        </w:rPr>
        <w:t xml:space="preserve">  </w:t>
      </w:r>
      <w:r>
        <w:rPr>
          <w:rFonts w:ascii="宋体;SimSun" w:hAnsi="宋体;SimSun" w:cs="宋体;SimSun" w:hint="eastAsia" w:eastAsia="仿宋_GB2312"/>
          <w:color w:val="000000"/>
          <w:sz w:val="32"/>
          <w:szCs w:val="32"/>
        </w:rPr>
        <w:t>自然人公共信用信息的归集以公民身份号码作为关联匹配的标识；无公民身份号码的，以护照等其他有效身份证件的号码作为关联匹配的标识。</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仿宋_GB2312"/>
          <w:color w:val="000000"/>
          <w:sz w:val="32"/>
          <w:szCs w:val="32"/>
        </w:rPr>
        <w:t>法人和非法人组织公共信用信息的归集以统一社会信用代码作为关联匹配的唯一标识。</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第十二条</w:t>
      </w:r>
      <w:r>
        <w:rPr>
          <w:rFonts w:hint="eastAsia" w:eastAsia="黑体;SimHei"/>
          <w:color w:val="000000"/>
          <w:sz w:val="32"/>
          <w:szCs w:val="32"/>
        </w:rPr>
        <w:t xml:space="preserve">  </w:t>
      </w:r>
      <w:r>
        <w:rPr>
          <w:rFonts w:ascii="宋体;SimSun" w:hAnsi="宋体;SimSun" w:cs="宋体;SimSun" w:hint="eastAsia" w:eastAsia="仿宋_GB2312"/>
          <w:color w:val="000000"/>
          <w:sz w:val="32"/>
          <w:szCs w:val="32"/>
        </w:rPr>
        <w:t>公共信用信息提供单位应当按照公共信用信息目录，依法、</w:t>
      </w:r>
      <w:r>
        <w:rPr>
          <w:rFonts w:ascii="宋体;SimSun" w:hAnsi="宋体;SimSun" w:cs="CESI仿宋-GB2312" w:hint="eastAsia" w:eastAsia="仿宋_GB2312"/>
          <w:color w:val="000000"/>
          <w:sz w:val="32"/>
          <w:szCs w:val="32"/>
        </w:rPr>
        <w:t>及时、准确地采集公共信用信息。</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公共信用信息提供单位应当建立健全信用信息审核机制，将采集的公共信用信息及时、准确、完整地向公共信用信息机构报送，并对所提供信用信息的合法性、真实性、准确性负责。</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除法律、法规或者国家另有规定外，</w:t>
      </w:r>
      <w:r>
        <w:rPr>
          <w:rFonts w:ascii="宋体;SimSun" w:hAnsi="宋体;SimSun" w:cs="宋体;SimSun" w:hint="eastAsia" w:eastAsia="仿宋_GB2312"/>
          <w:color w:val="000000"/>
          <w:sz w:val="32"/>
          <w:szCs w:val="32"/>
        </w:rPr>
        <w:t>公共信用信息提供单位</w:t>
      </w:r>
      <w:r>
        <w:rPr>
          <w:rFonts w:ascii="宋体;SimSun" w:hAnsi="宋体;SimSun" w:cs="CESI仿宋-GB2312" w:hint="eastAsia" w:eastAsia="仿宋_GB2312"/>
          <w:color w:val="000000"/>
          <w:sz w:val="32"/>
          <w:szCs w:val="32"/>
        </w:rPr>
        <w:t>不得超出公共信用信息目录所列范围采集公共信用信息。</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鼓励信用主体以声明、自愿注册、自主申报、信用承诺等方式，主动向公共信用信息机构提供自身信用信息，并对信用信息的合法性、真实性、准确性负责。</w:t>
      </w:r>
    </w:p>
    <w:p>
      <w:pPr>
        <w:pStyle w:val="Normal"/>
        <w:overflowPunct w:val="false"/>
        <w:snapToGrid w:val="false"/>
        <w:spacing w:lineRule="exact" w:line="592"/>
        <w:ind w:firstLineChars="200" w:startChars="0" w:start="0" w:endChars="0" w:end="0"/>
        <w:rPr>
          <w:rFonts w:ascii="宋体;SimSun" w:hAnsi="宋体;SimSun" w:cs="Calibri"/>
          <w:color w:val="000000"/>
          <w:szCs w:val="21"/>
        </w:rPr>
      </w:pPr>
      <w:r>
        <w:rPr>
          <w:rFonts w:ascii="宋体;SimSun" w:hAnsi="宋体;SimSun" w:cs="宋体;SimSun" w:hint="eastAsia" w:eastAsia="黑体;SimHei"/>
          <w:color w:val="000000"/>
          <w:sz w:val="32"/>
          <w:szCs w:val="32"/>
        </w:rPr>
        <w:t>第十三条</w:t>
      </w:r>
      <w:r>
        <w:rPr>
          <w:rFonts w:ascii="宋体;SimSun" w:hAnsi="宋体;SimSun" w:cs="CESI仿宋-GB2312" w:hint="eastAsia" w:eastAsia="仿宋_GB2312"/>
          <w:color w:val="000000"/>
          <w:sz w:val="32"/>
          <w:szCs w:val="32"/>
        </w:rPr>
        <w:t xml:space="preserve">  除法律、法规和国家另有规定外，市场信用信息提供单位应当经信用主体授权或者同意采集市场信用信息，并按照规定或者约定告知所采集信息的方式、内容、用途以及信用主体享有的权利和承担的义务等。</w:t>
      </w:r>
    </w:p>
    <w:p>
      <w:pPr>
        <w:pStyle w:val="Normal"/>
        <w:overflowPunct w:val="false"/>
        <w:snapToGrid w:val="false"/>
        <w:spacing w:lineRule="exact" w:line="592"/>
        <w:ind w:firstLineChars="200" w:startChars="0" w:start="0" w:endChars="0" w:end="0"/>
        <w:rPr>
          <w:rFonts w:ascii="宋体;SimSun" w:hAnsi="宋体;SimSun" w:eastAsia="黑体;SimHei" w:cs="黑体;SimHei"/>
          <w:color w:val="000000"/>
          <w:sz w:val="32"/>
          <w:szCs w:val="32"/>
        </w:rPr>
      </w:pPr>
      <w:r>
        <w:rPr>
          <w:rFonts w:ascii="宋体;SimSun" w:hAnsi="宋体;SimSun" w:cs="宋体;SimSun" w:hint="eastAsia" w:eastAsia="黑体;SimHei"/>
          <w:color w:val="000000"/>
          <w:sz w:val="32"/>
          <w:szCs w:val="32"/>
        </w:rPr>
        <w:t xml:space="preserve">第十四条  </w:t>
      </w:r>
      <w:r>
        <w:rPr>
          <w:rFonts w:ascii="宋体;SimSun" w:hAnsi="宋体;SimSun" w:cs="CESI仿宋-GB2312" w:hint="eastAsia" w:eastAsia="仿宋_GB2312"/>
          <w:color w:val="000000"/>
          <w:sz w:val="32"/>
          <w:szCs w:val="32"/>
        </w:rPr>
        <w:t>市场信用信息提供单</w:t>
      </w:r>
      <w:r>
        <w:rPr>
          <w:rFonts w:ascii="宋体;SimSun" w:hAnsi="宋体;SimSun" w:cs="宋体;SimSun" w:hint="eastAsia" w:eastAsia="仿宋_GB2312"/>
          <w:color w:val="000000"/>
          <w:sz w:val="32"/>
          <w:szCs w:val="32"/>
        </w:rPr>
        <w:t>位依照法律、法规规定或者约定向公共信用信息机构提供信用信息，并对所提供信用信息的合法性、真实性、准确性负责。</w:t>
      </w:r>
    </w:p>
    <w:p>
      <w:pPr>
        <w:pStyle w:val="Normal"/>
        <w:overflowPunct w:val="false"/>
        <w:snapToGrid w:val="false"/>
        <w:spacing w:lineRule="exact" w:line="592"/>
        <w:ind w:firstLineChars="200" w:startChars="0" w:start="0" w:endChars="0" w:end="0"/>
        <w:rPr>
          <w:rFonts w:ascii="宋体;SimSun" w:hAnsi="宋体;SimSun" w:eastAsia="仿宋_GB2312" w:cs="Calibri"/>
          <w:color w:val="000000"/>
          <w:sz w:val="32"/>
          <w:szCs w:val="32"/>
        </w:rPr>
      </w:pPr>
      <w:r>
        <w:rPr>
          <w:rFonts w:ascii="宋体;SimSun" w:hAnsi="宋体;SimSun" w:cs="宋体;SimSun" w:hint="eastAsia" w:eastAsia="黑体;SimHei"/>
          <w:color w:val="000000"/>
          <w:sz w:val="32"/>
          <w:szCs w:val="32"/>
        </w:rPr>
        <w:t>第十五条</w:t>
      </w:r>
      <w:r>
        <w:rPr>
          <w:rFonts w:ascii="宋体;SimSun" w:hAnsi="宋体;SimSun" w:cs="CESI仿宋-GB2312" w:hint="eastAsia" w:eastAsia="仿宋_GB2312"/>
          <w:color w:val="000000"/>
          <w:sz w:val="32"/>
          <w:szCs w:val="32"/>
        </w:rPr>
        <w:t xml:space="preserve">  公共信用信息应当依照法律、法规和国家有关规定，通过公开公示、政务共享、授权查询等方式披露。</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 xml:space="preserve">第十六条  </w:t>
      </w:r>
      <w:r>
        <w:rPr>
          <w:rFonts w:ascii="宋体;SimSun" w:hAnsi="宋体;SimSun" w:cs="CESI仿宋-GB2312" w:hint="eastAsia" w:eastAsia="仿宋_GB2312"/>
          <w:color w:val="000000"/>
          <w:sz w:val="32"/>
          <w:szCs w:val="32"/>
        </w:rPr>
        <w:t>公共信用信息提供单位应当按照法律、法规和国家有关规定，在本部门网站、本级政府门户网站或者其他指定的网站公开相关公共信用信息。</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公共信用信息机构对所归集的公共信用信息进行统一公开，依法不应当公开的除外。</w:t>
      </w:r>
    </w:p>
    <w:p>
      <w:pPr>
        <w:pStyle w:val="Normal"/>
        <w:shd w:fill="FFFFFF" w:val="clear"/>
        <w:overflowPunct w:val="false"/>
        <w:snapToGrid w:val="false"/>
        <w:spacing w:lineRule="exact" w:line="592"/>
        <w:ind w:firstLineChars="200" w:startChars="0" w:start="0" w:endChars="0" w:end="0"/>
        <w:rPr>
          <w:rFonts w:ascii="宋体;SimSun" w:hAnsi="宋体;SimSun" w:eastAsia="黑体;SimHei" w:cs="黑体;SimHei"/>
          <w:color w:val="000000"/>
          <w:szCs w:val="21"/>
        </w:rPr>
      </w:pPr>
      <w:r>
        <w:rPr>
          <w:rFonts w:ascii="宋体;SimSun" w:hAnsi="宋体;SimSun" w:cs="宋体;SimSun" w:hint="eastAsia" w:eastAsia="黑体;SimHei"/>
          <w:color w:val="000000"/>
          <w:sz w:val="32"/>
          <w:szCs w:val="32"/>
        </w:rPr>
        <w:t xml:space="preserve">第十七条  </w:t>
      </w:r>
      <w:r>
        <w:rPr>
          <w:rFonts w:ascii="宋体;SimSun" w:hAnsi="宋体;SimSun" w:cs="宋体;SimSun" w:hint="eastAsia" w:eastAsia="仿宋_GB2312"/>
          <w:color w:val="000000"/>
          <w:sz w:val="32"/>
          <w:szCs w:val="32"/>
        </w:rPr>
        <w:t>省社会信用工作主管部门应当按照国家标准，建设、运行和维护省级信用信息共享平台，实现省级信用信息共享平台与各行业信用信息系统的开放共享。</w:t>
      </w:r>
    </w:p>
    <w:p>
      <w:pPr>
        <w:pStyle w:val="Normal"/>
        <w:shd w:fill="FFFFFF" w:val="clear"/>
        <w:overflowPunct w:val="false"/>
        <w:snapToGrid w:val="false"/>
        <w:spacing w:lineRule="exact" w:line="592"/>
        <w:ind w:firstLineChars="200" w:startChars="0" w:start="0" w:endChars="0" w:end="0"/>
        <w:rPr>
          <w:rFonts w:ascii="宋体;SimSun" w:hAnsi="宋体;SimSun" w:eastAsia="黑体;SimHei" w:cs="黑体;SimHei"/>
          <w:color w:val="000000"/>
        </w:rPr>
      </w:pPr>
      <w:r>
        <w:rPr>
          <w:rFonts w:ascii="宋体;SimSun" w:hAnsi="宋体;SimSun" w:cs="宋体;SimSun" w:hint="eastAsia" w:eastAsia="仿宋_GB2312"/>
          <w:color w:val="000000"/>
          <w:sz w:val="32"/>
          <w:szCs w:val="32"/>
        </w:rPr>
        <w:t>各州（市）社会信用工作主管部门应当依法归集本行政区域内的社会信用信息。相关行业主管部门按照国家有关规定建设、运行和维护本行业信用信息系统的，应当依法做好本行业社会信用信息记录、归集、公开、共享、修复、使用和监督管理工作，并与省级信用信息共享平台互联互通。</w:t>
      </w:r>
    </w:p>
    <w:p>
      <w:pPr>
        <w:pStyle w:val="Normal"/>
        <w:overflowPunct w:val="false"/>
        <w:snapToGrid w:val="false"/>
        <w:spacing w:lineRule="exact" w:line="592"/>
        <w:ind w:firstLineChars="200" w:startChars="0" w:start="0" w:endChars="0" w:end="0"/>
        <w:rPr>
          <w:rFonts w:ascii="宋体;SimSun" w:hAnsi="宋体;SimSun" w:eastAsia="仿宋_GB2312" w:cs="Calibri"/>
          <w:color w:val="000000"/>
          <w:sz w:val="32"/>
          <w:szCs w:val="32"/>
        </w:rPr>
      </w:pPr>
      <w:r>
        <w:rPr>
          <w:rFonts w:ascii="宋体;SimSun" w:hAnsi="宋体;SimSun" w:cs="宋体;SimSun" w:hint="eastAsia" w:eastAsia="仿宋_GB2312"/>
          <w:color w:val="000000"/>
          <w:sz w:val="32"/>
          <w:szCs w:val="32"/>
        </w:rPr>
        <w:t>县级以上人民政府及其有关部门应当建立公共信用信息和市场信用信息的共享融合机制，鼓励行政机关与企业事业单位等开展信息合作，实现公共信用信息和市场信用信息的共同应用。</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 xml:space="preserve">第十八条  </w:t>
      </w:r>
      <w:r>
        <w:rPr>
          <w:rFonts w:ascii="宋体;SimSun" w:hAnsi="宋体;SimSun" w:cs="宋体;SimSun" w:hint="eastAsia" w:eastAsia="仿宋_GB2312"/>
          <w:color w:val="000000"/>
          <w:sz w:val="32"/>
          <w:szCs w:val="32"/>
        </w:rPr>
        <w:t>县级以上人民政府应当加强组织协调，推动公共信用信息平台与政务服务系统、国家企业信用信息公示系统以及其他业务应用系统实现互联互通、信息共享。</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国家机关和法律、法规授权的具有管理公共事务职能的组织，在法定职责范围内可以通过公共信用信息平台共享公共信用信息。</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支持公共信用信息提供单位、公共信用信息机构与企业事业</w:t>
      </w:r>
      <w:r>
        <w:rPr>
          <w:rFonts w:ascii="宋体;SimSun" w:hAnsi="宋体;SimSun" w:cs="CESI仿宋-GB2312" w:hint="eastAsia" w:eastAsia="仿宋_GB2312"/>
          <w:color w:val="000000"/>
          <w:spacing w:val="-8"/>
          <w:sz w:val="32"/>
          <w:szCs w:val="32"/>
        </w:rPr>
        <w:t>单位、社会组织依照法律、法规规定或者约定，共享社会信用信息。</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 xml:space="preserve">第十九条  </w:t>
      </w:r>
      <w:r>
        <w:rPr>
          <w:rFonts w:ascii="宋体;SimSun" w:hAnsi="宋体;SimSun" w:cs="CESI仿宋-GB2312" w:hint="eastAsia" w:eastAsia="仿宋_GB2312"/>
          <w:color w:val="000000"/>
          <w:sz w:val="32"/>
          <w:szCs w:val="32"/>
        </w:rPr>
        <w:t>国家机关和法律、法规授权的具有管理公共事务职能的组织，在法定职责范围内可以查询相关联的公共信用信息；信用主体享有查询自身社会信用信息的权利。</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公共信用信息机构和公共信用信息提供单位应当制定公布公共信用信息查询服务规范，通过本级人民政府门户网站、本部门门户网站、信用门户网站，以及移动终端、服务窗口等途径向社会提供免费、便捷的查询服务。</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任何单位和个人未经信用主体书面授权，不得查询其非公开的市场信用信息。法律、行政法规另有规定的除外。</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 xml:space="preserve">第二十条  </w:t>
      </w:r>
      <w:r>
        <w:rPr>
          <w:rFonts w:ascii="宋体;SimSun" w:hAnsi="宋体;SimSun" w:cs="CESI仿宋-GB2312" w:hint="eastAsia" w:eastAsia="仿宋_GB2312"/>
          <w:color w:val="000000"/>
          <w:sz w:val="32"/>
          <w:szCs w:val="32"/>
        </w:rPr>
        <w:t>国家机关和法律、法规授权的具有管理公共事务职能的组织，应当建立健全并推广信用承诺践诺制度，在办理行政审批、公共服务等事务过程中，鼓励和引导信用主体作出信用承诺，并将信用承诺以及践诺情况信息纳入信用主体信用记录。</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第二十一条</w:t>
      </w:r>
      <w:r>
        <w:rPr>
          <w:rFonts w:hint="eastAsia" w:eastAsia="黑体;SimHei"/>
          <w:color w:val="000000"/>
          <w:sz w:val="32"/>
          <w:szCs w:val="32"/>
        </w:rPr>
        <w:t xml:space="preserve">  </w:t>
      </w:r>
      <w:r>
        <w:rPr>
          <w:rFonts w:ascii="宋体;SimSun" w:hAnsi="宋体;SimSun" w:cs="CESI仿宋-GB2312" w:hint="eastAsia" w:eastAsia="仿宋_GB2312"/>
          <w:color w:val="000000"/>
          <w:sz w:val="32"/>
          <w:szCs w:val="32"/>
        </w:rPr>
        <w:t>县级以上社会信用工作主管部门可以以公共信用信息为基础，对信用主体开展公共信用综合评价；其他国家机关和法律、法规授权的具有管理公共事务职能的组织，可以建立本行业、本领域信用主体信用评价机制，开展行业信用评价。</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 xml:space="preserve">第二十二条  </w:t>
      </w:r>
      <w:r>
        <w:rPr>
          <w:rFonts w:ascii="宋体;SimSun" w:hAnsi="宋体;SimSun" w:cs="CESI仿宋-GB2312" w:hint="eastAsia" w:eastAsia="仿宋_GB2312"/>
          <w:color w:val="000000"/>
          <w:sz w:val="32"/>
          <w:szCs w:val="32"/>
        </w:rPr>
        <w:t>国家机关和法律、法规授权的具有管理公共事务职能的组织，应当在行政审批、政府采购、招标投标、资质等级审核评定、财政资金补助、表彰奖励、国家工作人员招录调任、市场准入等工作中，按照有关规定应用社会信用信息，作为办理事项的重要参考。</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国家机关和法律、法规授权的具有管理公共事务职能的组织，应当建立健全以信用为基础的新型监管机制，根据公共信用综合评价结果、行业信用评价结果、信用承诺践诺情况等，对信用主体实施分级分类监管。</w:t>
      </w:r>
    </w:p>
    <w:p>
      <w:pPr>
        <w:pStyle w:val="Normal"/>
        <w:overflowPunct w:val="false"/>
        <w:snapToGrid w:val="false"/>
        <w:spacing w:lineRule="exact" w:line="592"/>
        <w:ind w:firstLineChars="200" w:startChars="0" w:start="0" w:endChars="0" w:end="0"/>
        <w:rPr>
          <w:rFonts w:ascii="宋体;SimSun" w:hAnsi="宋体;SimSun" w:eastAsia="仿宋_GB2312" w:cs="CESI仿宋-GB2312" w:hint="eastAsia"/>
          <w:color w:val="000000"/>
          <w:sz w:val="32"/>
          <w:szCs w:val="32"/>
        </w:rPr>
      </w:pPr>
      <w:r>
        <w:rPr>
          <w:rFonts w:eastAsia="仿宋_GB2312" w:cs="CESI仿宋-GB2312" w:hint="eastAsia" w:ascii="宋体;SimSun" w:hAnsi="宋体;SimSun"/>
          <w:color w:val="000000"/>
          <w:sz w:val="32"/>
          <w:szCs w:val="32"/>
        </w:rPr>
      </w:r>
    </w:p>
    <w:p>
      <w:pPr>
        <w:pStyle w:val="Normal"/>
        <w:overflowPunct w:val="false"/>
        <w:snapToGrid w:val="false"/>
        <w:spacing w:lineRule="exact" w:line="592"/>
        <w:jc w:val="center"/>
        <w:rPr>
          <w:rFonts w:ascii="宋体;SimSun" w:hAnsi="宋体;SimSun" w:eastAsia="黑体;SimHei" w:cs="Calibri"/>
          <w:color w:val="000000"/>
          <w:sz w:val="32"/>
          <w:szCs w:val="32"/>
        </w:rPr>
      </w:pPr>
      <w:r>
        <w:rPr>
          <w:rFonts w:ascii="宋体;SimSun" w:hAnsi="宋体;SimSun" w:cs="宋体;SimSun" w:hint="eastAsia" w:eastAsia="黑体;SimHei"/>
          <w:color w:val="000000"/>
          <w:sz w:val="32"/>
          <w:szCs w:val="32"/>
        </w:rPr>
        <w:t>第三章  守信激励和失信惩戒</w:t>
      </w:r>
    </w:p>
    <w:p>
      <w:pPr>
        <w:pStyle w:val="Normal"/>
        <w:overflowPunct w:val="false"/>
        <w:snapToGrid w:val="false"/>
        <w:spacing w:lineRule="exact" w:line="592"/>
        <w:ind w:firstLineChars="200" w:startChars="0" w:start="0" w:endChars="0" w:end="0"/>
        <w:rPr>
          <w:rFonts w:ascii="宋体;SimSun" w:hAnsi="宋体;SimSun" w:eastAsia="黑体;SimHei" w:cs="宋体;SimSun"/>
          <w:color w:val="000000"/>
          <w:sz w:val="32"/>
          <w:szCs w:val="32"/>
        </w:rPr>
      </w:pPr>
      <w:r>
        <w:rPr>
          <w:rFonts w:eastAsia="黑体;SimHei" w:cs="宋体;SimSun" w:ascii="宋体;SimSun" w:hAnsi="宋体;SimSun"/>
          <w:color w:val="000000"/>
          <w:sz w:val="32"/>
          <w:szCs w:val="32"/>
        </w:rPr>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第二十三条</w:t>
      </w:r>
      <w:r>
        <w:rPr>
          <w:rFonts w:hint="eastAsia" w:eastAsia="黑体;SimHei"/>
          <w:color w:val="000000"/>
          <w:sz w:val="32"/>
          <w:szCs w:val="32"/>
        </w:rPr>
        <w:t xml:space="preserve">  </w:t>
      </w:r>
      <w:r>
        <w:rPr>
          <w:rFonts w:ascii="宋体;SimSun" w:hAnsi="宋体;SimSun" w:cs="CESI仿宋-GB2312" w:hint="eastAsia" w:eastAsia="仿宋_GB2312"/>
          <w:color w:val="000000"/>
          <w:sz w:val="32"/>
          <w:szCs w:val="32"/>
        </w:rPr>
        <w:t>省人民政府应当建立健全守信激励与失信惩戒制度，倡导和褒扬诚实守信，依法对失信行为进行约束。</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国家机关和法律、法规授权的具有管理公共事务职能的组织应当组织实施守信激励和失信惩戒。</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第二十四条</w:t>
      </w:r>
      <w:r>
        <w:rPr>
          <w:rFonts w:hint="eastAsia" w:eastAsia="黑体;SimHei"/>
          <w:color w:val="000000"/>
          <w:sz w:val="32"/>
          <w:szCs w:val="32"/>
        </w:rPr>
        <w:t xml:space="preserve">  </w:t>
      </w:r>
      <w:r>
        <w:rPr>
          <w:rFonts w:ascii="宋体;SimSun" w:hAnsi="宋体;SimSun" w:cs="CESI仿宋-GB2312" w:hint="eastAsia" w:eastAsia="仿宋_GB2312"/>
          <w:color w:val="000000"/>
          <w:sz w:val="32"/>
          <w:szCs w:val="32"/>
        </w:rPr>
        <w:t>实施守信激励措施，应当与信用主体的守信行为、社会贡献程度相当。</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实施失信惩戒措施，应当遵循合法、关联、比例原则，与信用主体失信行为的性质、情节和社会危害程度相当，并告知实施惩戒的事实、依据、理由、当事人依法享有的权利、救济途径和程序。</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 xml:space="preserve">第二十五条  </w:t>
      </w:r>
      <w:r>
        <w:rPr>
          <w:rFonts w:ascii="宋体;SimSun" w:hAnsi="宋体;SimSun" w:cs="CESI仿宋-GB2312" w:hint="eastAsia" w:eastAsia="仿宋_GB2312"/>
          <w:color w:val="000000"/>
          <w:sz w:val="32"/>
          <w:szCs w:val="32"/>
        </w:rPr>
        <w:t>国家机关和法律、法规授权的具有管理公共事务职能的组织</w:t>
      </w:r>
      <w:r>
        <w:rPr>
          <w:rFonts w:ascii="宋体;SimSun" w:hAnsi="宋体;SimSun" w:cs="宋体;SimSun" w:hint="eastAsia" w:eastAsia="仿宋_GB2312"/>
          <w:color w:val="000000"/>
          <w:sz w:val="32"/>
          <w:szCs w:val="32"/>
        </w:rPr>
        <w:t>，对按照规定认定的信用状况良好的信用主体，</w:t>
      </w:r>
      <w:r>
        <w:rPr>
          <w:rFonts w:ascii="宋体;SimSun" w:hAnsi="宋体;SimSun" w:cs="CESI仿宋-GB2312" w:hint="eastAsia" w:eastAsia="仿宋_GB2312"/>
          <w:color w:val="000000"/>
          <w:sz w:val="32"/>
          <w:szCs w:val="32"/>
        </w:rPr>
        <w:t>在法定权限范围内可以采取下列激励措施</w:t>
      </w:r>
      <w:r>
        <w:rPr>
          <w:rFonts w:eastAsia="仿宋_GB2312" w:cs="CESI仿宋-GB2312" w:hint="eastAsia" w:ascii="宋体;SimSun" w:hAnsi="宋体;SimSun"/>
          <w:color w:val="000000"/>
          <w:sz w:val="32"/>
          <w:szCs w:val="32"/>
        </w:rPr>
        <w:t>:</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（一）在行政管理和公共服务中，根据实际情况实施“绿色通道”“先行受理”和“容缺受理”等便利服务；</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（二）在实施政府优惠政策中，在同等条件下列为优先选择对象；</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（三）在公共资源交易活动中，依法依约给予信用加分、提升信用等次；</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（四）在日常</w:t>
      </w:r>
      <w:r>
        <w:rPr>
          <w:rFonts w:ascii="宋体;SimSun" w:hAnsi="宋体;SimSun" w:cs="宋体;SimSun" w:hint="eastAsia" w:eastAsia="仿宋_GB2312"/>
          <w:color w:val="000000"/>
          <w:sz w:val="32"/>
          <w:szCs w:val="32"/>
        </w:rPr>
        <w:t>监督管理中，</w:t>
      </w:r>
      <w:r>
        <w:rPr>
          <w:rFonts w:ascii="宋体;SimSun" w:hAnsi="宋体;SimSun" w:cs="CESI仿宋-GB2312" w:hint="eastAsia" w:eastAsia="仿宋_GB2312"/>
          <w:color w:val="000000"/>
          <w:sz w:val="32"/>
          <w:szCs w:val="32"/>
        </w:rPr>
        <w:t>优化检查方式、降低抽查比例和频次；</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仿宋_GB2312"/>
          <w:color w:val="000000"/>
          <w:sz w:val="32"/>
          <w:szCs w:val="32"/>
        </w:rPr>
        <w:t>（五）</w:t>
      </w:r>
      <w:r>
        <w:rPr>
          <w:rFonts w:ascii="宋体;SimSun" w:hAnsi="宋体;SimSun" w:cs="宋体;SimSun" w:hint="eastAsia" w:eastAsia="仿宋_GB2312"/>
          <w:color w:val="000000"/>
          <w:spacing w:val="4"/>
          <w:sz w:val="32"/>
          <w:szCs w:val="32"/>
        </w:rPr>
        <w:t>在教育、就业、创业、社会保障、旅游等领域，给予重点支持和优先便利；</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（六）在信用网站或者相关媒体上进行宣传推介；</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（七）国家和本省规定的其他激励措施。</w:t>
      </w:r>
    </w:p>
    <w:p>
      <w:pPr>
        <w:pStyle w:val="Normal"/>
        <w:overflowPunct w:val="false"/>
        <w:snapToGrid w:val="false"/>
        <w:spacing w:lineRule="exact" w:line="592"/>
        <w:ind w:firstLineChars="200" w:startChars="0" w:start="0" w:endChars="0" w:end="0"/>
        <w:rPr>
          <w:rFonts w:ascii="宋体;SimSun" w:hAnsi="宋体;SimSun" w:eastAsia="仿宋_GB2312" w:cs="Calibri"/>
          <w:color w:val="000000"/>
          <w:sz w:val="32"/>
          <w:szCs w:val="32"/>
        </w:rPr>
      </w:pPr>
      <w:r>
        <w:rPr>
          <w:rFonts w:ascii="宋体;SimSun" w:hAnsi="宋体;SimSun" w:cs="宋体;SimSun" w:hint="eastAsia" w:eastAsia="黑体;SimHei"/>
          <w:color w:val="000000"/>
          <w:sz w:val="32"/>
          <w:szCs w:val="32"/>
        </w:rPr>
        <w:t>第二十六条</w:t>
      </w:r>
      <w:r>
        <w:rPr>
          <w:rFonts w:hint="eastAsia" w:eastAsia="黑体;SimHei"/>
          <w:color w:val="000000"/>
          <w:sz w:val="32"/>
          <w:szCs w:val="32"/>
        </w:rPr>
        <w:t xml:space="preserve">  </w:t>
      </w:r>
      <w:r>
        <w:rPr>
          <w:rFonts w:ascii="宋体;SimSun" w:hAnsi="宋体;SimSun" w:cs="宋体;SimSun" w:hint="eastAsia" w:eastAsia="仿宋_GB2312"/>
          <w:color w:val="000000"/>
          <w:sz w:val="32"/>
          <w:szCs w:val="32"/>
        </w:rPr>
        <w:t>认定失信行为应当以具有法律效力的文书为依据。下列具有法律效力的文书可以作为认定失信行为的依据：</w:t>
      </w:r>
    </w:p>
    <w:p>
      <w:pPr>
        <w:pStyle w:val="Normal"/>
        <w:overflowPunct w:val="false"/>
        <w:snapToGrid w:val="false"/>
        <w:spacing w:lineRule="exact" w:line="592"/>
        <w:ind w:firstLineChars="200" w:startChars="0" w:start="0" w:endChars="0" w:end="0"/>
        <w:rPr>
          <w:rFonts w:ascii="宋体;SimSun" w:hAnsi="宋体;SimSun" w:eastAsia="仿宋_GB2312" w:cs="宋体;SimSun"/>
          <w:color w:val="000000"/>
          <w:sz w:val="32"/>
          <w:szCs w:val="32"/>
        </w:rPr>
      </w:pPr>
      <w:r>
        <w:rPr>
          <w:rFonts w:ascii="宋体;SimSun" w:hAnsi="宋体;SimSun" w:cs="宋体;SimSun" w:hint="eastAsia" w:eastAsia="仿宋_GB2312"/>
          <w:color w:val="000000"/>
          <w:sz w:val="32"/>
          <w:szCs w:val="32"/>
        </w:rPr>
        <w:t>（一）生效的司法裁判文书或者仲裁文书；</w:t>
      </w:r>
    </w:p>
    <w:p>
      <w:pPr>
        <w:pStyle w:val="Normal"/>
        <w:overflowPunct w:val="false"/>
        <w:snapToGrid w:val="false"/>
        <w:spacing w:lineRule="exact" w:line="592"/>
        <w:ind w:firstLineChars="200" w:startChars="0" w:start="0" w:endChars="0" w:end="0"/>
        <w:rPr>
          <w:rFonts w:ascii="宋体;SimSun" w:hAnsi="宋体;SimSun" w:eastAsia="仿宋_GB2312" w:cs="宋体;SimSun"/>
          <w:color w:val="000000"/>
          <w:sz w:val="32"/>
          <w:szCs w:val="32"/>
        </w:rPr>
      </w:pPr>
      <w:r>
        <w:rPr>
          <w:rFonts w:ascii="宋体;SimSun" w:hAnsi="宋体;SimSun" w:cs="宋体;SimSun" w:hint="eastAsia" w:eastAsia="仿宋_GB2312"/>
          <w:color w:val="000000"/>
          <w:sz w:val="32"/>
          <w:szCs w:val="32"/>
        </w:rPr>
        <w:t>（二）生效的行政处罚、行政裁决等行政行为决定文书；</w:t>
      </w:r>
    </w:p>
    <w:p>
      <w:pPr>
        <w:pStyle w:val="Style14"/>
        <w:shd w:fill="FFFFFF" w:val="clear"/>
        <w:overflowPunct w:val="false"/>
        <w:snapToGrid w:val="false"/>
        <w:spacing w:lineRule="exact" w:line="592" w:before="0" w:after="0"/>
        <w:ind w:firstLineChars="200" w:startChars="0" w:start="0" w:endChars="0" w:end="0"/>
        <w:rPr>
          <w:rFonts w:eastAsia="黑体;SimHei"/>
          <w:b/>
          <w:color w:val="000000"/>
          <w:sz w:val="32"/>
          <w:szCs w:val="32"/>
        </w:rPr>
      </w:pPr>
      <w:r>
        <w:rPr>
          <w:rFonts w:eastAsia="仿宋_GB2312"/>
          <w:color w:val="000000"/>
          <w:sz w:val="32"/>
          <w:szCs w:val="32"/>
        </w:rPr>
        <w:t>（三）法律、法规和国家规定可以作为失信行为认定依据的其他文书。</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pacing w:val="4"/>
          <w:sz w:val="32"/>
          <w:szCs w:val="32"/>
        </w:rPr>
      </w:pPr>
      <w:r>
        <w:rPr>
          <w:rFonts w:ascii="宋体;SimSun" w:hAnsi="宋体;SimSun" w:cs="宋体;SimSun" w:hint="eastAsia" w:eastAsia="黑体;SimHei"/>
          <w:color w:val="000000"/>
          <w:sz w:val="32"/>
          <w:szCs w:val="32"/>
        </w:rPr>
        <w:t>第二十七条</w:t>
      </w:r>
      <w:r>
        <w:rPr>
          <w:rFonts w:hint="eastAsia" w:eastAsia="黑体;SimHei"/>
          <w:color w:val="000000"/>
          <w:sz w:val="32"/>
          <w:szCs w:val="32"/>
        </w:rPr>
        <w:t xml:space="preserve">  </w:t>
      </w:r>
      <w:r>
        <w:rPr>
          <w:rFonts w:ascii="宋体;SimSun" w:hAnsi="宋体;SimSun" w:cs="CESI仿宋-GB2312" w:hint="eastAsia" w:eastAsia="仿宋_GB2312"/>
          <w:color w:val="000000"/>
          <w:spacing w:val="4"/>
          <w:sz w:val="32"/>
          <w:szCs w:val="32"/>
        </w:rPr>
        <w:t>失信惩戒措施实行清单管理。失信惩戒措施清单包括全国失信惩戒措施基础清单和地方失信惩戒措施补充清单。</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仿宋_GB2312"/>
          <w:color w:val="000000"/>
          <w:sz w:val="32"/>
          <w:szCs w:val="32"/>
        </w:rPr>
        <w:t>国家机关和法律、法规授权的具有管理公共事务职能的组织应当按照全国失信惩戒措施基础清单依法实施失信惩戒，不得扩大清单内惩戒措施的适用对象范围，不得加重惩罚。</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地方性法规对失信惩戒措施有特殊规定的，省、州（市）社会信用工作主管部门可以会同有关部门、单位</w:t>
      </w:r>
      <w:r>
        <w:rPr>
          <w:rFonts w:ascii="宋体;SimSun" w:hAnsi="宋体;SimSun" w:cs="宋体;SimSun" w:hint="eastAsia" w:eastAsia="仿宋_GB2312"/>
          <w:color w:val="000000"/>
          <w:sz w:val="32"/>
          <w:szCs w:val="32"/>
        </w:rPr>
        <w:t>参照全国</w:t>
      </w:r>
      <w:r>
        <w:rPr>
          <w:rFonts w:ascii="宋体;SimSun" w:hAnsi="宋体;SimSun" w:cs="CESI仿宋-GB2312" w:hint="eastAsia" w:eastAsia="仿宋_GB2312"/>
          <w:color w:val="000000"/>
          <w:sz w:val="32"/>
          <w:szCs w:val="32"/>
        </w:rPr>
        <w:t>失信惩戒措施基础清单</w:t>
      </w:r>
      <w:r>
        <w:rPr>
          <w:rFonts w:ascii="宋体;SimSun" w:hAnsi="宋体;SimSun" w:cs="宋体;SimSun" w:hint="eastAsia" w:eastAsia="仿宋_GB2312"/>
          <w:color w:val="000000"/>
          <w:sz w:val="32"/>
          <w:szCs w:val="32"/>
        </w:rPr>
        <w:t>的制定程序和要求</w:t>
      </w:r>
      <w:r>
        <w:rPr>
          <w:rFonts w:ascii="宋体;SimSun" w:hAnsi="宋体;SimSun" w:cs="CESI仿宋-GB2312" w:hint="eastAsia" w:eastAsia="仿宋_GB2312"/>
          <w:color w:val="000000"/>
          <w:sz w:val="32"/>
          <w:szCs w:val="32"/>
        </w:rPr>
        <w:t>，依法编制在本行政区域适用的地方失信惩戒措施补充清单，按照规定公开，并抄送上级社会信用工作主管部门。</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编制</w:t>
      </w:r>
      <w:r>
        <w:rPr>
          <w:rFonts w:ascii="宋体;SimSun" w:hAnsi="宋体;SimSun" w:cs="宋体;SimSun" w:hint="eastAsia" w:eastAsia="仿宋_GB2312"/>
          <w:color w:val="000000"/>
          <w:sz w:val="32"/>
          <w:szCs w:val="32"/>
        </w:rPr>
        <w:t>地方</w:t>
      </w:r>
      <w:r>
        <w:rPr>
          <w:rFonts w:ascii="宋体;SimSun" w:hAnsi="宋体;SimSun" w:cs="CESI仿宋-GB2312" w:hint="eastAsia" w:eastAsia="仿宋_GB2312"/>
          <w:color w:val="000000"/>
          <w:sz w:val="32"/>
          <w:szCs w:val="32"/>
        </w:rPr>
        <w:t>失信惩戒措施补充清单，应当征求有关部门、单位和相关市场主体、行业协会、商会、法律服务机构、专家学者和社会公众意见。</w:t>
      </w:r>
    </w:p>
    <w:p>
      <w:pPr>
        <w:pStyle w:val="Normal"/>
        <w:overflowPunct w:val="false"/>
        <w:snapToGrid w:val="false"/>
        <w:spacing w:lineRule="exact" w:line="592"/>
        <w:ind w:firstLineChars="200" w:startChars="0" w:start="0" w:endChars="0" w:end="0"/>
        <w:rPr>
          <w:rFonts w:ascii="宋体;SimSun" w:hAnsi="宋体;SimSun" w:eastAsia="仿宋_GB2312" w:cs="CESI仿宋-GB13000"/>
          <w:color w:val="000000"/>
          <w:sz w:val="32"/>
          <w:szCs w:val="32"/>
        </w:rPr>
      </w:pPr>
      <w:r>
        <w:rPr>
          <w:rFonts w:ascii="宋体;SimSun" w:hAnsi="宋体;SimSun" w:cs="CESI黑体-GB13000" w:hint="eastAsia" w:eastAsia="黑体;SimHei"/>
          <w:color w:val="000000"/>
          <w:sz w:val="32"/>
          <w:szCs w:val="32"/>
        </w:rPr>
        <w:t>第二十八条</w:t>
      </w:r>
      <w:r>
        <w:rPr>
          <w:rFonts w:hint="eastAsia" w:eastAsia="黑体;SimHei"/>
          <w:color w:val="000000"/>
          <w:sz w:val="32"/>
          <w:szCs w:val="32"/>
        </w:rPr>
        <w:t xml:space="preserve">  </w:t>
      </w:r>
      <w:r>
        <w:rPr>
          <w:rFonts w:ascii="宋体;SimSun" w:hAnsi="宋体;SimSun" w:cs="CESI黑体-GB13000" w:hint="eastAsia" w:eastAsia="仿宋_GB2312"/>
          <w:color w:val="000000"/>
          <w:sz w:val="32"/>
          <w:szCs w:val="32"/>
        </w:rPr>
        <w:t>地方</w:t>
      </w:r>
      <w:r>
        <w:rPr>
          <w:rFonts w:ascii="宋体;SimSun" w:hAnsi="宋体;SimSun" w:cs="CESI仿宋-GB13000" w:hint="eastAsia" w:eastAsia="仿宋_GB2312"/>
          <w:color w:val="000000"/>
          <w:sz w:val="32"/>
          <w:szCs w:val="32"/>
        </w:rPr>
        <w:t>失信惩戒措施补充清单确定的失信惩戒措施应当限制在下列范围：</w:t>
      </w:r>
    </w:p>
    <w:p>
      <w:pPr>
        <w:pStyle w:val="Normal"/>
        <w:overflowPunct w:val="false"/>
        <w:snapToGrid w:val="false"/>
        <w:spacing w:lineRule="exact" w:line="592"/>
        <w:ind w:firstLineChars="200" w:startChars="0" w:start="0" w:endChars="0" w:end="0"/>
        <w:rPr>
          <w:rFonts w:ascii="宋体;SimSun" w:hAnsi="宋体;SimSun" w:eastAsia="仿宋_GB2312" w:cs="CESI仿宋-GB13000"/>
          <w:color w:val="000000"/>
          <w:sz w:val="32"/>
          <w:szCs w:val="32"/>
        </w:rPr>
      </w:pPr>
      <w:r>
        <w:rPr>
          <w:rFonts w:ascii="宋体;SimSun" w:hAnsi="宋体;SimSun" w:cs="CESI仿宋-GB13000" w:hint="eastAsia" w:eastAsia="仿宋_GB2312"/>
          <w:color w:val="000000"/>
          <w:sz w:val="32"/>
          <w:szCs w:val="32"/>
        </w:rPr>
        <w:t>（一）在行政管理和公共服务工作中，限制享受相关便利；</w:t>
      </w:r>
    </w:p>
    <w:p>
      <w:pPr>
        <w:pStyle w:val="Normal"/>
        <w:overflowPunct w:val="false"/>
        <w:snapToGrid w:val="false"/>
        <w:spacing w:lineRule="exact" w:line="592"/>
        <w:ind w:firstLineChars="200" w:startChars="0" w:start="0" w:endChars="0" w:end="0"/>
        <w:rPr>
          <w:rFonts w:ascii="宋体;SimSun" w:hAnsi="宋体;SimSun" w:eastAsia="仿宋_GB2312" w:cs="CESI仿宋-GB13000"/>
          <w:color w:val="000000"/>
          <w:sz w:val="32"/>
          <w:szCs w:val="32"/>
        </w:rPr>
      </w:pPr>
      <w:r>
        <w:rPr>
          <w:rFonts w:ascii="宋体;SimSun" w:hAnsi="宋体;SimSun" w:cs="CESI仿宋-GB13000" w:hint="eastAsia" w:eastAsia="仿宋_GB2312"/>
          <w:color w:val="000000"/>
          <w:sz w:val="32"/>
          <w:szCs w:val="32"/>
        </w:rPr>
        <w:t>（二）在享受财政性资金项目和政府优惠政策中，作出相应限制；</w:t>
      </w:r>
    </w:p>
    <w:p>
      <w:pPr>
        <w:pStyle w:val="Normal"/>
        <w:overflowPunct w:val="false"/>
        <w:snapToGrid w:val="false"/>
        <w:spacing w:lineRule="exact" w:line="592"/>
        <w:ind w:firstLineChars="200" w:startChars="0" w:start="0" w:endChars="0" w:end="0"/>
        <w:rPr>
          <w:rFonts w:ascii="宋体;SimSun" w:hAnsi="宋体;SimSun" w:eastAsia="仿宋_GB2312" w:cs="CESI仿宋-GB13000"/>
          <w:color w:val="000000"/>
          <w:sz w:val="32"/>
          <w:szCs w:val="32"/>
        </w:rPr>
      </w:pPr>
      <w:r>
        <w:rPr>
          <w:rFonts w:ascii="宋体;SimSun" w:hAnsi="宋体;SimSun" w:cs="CESI仿宋-GB13000" w:hint="eastAsia" w:eastAsia="仿宋_GB2312"/>
          <w:color w:val="000000"/>
          <w:sz w:val="32"/>
          <w:szCs w:val="32"/>
        </w:rPr>
        <w:t>（三）在日常监督管理中，列为重点监管对象，增加监督检查频次；</w:t>
      </w:r>
    </w:p>
    <w:p>
      <w:pPr>
        <w:pStyle w:val="Normal"/>
        <w:overflowPunct w:val="false"/>
        <w:snapToGrid w:val="false"/>
        <w:spacing w:lineRule="exact" w:line="592"/>
        <w:ind w:firstLineChars="200" w:startChars="0" w:start="0" w:endChars="0" w:end="0"/>
        <w:rPr>
          <w:rFonts w:ascii="宋体;SimSun" w:hAnsi="宋体;SimSun" w:eastAsia="仿宋_GB2312" w:cs="CESI仿宋-GB13000"/>
          <w:color w:val="000000"/>
          <w:sz w:val="32"/>
          <w:szCs w:val="32"/>
        </w:rPr>
      </w:pPr>
      <w:r>
        <w:rPr>
          <w:rFonts w:ascii="宋体;SimSun" w:hAnsi="宋体;SimSun" w:cs="CESI仿宋-GB13000" w:hint="eastAsia" w:eastAsia="仿宋_GB2312"/>
          <w:color w:val="000000"/>
          <w:sz w:val="32"/>
          <w:szCs w:val="32"/>
        </w:rPr>
        <w:t>（四）在公共资源交易中，予以信用减分、降低信用等次；</w:t>
      </w:r>
    </w:p>
    <w:p>
      <w:pPr>
        <w:pStyle w:val="Normal"/>
        <w:overflowPunct w:val="false"/>
        <w:snapToGrid w:val="false"/>
        <w:spacing w:lineRule="exact" w:line="592"/>
        <w:ind w:firstLineChars="200" w:startChars="0" w:start="0" w:endChars="0" w:end="0"/>
        <w:rPr>
          <w:rFonts w:ascii="宋体;SimSun" w:hAnsi="宋体;SimSun" w:eastAsia="仿宋_GB2312" w:cs="CESI仿宋-GB13000"/>
          <w:color w:val="000000"/>
          <w:sz w:val="32"/>
          <w:szCs w:val="32"/>
        </w:rPr>
      </w:pPr>
      <w:r>
        <w:rPr>
          <w:rFonts w:ascii="宋体;SimSun" w:hAnsi="宋体;SimSun" w:cs="CESI仿宋-GB13000" w:hint="eastAsia" w:eastAsia="仿宋_GB2312"/>
          <w:color w:val="000000"/>
          <w:sz w:val="32"/>
          <w:szCs w:val="32"/>
        </w:rPr>
        <w:t xml:space="preserve">（五）在评先评优中，作出相应限制； </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13000" w:hint="eastAsia" w:eastAsia="仿宋_GB2312"/>
          <w:color w:val="000000"/>
          <w:sz w:val="32"/>
          <w:szCs w:val="32"/>
        </w:rPr>
        <w:t>（六）法律、法规或者国家规定的其他失信惩戒措施。</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 xml:space="preserve">第二十九条  </w:t>
      </w:r>
      <w:r>
        <w:rPr>
          <w:rFonts w:ascii="宋体;SimSun" w:hAnsi="宋体;SimSun" w:cs="CESI仿宋-GB2312" w:hint="eastAsia" w:eastAsia="仿宋_GB2312"/>
          <w:color w:val="000000"/>
          <w:sz w:val="32"/>
          <w:szCs w:val="32"/>
        </w:rPr>
        <w:t>实行严重失信主体名单制度，应当以法律、法规或者国家有关规定为依据。</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地方性法规规定的严重失信主体名单制度，应当限定在国家有关规定的领域内，并限制在下列范围：</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（一）严重危害人民群众身体健康和生命安全的；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（二）严重破坏市场公平竞争秩序和社会正常秩序的；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（三）拒不履行法定义务，严重影响司法机关、行政机关公信力的；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（四）拒不履行国防义务，拒绝、逃避兵役，拒绝、拖延民用资源征用或者阻碍对被征用的民用资源进行改造，危害国防利益，破坏国防设施的。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第三十条</w:t>
      </w:r>
      <w:r>
        <w:rPr>
          <w:rFonts w:ascii="宋体;SimSun" w:hAnsi="宋体;SimSun" w:cs="宋体;SimSun" w:hint="eastAsia" w:eastAsia="黑体;SimHei"/>
          <w:color w:val="000000"/>
          <w:sz w:val="32"/>
          <w:szCs w:val="32"/>
        </w:rPr>
        <w:t xml:space="preserve">  </w:t>
      </w:r>
      <w:r>
        <w:rPr>
          <w:rFonts w:ascii="宋体;SimSun" w:hAnsi="宋体;SimSun" w:cs="CESI仿宋-GB2312" w:hint="eastAsia" w:eastAsia="仿宋_GB2312"/>
          <w:color w:val="000000"/>
          <w:sz w:val="32"/>
          <w:szCs w:val="32"/>
        </w:rPr>
        <w:t>严重失信主体名单的认定标准执行法律、行政法规或者国家有关规定。地方性法规规定严重失信主体名单制度，应当同时规定名单认定标准。</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第三十一条</w:t>
      </w:r>
      <w:r>
        <w:rPr>
          <w:rFonts w:hint="eastAsia" w:eastAsia="黑体;SimHei"/>
          <w:color w:val="000000"/>
          <w:sz w:val="32"/>
          <w:szCs w:val="32"/>
        </w:rPr>
        <w:t xml:space="preserve">  </w:t>
      </w:r>
      <w:r>
        <w:rPr>
          <w:rFonts w:ascii="宋体;SimSun" w:hAnsi="宋体;SimSun" w:cs="CESI仿宋-GB2312" w:hint="eastAsia" w:eastAsia="仿宋_GB2312"/>
          <w:color w:val="000000"/>
          <w:sz w:val="32"/>
          <w:szCs w:val="32"/>
        </w:rPr>
        <w:t>行业主管部门在作出将信用主体列入严重失信主体名单决定前，应当告知其作出决定的事实、依据、理由、当事人依法享有的权利和救济措施；信用主体提出异议的，应当予以核实并在规定时限内反馈。</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pacing w:val="-8"/>
          <w:sz w:val="32"/>
          <w:szCs w:val="32"/>
        </w:rPr>
      </w:pPr>
      <w:r>
        <w:rPr>
          <w:rFonts w:ascii="宋体;SimSun" w:hAnsi="宋体;SimSun" w:cs="CESI仿宋-GB2312" w:hint="eastAsia" w:eastAsia="仿宋_GB2312"/>
          <w:color w:val="000000"/>
          <w:sz w:val="32"/>
          <w:szCs w:val="32"/>
        </w:rPr>
        <w:t>行业主管部门将信用主体列入严重失信主体名单，应当制作决定文书，载明将其列入严重失信主体名单的事由、依据、失信</w:t>
      </w:r>
      <w:r>
        <w:rPr>
          <w:rFonts w:ascii="宋体;SimSun" w:hAnsi="宋体;SimSun" w:cs="CESI仿宋-GB2312" w:hint="eastAsia" w:eastAsia="仿宋_GB2312"/>
          <w:color w:val="000000"/>
          <w:spacing w:val="-8"/>
          <w:sz w:val="32"/>
          <w:szCs w:val="32"/>
        </w:rPr>
        <w:t>惩戒措施提示、移出条件、救济途径和程序等，依法送达信用主体。</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第三十二条</w:t>
      </w:r>
      <w:r>
        <w:rPr>
          <w:rFonts w:hint="eastAsia" w:eastAsia="黑体;SimHei"/>
          <w:color w:val="000000"/>
          <w:sz w:val="32"/>
          <w:szCs w:val="32"/>
        </w:rPr>
        <w:t xml:space="preserve">  </w:t>
      </w:r>
      <w:r>
        <w:rPr>
          <w:rFonts w:ascii="宋体;SimSun" w:hAnsi="宋体;SimSun" w:cs="CESI仿宋-GB2312" w:hint="eastAsia" w:eastAsia="仿宋_GB2312"/>
          <w:color w:val="000000"/>
          <w:sz w:val="32"/>
          <w:szCs w:val="32"/>
        </w:rPr>
        <w:t>法人、非法人组织被列入严重失信主体名单的，在记录该单位严重失信信息时，应当载明对该严重失信行为负有责任的法定代表人、主要负责人、实际控制人和其他直接责任人的信息。</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法律、法规规定对该单位的法定代表人、主要负责人、实际控制人和其他直接责任人作出惩戒的，应当按照法律、法规的规定执行。</w:t>
      </w:r>
    </w:p>
    <w:p>
      <w:pPr>
        <w:pStyle w:val="Normal"/>
        <w:overflowPunct w:val="false"/>
        <w:snapToGrid w:val="false"/>
        <w:spacing w:lineRule="exact" w:line="592"/>
        <w:jc w:val="center"/>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第四章  信用主体权益保护</w:t>
      </w:r>
    </w:p>
    <w:p>
      <w:pPr>
        <w:pStyle w:val="Normal"/>
        <w:overflowPunct w:val="false"/>
        <w:snapToGrid w:val="false"/>
        <w:spacing w:lineRule="exact" w:line="592"/>
        <w:ind w:firstLineChars="200" w:startChars="0" w:start="0" w:endChars="0" w:end="0"/>
        <w:rPr>
          <w:rFonts w:ascii="宋体;SimSun" w:hAnsi="宋体;SimSun" w:eastAsia="黑体;SimHei" w:cs="方正黑体_GBK"/>
          <w:color w:val="000000"/>
          <w:sz w:val="32"/>
          <w:szCs w:val="32"/>
        </w:rPr>
      </w:pPr>
      <w:r>
        <w:rPr>
          <w:rFonts w:eastAsia="黑体;SimHei" w:cs="方正黑体_GBK" w:ascii="宋体;SimSun" w:hAnsi="宋体;SimSun"/>
          <w:color w:val="000000"/>
          <w:sz w:val="32"/>
          <w:szCs w:val="32"/>
        </w:rPr>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第三十三条</w:t>
      </w:r>
      <w:r>
        <w:rPr>
          <w:rFonts w:hint="eastAsia" w:eastAsia="黑体;SimHei"/>
          <w:color w:val="000000"/>
          <w:sz w:val="32"/>
          <w:szCs w:val="32"/>
        </w:rPr>
        <w:t xml:space="preserve">  </w:t>
      </w:r>
      <w:r>
        <w:rPr>
          <w:rFonts w:ascii="宋体;SimSun" w:hAnsi="宋体;SimSun" w:cs="CESI仿宋-GB2312" w:hint="eastAsia" w:eastAsia="仿宋_GB2312"/>
          <w:color w:val="000000"/>
          <w:sz w:val="32"/>
          <w:szCs w:val="32"/>
        </w:rPr>
        <w:t>社会信用工作主管部门应当会同有关部门建立健全信用主体权益保护制度，完善社会信用信息异议处理、信用修复、责任追究等机制，保护信用主体合法权益。</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第三十四条</w:t>
      </w:r>
      <w:r>
        <w:rPr>
          <w:rFonts w:ascii="宋体;SimSun" w:hAnsi="宋体;SimSun" w:cs="CESI仿宋-GB2312" w:hint="eastAsia" w:eastAsia="仿宋_GB2312"/>
          <w:color w:val="000000"/>
          <w:sz w:val="32"/>
          <w:szCs w:val="32"/>
        </w:rPr>
        <w:t xml:space="preserve">  采集、归集、公开、共享、查询、修复、使用和管理自然人社会信用信息的，应当依照法律、行政法规或者约定进行，并确保信息安全。除法律、行政法规另有规定外，禁止任何单位和个人未经本人同意采集使用自然人信用信息。</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除明确告知信用主体提供信息可能产生的不利后果，并取得其书面同意外，任何单位和个人不得采集自然人的收入、存款、有价证券、商业保险、不动产和纳税数额等信息作为社会信用信息，不得非法买卖、提供或者公开他人的社会信用信息。</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依法或者依照约定采集自然人信用信息时，不得采集宗教信仰、基因、指纹、血型、疾病和病史信息以及法律、行政法规禁止采集的其他个人信息。</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第三十五条</w:t>
      </w:r>
      <w:r>
        <w:rPr>
          <w:rFonts w:hint="eastAsia" w:eastAsia="黑体;SimHei"/>
          <w:color w:val="000000"/>
          <w:sz w:val="32"/>
          <w:szCs w:val="32"/>
        </w:rPr>
        <w:t xml:space="preserve">  </w:t>
      </w:r>
      <w:r>
        <w:rPr>
          <w:rFonts w:ascii="宋体;SimSun" w:hAnsi="宋体;SimSun" w:cs="CESI仿宋-GB2312" w:hint="eastAsia" w:eastAsia="仿宋_GB2312"/>
          <w:color w:val="000000"/>
          <w:sz w:val="32"/>
          <w:szCs w:val="32"/>
        </w:rPr>
        <w:t>信用主体有权知晓自身信用信息的采集、归集、公开、共享、查询、修复和使用情况，以及信用报告载明的信息来源和变动理由。</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第三十六条</w:t>
      </w:r>
      <w:r>
        <w:rPr>
          <w:rFonts w:ascii="宋体;SimSun" w:hAnsi="宋体;SimSun" w:cs="宋体;SimSun" w:hint="eastAsia" w:eastAsia="黑体;SimHei"/>
          <w:color w:val="000000"/>
          <w:sz w:val="32"/>
          <w:szCs w:val="32"/>
        </w:rPr>
        <w:t xml:space="preserve">  </w:t>
      </w:r>
      <w:r>
        <w:rPr>
          <w:rFonts w:ascii="宋体;SimSun" w:hAnsi="宋体;SimSun" w:cs="CESI仿宋-GB2312" w:hint="eastAsia" w:eastAsia="仿宋_GB2312"/>
          <w:color w:val="000000"/>
          <w:sz w:val="32"/>
          <w:szCs w:val="32"/>
        </w:rPr>
        <w:t>信用主体认为公共信用信息存在错误、遗漏或者侵犯其商业秘密、个人隐私等合法权益的，可以向公共信用信息提供单位、公共信用信息机构提出书面异议申请并说明理由。</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公共信用信息提供单位、公共信用信息机构在收到异议材料之日起的</w:t>
      </w:r>
      <w:r>
        <w:rPr>
          <w:rFonts w:eastAsia="仿宋_GB2312" w:cs="CESI仿宋-GB2312" w:hint="eastAsia" w:ascii="宋体;SimSun" w:hAnsi="宋体;SimSun"/>
          <w:color w:val="000000"/>
          <w:sz w:val="32"/>
          <w:szCs w:val="32"/>
        </w:rPr>
        <w:t>1</w:t>
      </w:r>
      <w:r>
        <w:rPr>
          <w:rFonts w:ascii="宋体;SimSun" w:hAnsi="宋体;SimSun" w:cs="CESI仿宋-GB2312" w:hint="eastAsia" w:eastAsia="仿宋_GB2312"/>
          <w:color w:val="000000"/>
          <w:sz w:val="32"/>
          <w:szCs w:val="32"/>
        </w:rPr>
        <w:t>个工作日内作出异议标注，并在</w:t>
      </w:r>
      <w:r>
        <w:rPr>
          <w:rFonts w:cs="CESI仿宋-GB2312" w:hint="eastAsia" w:ascii="宋体;SimSun" w:hAnsi="宋体;SimSun"/>
          <w:color w:val="000000"/>
          <w:sz w:val="32"/>
          <w:szCs w:val="32"/>
        </w:rPr>
        <w:t>5</w:t>
      </w:r>
      <w:r>
        <w:rPr>
          <w:rFonts w:ascii="宋体;SimSun" w:hAnsi="宋体;SimSun" w:cs="CESI仿宋-GB2312" w:hint="eastAsia" w:eastAsia="仿宋_GB2312"/>
          <w:color w:val="000000"/>
          <w:sz w:val="32"/>
          <w:szCs w:val="32"/>
        </w:rPr>
        <w:t>个工作日内处理完毕。异议处理需要进行检验、检测、检疫、鉴定或者专家评审等情况的，所需时间不计入异议处理时间。经核查确认异议申请理由成立的，应当及时更正；异议申请理由不成立、决定不予更正的，应当说明理由，并将异议处理结果告知申请人。已共享到其他系统、网站的信用信息，有关单位应当自收到更正信息之日起</w:t>
      </w:r>
      <w:r>
        <w:rPr>
          <w:rFonts w:eastAsia="仿宋_GB2312" w:cs="CESI仿宋-GB2312" w:hint="eastAsia" w:ascii="宋体;SimSun" w:hAnsi="宋体;SimSun"/>
          <w:color w:val="000000"/>
          <w:sz w:val="32"/>
          <w:szCs w:val="32"/>
        </w:rPr>
        <w:t>3</w:t>
      </w:r>
      <w:r>
        <w:rPr>
          <w:rFonts w:ascii="宋体;SimSun" w:hAnsi="宋体;SimSun" w:cs="CESI仿宋-GB2312" w:hint="eastAsia" w:eastAsia="仿宋_GB2312"/>
          <w:color w:val="000000"/>
          <w:sz w:val="32"/>
          <w:szCs w:val="32"/>
        </w:rPr>
        <w:t>个工作日内处理完毕。</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异议处理期间，相关信用信息应当进行异议标注，但不影响披露和使用。异议处理完毕后，应当取消异议标注。</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第三十七条</w:t>
      </w:r>
      <w:r>
        <w:rPr>
          <w:rFonts w:ascii="宋体;SimSun" w:hAnsi="宋体;SimSun" w:cs="宋体;SimSun" w:hint="eastAsia" w:eastAsia="黑体;SimHei"/>
          <w:color w:val="000000"/>
          <w:sz w:val="32"/>
          <w:szCs w:val="32"/>
        </w:rPr>
        <w:t xml:space="preserve">  </w:t>
      </w:r>
      <w:r>
        <w:rPr>
          <w:rFonts w:ascii="宋体;SimSun" w:hAnsi="宋体;SimSun" w:cs="CESI仿宋-GB2312" w:hint="eastAsia" w:eastAsia="仿宋_GB2312"/>
          <w:color w:val="000000"/>
          <w:sz w:val="32"/>
          <w:szCs w:val="32"/>
        </w:rPr>
        <w:t>在社会信用信息披露期限内，信用主体向社会信用信息提供单位或者公共信用信息机构申请撤销公示其表彰奖励、志愿服务和慈善捐赠等信息的，社会信用信息提供单位或者公共信用信息机构应当撤销公示，不得进行披露。</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 xml:space="preserve">第三十八条  </w:t>
      </w:r>
      <w:r>
        <w:rPr>
          <w:rFonts w:ascii="宋体;SimSun" w:hAnsi="宋体;SimSun" w:cs="CESI仿宋-GB2312" w:hint="eastAsia" w:eastAsia="仿宋_GB2312"/>
          <w:color w:val="000000"/>
          <w:sz w:val="32"/>
          <w:szCs w:val="32"/>
        </w:rPr>
        <w:t>在失信信息披露期限内，信用主体主动纠正失信行为、消除不良影响，并达到规定公示期限的，可以向公共信用信息机构或者作出失信行为认定的公共信用信息提供单位提出信用修复申请。</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符合信用修复条件的，受理单位应当按照国家有关规定予以修复并将修复情况告知信用主体。修复完成后，按照程序及时停止公示相关失信信息，移出严重失信主体名单，相关单位应当及时终止实施惩戒措施。</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受理单位不得以任何形式向申请信用修复的主体收取费用。</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第三十九条</w:t>
      </w:r>
      <w:r>
        <w:rPr>
          <w:rFonts w:ascii="宋体;SimSun" w:hAnsi="宋体;SimSun" w:cs="宋体;SimSun" w:hint="eastAsia" w:eastAsia="黑体;SimHei"/>
          <w:color w:val="000000"/>
          <w:sz w:val="32"/>
          <w:szCs w:val="32"/>
        </w:rPr>
        <w:t xml:space="preserve">  </w:t>
      </w:r>
      <w:r>
        <w:rPr>
          <w:rFonts w:ascii="宋体;SimSun" w:hAnsi="宋体;SimSun" w:cs="CESI仿宋-GB2312" w:hint="eastAsia" w:eastAsia="仿宋_GB2312"/>
          <w:color w:val="000000"/>
          <w:sz w:val="32"/>
          <w:szCs w:val="32"/>
        </w:rPr>
        <w:t>社会信用信息提供单位、公共信用信息机构应当履行信息安全管理职责，建立社会信用信息安全管理机制以及保密制度，保障信息安全。</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第四十条</w:t>
      </w:r>
      <w:r>
        <w:rPr>
          <w:rFonts w:ascii="宋体;SimSun" w:hAnsi="宋体;SimSun" w:cs="宋体;SimSun" w:hint="eastAsia" w:eastAsia="黑体;SimHei"/>
          <w:color w:val="000000"/>
          <w:sz w:val="32"/>
          <w:szCs w:val="32"/>
        </w:rPr>
        <w:t xml:space="preserve">  </w:t>
      </w:r>
      <w:r>
        <w:rPr>
          <w:rFonts w:ascii="宋体;SimSun" w:hAnsi="宋体;SimSun" w:cs="CESI仿宋-GB2312" w:hint="eastAsia" w:eastAsia="仿宋_GB2312"/>
          <w:color w:val="000000"/>
          <w:sz w:val="32"/>
          <w:szCs w:val="32"/>
        </w:rPr>
        <w:t>国家机关和法律、法规授权的具有管理公共事务职能的组织、市场信用信息提供单位、市场信用服务机构及其工作人员，不得实施下列行为：</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pacing w:val="-8"/>
          <w:sz w:val="32"/>
          <w:szCs w:val="32"/>
        </w:rPr>
      </w:pPr>
      <w:r>
        <w:rPr>
          <w:rFonts w:ascii="宋体;SimSun" w:hAnsi="宋体;SimSun" w:cs="CESI仿宋-GB2312" w:hint="eastAsia" w:eastAsia="仿宋_GB2312"/>
          <w:color w:val="000000"/>
          <w:spacing w:val="-8"/>
          <w:sz w:val="32"/>
          <w:szCs w:val="32"/>
        </w:rPr>
        <w:t>（一）非法采集、归集、公开、共享、查询、使用社会信用信息；</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（二）泄露、篡改、毁损、窃取、出售或者非法提供社会信用信息；</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（三）非法获取、传播、利用社会信用信息谋取私利；</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（四）法律、法规禁止的其他行为。</w:t>
      </w:r>
    </w:p>
    <w:p>
      <w:pPr>
        <w:pStyle w:val="Normal"/>
        <w:overflowPunct w:val="false"/>
        <w:snapToGrid w:val="false"/>
        <w:spacing w:lineRule="exact" w:line="592"/>
        <w:ind w:firstLineChars="200" w:startChars="0" w:start="0" w:endChars="0" w:end="0"/>
        <w:rPr>
          <w:rFonts w:ascii="宋体;SimSun" w:hAnsi="宋体;SimSun" w:eastAsia="仿宋_GB2312" w:cs="Calibri" w:hint="eastAsia"/>
          <w:color w:val="000000"/>
          <w:sz w:val="32"/>
          <w:szCs w:val="21"/>
        </w:rPr>
      </w:pPr>
      <w:r>
        <w:rPr>
          <w:rFonts w:eastAsia="仿宋_GB2312" w:cs="Calibri" w:hint="eastAsia" w:ascii="宋体;SimSun" w:hAnsi="宋体;SimSun"/>
          <w:color w:val="000000"/>
          <w:sz w:val="32"/>
          <w:szCs w:val="21"/>
        </w:rPr>
      </w:r>
    </w:p>
    <w:p>
      <w:pPr>
        <w:pStyle w:val="Normal"/>
        <w:overflowPunct w:val="false"/>
        <w:snapToGrid w:val="false"/>
        <w:spacing w:lineRule="exact" w:line="592"/>
        <w:jc w:val="center"/>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第五章  信用服务行业规范发展</w:t>
      </w:r>
    </w:p>
    <w:p>
      <w:pPr>
        <w:pStyle w:val="Normal"/>
        <w:overflowPunct w:val="false"/>
        <w:snapToGrid w:val="false"/>
        <w:spacing w:lineRule="exact" w:line="592"/>
        <w:ind w:firstLineChars="200" w:startChars="0" w:start="0" w:endChars="0" w:end="0"/>
        <w:rPr>
          <w:rFonts w:ascii="宋体;SimSun" w:hAnsi="宋体;SimSun" w:eastAsia="黑体;SimHei" w:cs="方正黑体_GBK"/>
          <w:color w:val="000000"/>
          <w:sz w:val="32"/>
          <w:szCs w:val="32"/>
        </w:rPr>
      </w:pPr>
      <w:r>
        <w:rPr>
          <w:rFonts w:eastAsia="黑体;SimHei" w:cs="方正黑体_GBK" w:ascii="宋体;SimSun" w:hAnsi="宋体;SimSun"/>
          <w:color w:val="000000"/>
          <w:sz w:val="32"/>
          <w:szCs w:val="32"/>
        </w:rPr>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第四十一条</w:t>
      </w:r>
      <w:r>
        <w:rPr>
          <w:rFonts w:hint="eastAsia" w:eastAsia="黑体;SimHei"/>
          <w:color w:val="000000"/>
          <w:sz w:val="32"/>
          <w:szCs w:val="32"/>
        </w:rPr>
        <w:t xml:space="preserve">  </w:t>
      </w:r>
      <w:r>
        <w:rPr>
          <w:rFonts w:ascii="宋体;SimSun" w:hAnsi="宋体;SimSun" w:cs="CESI仿宋-GB2312" w:hint="eastAsia" w:eastAsia="仿宋_GB2312"/>
          <w:color w:val="000000"/>
          <w:sz w:val="32"/>
          <w:szCs w:val="32"/>
        </w:rPr>
        <w:t>县级以上人民政府应当支持和规范市场信用服务机构发展，制定促进信用服务产业发展的政策和措施，鼓励社会资本进入信用服务市场。</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县级以上社会信用工作主管部门应当会同有关部门加强市场信用服务机构的监督管理，建立市场信用服务机构信用承诺制度，健全市场信用服务机构及其从业人员信用记录机制，支持和规范信用服务行业健康有序发展。</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pacing w:val="-8"/>
          <w:sz w:val="32"/>
          <w:szCs w:val="32"/>
        </w:rPr>
      </w:pPr>
      <w:r>
        <w:rPr>
          <w:rFonts w:ascii="宋体;SimSun" w:hAnsi="宋体;SimSun" w:cs="方正黑体_GBK" w:hint="eastAsia" w:eastAsia="黑体;SimHei"/>
          <w:color w:val="000000"/>
          <w:sz w:val="32"/>
          <w:szCs w:val="32"/>
        </w:rPr>
        <w:t>第四十二条</w:t>
      </w:r>
      <w:r>
        <w:rPr>
          <w:rFonts w:ascii="宋体;SimSun" w:hAnsi="宋体;SimSun" w:cs="宋体;SimSun" w:hint="eastAsia" w:eastAsia="黑体;SimHei"/>
          <w:color w:val="000000"/>
          <w:sz w:val="32"/>
          <w:szCs w:val="32"/>
        </w:rPr>
        <w:t xml:space="preserve">  </w:t>
      </w:r>
      <w:r>
        <w:rPr>
          <w:rFonts w:ascii="宋体;SimSun" w:hAnsi="宋体;SimSun" w:cs="CESI仿宋-GB2312" w:hint="eastAsia" w:eastAsia="仿宋_GB2312"/>
          <w:color w:val="000000"/>
          <w:sz w:val="32"/>
          <w:szCs w:val="32"/>
        </w:rPr>
        <w:t>鼓励行业协会、商会、市场信用服务机构等开</w:t>
      </w:r>
      <w:r>
        <w:rPr>
          <w:rFonts w:ascii="宋体;SimSun" w:hAnsi="宋体;SimSun" w:cs="CESI仿宋-GB2312" w:hint="eastAsia" w:eastAsia="仿宋_GB2312"/>
          <w:color w:val="000000"/>
          <w:spacing w:val="-8"/>
          <w:sz w:val="32"/>
          <w:szCs w:val="32"/>
        </w:rPr>
        <w:t>展信用承诺、诚信倡议、信用评价等工作，拓展信用应用服务领域。</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鼓励市场信用服务机构开发具有自主知识产权的信用产品，开拓社会信用信息应用和信用服务领域，为政府部门、市场主体、社会组织和个人提供多样化、定制化的信用产品和服务。</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鼓励有关部门和单位与市场信用服务机构在社会信用信息采集、归集、共享、大数据分析、风险预警等方面开展合作。</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第四十三条</w:t>
      </w:r>
      <w:r>
        <w:rPr>
          <w:rFonts w:hint="eastAsia" w:eastAsia="黑体;SimHei"/>
          <w:color w:val="000000"/>
          <w:sz w:val="32"/>
          <w:szCs w:val="32"/>
        </w:rPr>
        <w:t xml:space="preserve">  </w:t>
      </w:r>
      <w:r>
        <w:rPr>
          <w:rFonts w:ascii="宋体;SimSun" w:hAnsi="宋体;SimSun" w:cs="CESI仿宋-GB2312" w:hint="eastAsia" w:eastAsia="仿宋_GB2312"/>
          <w:color w:val="000000"/>
          <w:sz w:val="32"/>
          <w:szCs w:val="32"/>
        </w:rPr>
        <w:t>市场信用服务机构提供信用产品和信用服务，应当遵循</w:t>
      </w:r>
      <w:r>
        <w:rPr>
          <w:rFonts w:ascii="宋体;SimSun" w:hAnsi="宋体;SimSun" w:cs="宋体;SimSun" w:hint="eastAsia" w:eastAsia="仿宋_GB2312"/>
          <w:color w:val="000000"/>
          <w:sz w:val="32"/>
          <w:szCs w:val="32"/>
        </w:rPr>
        <w:t>合法、</w:t>
      </w:r>
      <w:r>
        <w:rPr>
          <w:rFonts w:ascii="宋体;SimSun" w:hAnsi="宋体;SimSun" w:cs="CESI仿宋-GB2312" w:hint="eastAsia" w:eastAsia="仿宋_GB2312"/>
          <w:color w:val="000000"/>
          <w:sz w:val="32"/>
          <w:szCs w:val="32"/>
        </w:rPr>
        <w:t>客观、公正、审慎、安全的原则，并依法接受监督管理。</w:t>
      </w:r>
    </w:p>
    <w:p>
      <w:pPr>
        <w:pStyle w:val="Normal"/>
        <w:overflowPunct w:val="false"/>
        <w:snapToGrid w:val="false"/>
        <w:spacing w:lineRule="exact" w:line="620"/>
        <w:ind w:firstLineChars="200" w:startChars="0" w:start="0" w:endChars="0" w:end="0"/>
        <w:rPr>
          <w:rFonts w:ascii="宋体;SimSun" w:hAnsi="宋体;SimSun" w:eastAsia="楷体_GB2312" w:cs="方正楷体_GBK"/>
          <w:color w:val="000000"/>
          <w:szCs w:val="21"/>
        </w:rPr>
      </w:pPr>
      <w:r>
        <w:rPr>
          <w:rFonts w:ascii="宋体;SimSun" w:hAnsi="宋体;SimSun" w:cs="CESI仿宋-GB2312" w:hint="eastAsia" w:eastAsia="仿宋_GB2312"/>
          <w:color w:val="000000"/>
          <w:sz w:val="32"/>
          <w:szCs w:val="32"/>
        </w:rPr>
        <w:t>市场信用服务机构在开展业务过程中，不得通过虚假宣传、承诺评价得分和评价等级等方式承揽业务，不得对信用主体进行恶意评价，不得危害公共安全、侵犯公共利益，不得损害信用主体的合法权益。</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第四十四条</w:t>
      </w:r>
      <w:r>
        <w:rPr>
          <w:rFonts w:ascii="宋体;SimSun" w:hAnsi="宋体;SimSun" w:cs="宋体;SimSun" w:hint="eastAsia" w:eastAsia="黑体;SimHei"/>
          <w:color w:val="000000"/>
          <w:sz w:val="32"/>
          <w:szCs w:val="32"/>
        </w:rPr>
        <w:t xml:space="preserve">  </w:t>
      </w:r>
      <w:r>
        <w:rPr>
          <w:rFonts w:ascii="宋体;SimSun" w:hAnsi="宋体;SimSun" w:cs="CESI仿宋-GB2312" w:hint="eastAsia" w:eastAsia="仿宋_GB2312"/>
          <w:color w:val="000000"/>
          <w:sz w:val="32"/>
          <w:szCs w:val="32"/>
        </w:rPr>
        <w:t>信用服务行业协会应当加强行业自律管理，组织制定行业标准和技术规范，开展宣传培训和行业信息发布等活动，提升行业服务能力。</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第四十五条</w:t>
      </w:r>
      <w:r>
        <w:rPr>
          <w:rFonts w:ascii="宋体;SimSun" w:hAnsi="宋体;SimSun" w:cs="宋体;SimSun" w:hint="eastAsia" w:eastAsia="黑体;SimHei"/>
          <w:color w:val="000000"/>
          <w:sz w:val="32"/>
          <w:szCs w:val="32"/>
        </w:rPr>
        <w:t xml:space="preserve">  </w:t>
      </w:r>
      <w:r>
        <w:rPr>
          <w:rFonts w:ascii="宋体;SimSun" w:hAnsi="宋体;SimSun" w:cs="CESI仿宋-GB2312" w:hint="eastAsia" w:eastAsia="仿宋_GB2312"/>
          <w:color w:val="000000"/>
          <w:sz w:val="32"/>
          <w:szCs w:val="32"/>
        </w:rPr>
        <w:t>鼓励高等学校开设信用管理相关专业，培养信用服务专业人才，支持市场信用服务机构引进人才，推动企业、高等学校、科研机构开展产学研合作，促进人才培养、技术创新、产业发展融合。</w:t>
      </w:r>
    </w:p>
    <w:p>
      <w:pPr>
        <w:pStyle w:val="Normal"/>
        <w:overflowPunct w:val="false"/>
        <w:snapToGrid w:val="false"/>
        <w:spacing w:lineRule="exact" w:line="620"/>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第六章  社会信用环境建设</w:t>
      </w:r>
    </w:p>
    <w:p>
      <w:pPr>
        <w:pStyle w:val="Normal"/>
        <w:overflowPunct w:val="false"/>
        <w:snapToGrid w:val="false"/>
        <w:spacing w:lineRule="exact" w:line="620"/>
        <w:jc w:val="center"/>
        <w:rPr>
          <w:rFonts w:ascii="宋体;SimSun" w:hAnsi="宋体;SimSun" w:eastAsia="仿宋_GB2312" w:cs="CESI仿宋-GB2312" w:hint="eastAsia"/>
          <w:color w:val="000000"/>
          <w:sz w:val="32"/>
          <w:szCs w:val="32"/>
        </w:rPr>
      </w:pPr>
      <w:r>
        <w:rPr>
          <w:rFonts w:eastAsia="仿宋_GB2312" w:cs="CESI仿宋-GB2312" w:hint="eastAsia" w:ascii="宋体;SimSun" w:hAnsi="宋体;SimSun"/>
          <w:color w:val="000000"/>
          <w:sz w:val="32"/>
          <w:szCs w:val="32"/>
        </w:rPr>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第四十六条</w:t>
      </w:r>
      <w:r>
        <w:rPr>
          <w:rFonts w:hint="eastAsia" w:eastAsia="黑体;SimHei"/>
          <w:color w:val="000000"/>
          <w:sz w:val="32"/>
          <w:szCs w:val="32"/>
        </w:rPr>
        <w:t xml:space="preserve">  </w:t>
      </w:r>
      <w:r>
        <w:rPr>
          <w:rFonts w:ascii="宋体;SimSun" w:hAnsi="宋体;SimSun" w:cs="CESI仿宋-GB2312" w:hint="eastAsia" w:eastAsia="仿宋_GB2312"/>
          <w:color w:val="000000"/>
          <w:sz w:val="32"/>
          <w:szCs w:val="32"/>
        </w:rPr>
        <w:t>县级以上人民政府应当加强社会信用体系建设，持续推进政务诚信、商务诚信、社会诚信和司法公信建设，鼓励和支持社会各方共同参与社会信用体系建设，提高全社会诚信意识和信用水平。</w:t>
      </w:r>
    </w:p>
    <w:p>
      <w:pPr>
        <w:pStyle w:val="Normal"/>
        <w:overflowPunct w:val="false"/>
        <w:snapToGrid w:val="false"/>
        <w:spacing w:lineRule="exact" w:line="620"/>
        <w:ind w:firstLineChars="200" w:startChars="0" w:start="0" w:endChars="0" w:end="0"/>
        <w:rPr>
          <w:rFonts w:ascii="宋体;SimSun" w:hAnsi="宋体;SimSun" w:eastAsia="仿宋_GB2312" w:cs="Calibri"/>
          <w:color w:val="000000"/>
          <w:sz w:val="32"/>
          <w:szCs w:val="32"/>
        </w:rPr>
      </w:pPr>
      <w:r>
        <w:rPr>
          <w:rFonts w:ascii="宋体;SimSun" w:hAnsi="宋体;SimSun" w:cs="方正黑体_GBK" w:hint="eastAsia" w:eastAsia="黑体;SimHei"/>
          <w:color w:val="000000"/>
          <w:sz w:val="32"/>
          <w:szCs w:val="32"/>
        </w:rPr>
        <w:t>第四十七条</w:t>
      </w:r>
      <w:r>
        <w:rPr>
          <w:rFonts w:hint="eastAsia" w:eastAsia="黑体;SimHei"/>
          <w:color w:val="000000"/>
          <w:sz w:val="32"/>
          <w:szCs w:val="32"/>
        </w:rPr>
        <w:t xml:space="preserve">  </w:t>
      </w:r>
      <w:r>
        <w:rPr>
          <w:rFonts w:ascii="宋体;SimSun" w:hAnsi="宋体;SimSun" w:cs="宋体;SimSun" w:hint="eastAsia" w:eastAsia="仿宋_GB2312"/>
          <w:color w:val="000000"/>
          <w:sz w:val="32"/>
          <w:szCs w:val="32"/>
        </w:rPr>
        <w:t>各级人民政府和有关部门及其工作人员应当诚信施政、诚信作为、诚信执法，在社会信用体系建设中发挥示范表率作用。</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 xml:space="preserve">第四十八条  </w:t>
      </w:r>
      <w:r>
        <w:rPr>
          <w:rFonts w:ascii="宋体;SimSun" w:hAnsi="宋体;SimSun" w:cs="宋体;SimSun" w:hint="eastAsia" w:eastAsia="仿宋_GB2312"/>
          <w:color w:val="000000"/>
          <w:sz w:val="32"/>
          <w:szCs w:val="32"/>
        </w:rPr>
        <w:t>各级人民政府应当加强政府采购、政府和社会资本合作、招标投标、招商引资、政府债务等重点领域政务诚信建设。</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第四十九条</w:t>
      </w:r>
      <w:r>
        <w:rPr>
          <w:rFonts w:hint="eastAsia" w:eastAsia="黑体;SimHei"/>
          <w:color w:val="000000"/>
          <w:sz w:val="32"/>
          <w:szCs w:val="32"/>
        </w:rPr>
        <w:t xml:space="preserve">  </w:t>
      </w:r>
      <w:r>
        <w:rPr>
          <w:rFonts w:ascii="宋体;SimSun" w:hAnsi="宋体;SimSun" w:cs="宋体;SimSun" w:hint="eastAsia" w:eastAsia="仿宋_GB2312"/>
          <w:color w:val="000000"/>
          <w:sz w:val="32"/>
          <w:szCs w:val="32"/>
        </w:rPr>
        <w:t>各级</w:t>
      </w:r>
      <w:r>
        <w:rPr>
          <w:rFonts w:ascii="宋体;SimSun" w:hAnsi="宋体;SimSun" w:cs="CESI仿宋-GB2312" w:hint="eastAsia" w:eastAsia="仿宋_GB2312"/>
          <w:color w:val="000000"/>
          <w:sz w:val="32"/>
          <w:szCs w:val="32"/>
        </w:rPr>
        <w:t>人民政府和有关部门应当履行向市场主体依法作出的政策承诺以及依法订立的合同，不得以行政区划调整、政府换届、机构或者职能调整以及相关责任人更替等为由违约毁约。因国家利益、公共利益需要改变政策承诺、合同约定的，应当依照法定权限和程序进行，并依法对市场主体因此受到的损失予以补偿。</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 xml:space="preserve">第五十条  </w:t>
      </w:r>
      <w:r>
        <w:rPr>
          <w:rFonts w:ascii="宋体;SimSun" w:hAnsi="宋体;SimSun" w:cs="宋体;SimSun" w:hint="eastAsia" w:eastAsia="仿宋_GB2312"/>
          <w:color w:val="000000"/>
          <w:sz w:val="32"/>
          <w:szCs w:val="32"/>
        </w:rPr>
        <w:t>建立政务诚信监督机制。上级人民政府定期对下级人民政府进行政务诚信监督检查，实施政务诚信考核评价，考评结果作为对下级人民政府绩效评价的重要参考。</w:t>
      </w:r>
    </w:p>
    <w:p>
      <w:pPr>
        <w:pStyle w:val="Normal"/>
        <w:overflowPunct w:val="false"/>
        <w:snapToGrid w:val="false"/>
        <w:spacing w:lineRule="exact" w:line="620"/>
        <w:ind w:firstLineChars="200" w:startChars="0" w:start="0" w:endChars="0" w:end="0"/>
        <w:rPr>
          <w:rFonts w:ascii="宋体;SimSun" w:hAnsi="宋体;SimSun" w:eastAsia="仿宋_GB2312" w:cs="Calibri"/>
          <w:color w:val="000000"/>
          <w:sz w:val="32"/>
          <w:szCs w:val="32"/>
        </w:rPr>
      </w:pPr>
      <w:r>
        <w:rPr>
          <w:rFonts w:ascii="宋体;SimSun" w:hAnsi="宋体;SimSun" w:cs="宋体;SimSun" w:hint="eastAsia" w:eastAsia="黑体;SimHei"/>
          <w:color w:val="000000"/>
          <w:sz w:val="32"/>
          <w:szCs w:val="32"/>
        </w:rPr>
        <w:t xml:space="preserve">第五十一条  </w:t>
      </w:r>
      <w:r>
        <w:rPr>
          <w:rFonts w:ascii="宋体;SimSun" w:hAnsi="宋体;SimSun" w:cs="宋体;SimSun" w:hint="eastAsia" w:eastAsia="仿宋_GB2312"/>
          <w:color w:val="000000"/>
          <w:sz w:val="32"/>
          <w:szCs w:val="32"/>
        </w:rPr>
        <w:t>建立健全政务诚信记录制度，将各级人民政府及其有关部门因违法违规、失信违约被司法判决、行政处罚等信息纳入政务失信记录，并归集至公共信用信息平台。</w:t>
      </w:r>
    </w:p>
    <w:p>
      <w:pPr>
        <w:pStyle w:val="Normal"/>
        <w:shd w:fill="FFFFFF" w:val="clear"/>
        <w:overflowPunct w:val="false"/>
        <w:snapToGrid w:val="false"/>
        <w:spacing w:lineRule="exact" w:line="620"/>
        <w:ind w:firstLineChars="200" w:startChars="0" w:start="0" w:endChars="0" w:end="0"/>
        <w:rPr>
          <w:rFonts w:ascii="宋体;SimSun" w:hAnsi="宋体;SimSun" w:eastAsia="黑体;SimHei" w:cs="黑体;SimHei"/>
          <w:color w:val="000000"/>
          <w:szCs w:val="21"/>
        </w:rPr>
      </w:pPr>
      <w:r>
        <w:rPr>
          <w:rFonts w:ascii="宋体;SimSun" w:hAnsi="宋体;SimSun" w:cs="宋体;SimSun" w:hint="eastAsia" w:eastAsia="黑体;SimHei"/>
          <w:color w:val="000000"/>
          <w:sz w:val="32"/>
          <w:szCs w:val="32"/>
        </w:rPr>
        <w:t>第五十二条</w:t>
      </w:r>
      <w:r>
        <w:rPr>
          <w:rFonts w:ascii="宋体;SimSun" w:hAnsi="宋体;SimSun" w:cs="宋体;SimSun" w:hint="eastAsia" w:eastAsia="仿宋_GB2312"/>
          <w:color w:val="000000"/>
          <w:sz w:val="32"/>
          <w:szCs w:val="32"/>
        </w:rPr>
        <w:t xml:space="preserve">  在招商引资、改革试点、项目投资、社会管理等政策领域和绩效考核中应用政务信用状况。对存在政务失信记录的各级人民政府及其有关部门，上级人民政府应当依法要求其限期整改，予以公开通报批评，并对造成政务失信行为的主要负责人和直接责任人依法追究责任。</w:t>
      </w:r>
    </w:p>
    <w:p>
      <w:pPr>
        <w:pStyle w:val="Normal"/>
        <w:overflowPunct w:val="false"/>
        <w:snapToGrid w:val="false"/>
        <w:spacing w:lineRule="exact" w:line="620"/>
        <w:ind w:firstLineChars="200" w:startChars="0" w:start="0" w:endChars="0" w:end="0"/>
        <w:rPr>
          <w:rFonts w:ascii="宋体;SimSun" w:hAnsi="宋体;SimSun" w:eastAsia="仿宋_GB2312" w:cs="Calibri"/>
          <w:color w:val="000000"/>
          <w:sz w:val="32"/>
          <w:szCs w:val="32"/>
        </w:rPr>
      </w:pPr>
      <w:r>
        <w:rPr>
          <w:rFonts w:ascii="宋体;SimSun" w:hAnsi="宋体;SimSun" w:cs="宋体;SimSun" w:hint="eastAsia" w:eastAsia="黑体;SimHei"/>
          <w:color w:val="000000"/>
          <w:sz w:val="32"/>
          <w:szCs w:val="32"/>
        </w:rPr>
        <w:t>第五十三条</w:t>
      </w:r>
      <w:r>
        <w:rPr>
          <w:rFonts w:ascii="宋体;SimSun" w:hAnsi="宋体;SimSun" w:cs="宋体;SimSun" w:hint="eastAsia" w:eastAsia="仿宋_GB2312"/>
          <w:color w:val="000000"/>
          <w:sz w:val="32"/>
          <w:szCs w:val="32"/>
        </w:rPr>
        <w:t xml:space="preserve">  加强社会各方对政务诚信的评价监督。支持信用服务机构、高校及科研院所等第三方机构开展政务诚信评价，并及时公布结果。</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pacing w:val="-8"/>
          <w:sz w:val="32"/>
          <w:szCs w:val="32"/>
        </w:rPr>
      </w:pPr>
      <w:r>
        <w:rPr>
          <w:rFonts w:ascii="宋体;SimSun" w:hAnsi="宋体;SimSun" w:cs="方正黑体_GBK" w:hint="eastAsia" w:eastAsia="黑体;SimHei"/>
          <w:color w:val="000000"/>
          <w:sz w:val="32"/>
          <w:szCs w:val="32"/>
        </w:rPr>
        <w:t>第五十四条</w:t>
      </w:r>
      <w:r>
        <w:rPr>
          <w:rFonts w:hint="eastAsia" w:eastAsia="黑体;SimHei"/>
          <w:color w:val="000000"/>
          <w:sz w:val="32"/>
          <w:szCs w:val="32"/>
        </w:rPr>
        <w:t xml:space="preserve">  </w:t>
      </w:r>
      <w:r>
        <w:rPr>
          <w:rFonts w:ascii="宋体;SimSun" w:hAnsi="宋体;SimSun" w:cs="CESI仿宋-GB2312" w:hint="eastAsia" w:eastAsia="仿宋_GB2312"/>
          <w:color w:val="000000"/>
          <w:sz w:val="32"/>
          <w:szCs w:val="32"/>
        </w:rPr>
        <w:t>县级以上人民政府应当加强生产、流通、金融、税务、价格、工程建设、中介服务、交通运输、电子商务等领域</w:t>
      </w:r>
      <w:r>
        <w:rPr>
          <w:rFonts w:ascii="宋体;SimSun" w:hAnsi="宋体;SimSun" w:cs="CESI仿宋-GB2312" w:hint="eastAsia" w:eastAsia="仿宋_GB2312"/>
          <w:color w:val="000000"/>
          <w:spacing w:val="-8"/>
          <w:sz w:val="32"/>
          <w:szCs w:val="32"/>
        </w:rPr>
        <w:t>商务诚信建设，引导市场主体增强法治意识，诚信守法，履行契约。</w:t>
      </w:r>
    </w:p>
    <w:p>
      <w:pPr>
        <w:pStyle w:val="Normal"/>
        <w:overflowPunct w:val="false"/>
        <w:snapToGrid w:val="false"/>
        <w:spacing w:lineRule="exact" w:line="620"/>
        <w:ind w:firstLineChars="200" w:startChars="0" w:start="0" w:endChars="0" w:end="0"/>
        <w:rPr>
          <w:rFonts w:ascii="宋体;SimSun" w:hAnsi="宋体;SimSun" w:eastAsia="仿宋_GB2312" w:cs="Calibri"/>
          <w:color w:val="000000"/>
          <w:spacing w:val="-8"/>
          <w:sz w:val="32"/>
          <w:szCs w:val="32"/>
        </w:rPr>
      </w:pPr>
      <w:r>
        <w:rPr>
          <w:rFonts w:ascii="宋体;SimSun" w:hAnsi="宋体;SimSun" w:cs="宋体;SimSun" w:hint="eastAsia" w:eastAsia="仿宋_GB2312"/>
          <w:color w:val="000000"/>
          <w:spacing w:val="-8"/>
          <w:sz w:val="32"/>
          <w:szCs w:val="32"/>
        </w:rPr>
        <w:t>市场主体应当遵守法律法规、行业规约，诚信履约，公平竞争。</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鼓励市场主体主动参与社会信用体系建设，在经济活动中主动使用信用信息、信用报告、信用评价等信用产品，降低商务运行风险。</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第五十五条</w:t>
      </w:r>
      <w:r>
        <w:rPr>
          <w:rFonts w:ascii="宋体;SimSun" w:hAnsi="宋体;SimSun" w:cs="宋体;SimSun" w:hint="eastAsia" w:eastAsia="黑体;SimHei"/>
          <w:color w:val="000000"/>
          <w:sz w:val="32"/>
          <w:szCs w:val="32"/>
        </w:rPr>
        <w:t xml:space="preserve">  </w:t>
      </w:r>
      <w:r>
        <w:rPr>
          <w:rFonts w:ascii="宋体;SimSun" w:hAnsi="宋体;SimSun" w:cs="CESI仿宋-GB2312" w:hint="eastAsia" w:eastAsia="仿宋_GB2312"/>
          <w:color w:val="000000"/>
          <w:sz w:val="32"/>
          <w:szCs w:val="32"/>
        </w:rPr>
        <w:t>县级以上人民政府应当推进社会保障、劳动用工、教育体育科研、医疗卫生、文化旅游、生态环境、知识产权等领域社会诚信建设，引导社会公众遵循诚信原则，守法履约，恪守承诺。</w:t>
      </w:r>
    </w:p>
    <w:p>
      <w:pPr>
        <w:pStyle w:val="Normal"/>
        <w:overflowPunct w:val="false"/>
        <w:snapToGrid w:val="false"/>
        <w:spacing w:lineRule="exact" w:line="620"/>
        <w:ind w:firstLineChars="200" w:startChars="0" w:start="0" w:endChars="0" w:end="0"/>
        <w:rPr>
          <w:rFonts w:ascii="宋体;SimSun" w:hAnsi="宋体;SimSun" w:eastAsia="仿宋_GB2312" w:cs="Calibri"/>
          <w:color w:val="000000"/>
          <w:sz w:val="32"/>
          <w:szCs w:val="32"/>
          <w:shd w:fill="FFFFFF" w:val="clear"/>
        </w:rPr>
      </w:pPr>
      <w:r>
        <w:rPr>
          <w:rFonts w:ascii="宋体;SimSun" w:hAnsi="宋体;SimSun" w:cs="宋体;SimSun" w:hint="eastAsia" w:eastAsia="仿宋_GB2312"/>
          <w:color w:val="000000"/>
          <w:sz w:val="32"/>
          <w:szCs w:val="32"/>
          <w:shd w:fill="FFFFFF" w:val="clear"/>
        </w:rPr>
        <w:t>社会公众应当树立信用意识，秉持诚实、恪守承诺，关注自身信用状况，维护自身良好信用。</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第五十六条</w:t>
      </w:r>
      <w:r>
        <w:rPr>
          <w:rFonts w:ascii="宋体;SimSun" w:hAnsi="宋体;SimSun" w:cs="宋体;SimSun" w:hint="eastAsia" w:eastAsia="黑体;SimHei"/>
          <w:color w:val="000000"/>
          <w:sz w:val="32"/>
          <w:szCs w:val="32"/>
        </w:rPr>
        <w:t xml:space="preserve">  </w:t>
      </w:r>
      <w:r>
        <w:rPr>
          <w:rFonts w:ascii="宋体;SimSun" w:hAnsi="宋体;SimSun" w:cs="CESI仿宋-GB2312" w:hint="eastAsia" w:eastAsia="仿宋_GB2312"/>
          <w:color w:val="000000"/>
          <w:sz w:val="32"/>
          <w:szCs w:val="32"/>
        </w:rPr>
        <w:t>司法机关应当加强司法公信建设，强化内部监督，完善制约机制，推进司法公开，严格公正司法，维护公平正义，增强司法工作的公信力、权威性，提高社会公众满意度。</w:t>
      </w:r>
    </w:p>
    <w:p>
      <w:pPr>
        <w:pStyle w:val="Normal"/>
        <w:overflowPunct w:val="false"/>
        <w:snapToGrid w:val="false"/>
        <w:spacing w:lineRule="exact" w:line="620"/>
        <w:ind w:firstLineChars="200" w:startChars="0" w:start="0" w:endChars="0" w:end="0"/>
        <w:rPr>
          <w:rFonts w:ascii="宋体;SimSun" w:hAnsi="宋体;SimSun" w:eastAsia="仿宋_GB2312" w:cs="Calibri"/>
          <w:color w:val="000000"/>
          <w:sz w:val="32"/>
          <w:szCs w:val="32"/>
        </w:rPr>
      </w:pPr>
      <w:r>
        <w:rPr>
          <w:rFonts w:ascii="宋体;SimSun" w:hAnsi="宋体;SimSun" w:cs="宋体;SimSun" w:hint="eastAsia" w:eastAsia="仿宋_GB2312"/>
          <w:color w:val="000000"/>
          <w:sz w:val="32"/>
          <w:szCs w:val="32"/>
        </w:rPr>
        <w:t>审判机关应当依法公正审理案件，提升司法审判信息化水平，推进案件信息公开，完善执行联动机制，提高生效法律文书执行率。</w:t>
      </w:r>
    </w:p>
    <w:p>
      <w:pPr>
        <w:pStyle w:val="Normal"/>
        <w:overflowPunct w:val="false"/>
        <w:snapToGrid w:val="false"/>
        <w:spacing w:lineRule="exact" w:line="620"/>
        <w:ind w:firstLineChars="200" w:startChars="0" w:start="0" w:endChars="0" w:end="0"/>
        <w:rPr>
          <w:rFonts w:ascii="宋体;SimSun" w:hAnsi="宋体;SimSun" w:eastAsia="仿宋_GB2312" w:cs="宋体;SimSun"/>
          <w:color w:val="000000"/>
          <w:sz w:val="32"/>
          <w:szCs w:val="32"/>
        </w:rPr>
      </w:pPr>
      <w:r>
        <w:rPr>
          <w:rFonts w:ascii="宋体;SimSun" w:hAnsi="宋体;SimSun" w:cs="宋体;SimSun" w:hint="eastAsia" w:eastAsia="仿宋_GB2312"/>
          <w:color w:val="000000"/>
          <w:sz w:val="32"/>
          <w:szCs w:val="32"/>
        </w:rPr>
        <w:t>检察机关应当创新检务公开的手段和途径，充分发挥法律监督职能作用，促进诚信建设。</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第五十七条</w:t>
      </w:r>
      <w:r>
        <w:rPr>
          <w:rFonts w:ascii="宋体;SimSun" w:hAnsi="宋体;SimSun" w:cs="宋体;SimSun" w:hint="eastAsia" w:eastAsia="黑体;SimHei"/>
          <w:color w:val="000000"/>
          <w:sz w:val="32"/>
          <w:szCs w:val="32"/>
        </w:rPr>
        <w:t xml:space="preserve">  </w:t>
      </w:r>
      <w:r>
        <w:rPr>
          <w:rFonts w:ascii="宋体;SimSun" w:hAnsi="宋体;SimSun" w:cs="CESI仿宋-GB2312" w:hint="eastAsia" w:eastAsia="仿宋_GB2312"/>
          <w:color w:val="000000"/>
          <w:sz w:val="32"/>
          <w:szCs w:val="32"/>
        </w:rPr>
        <w:t>国家机关和法律、法规授权的具有管理公共事务职能的组织以及行业协会、商会等组织，应当加强诚信宣传教育，弘扬中华民族重信守诺的传统美德，结合社会信用体系建设工作，开展诚信典型评选、诚信创建和诚信主题实践活动。</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广播、电视、报刊、网络等媒体应当开展诚实守信公益性宣传，推动形成崇尚和践行诚信的社会风尚。</w:t>
      </w:r>
    </w:p>
    <w:p>
      <w:pPr>
        <w:pStyle w:val="Normal"/>
        <w:overflowPunct w:val="false"/>
        <w:snapToGrid w:val="false"/>
        <w:spacing w:lineRule="exact" w:line="620"/>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第五十八条</w:t>
      </w:r>
      <w:r>
        <w:rPr>
          <w:rFonts w:ascii="宋体;SimSun" w:hAnsi="宋体;SimSun" w:cs="宋体;SimSun" w:hint="eastAsia" w:eastAsia="黑体;SimHei"/>
          <w:color w:val="000000"/>
          <w:sz w:val="32"/>
          <w:szCs w:val="32"/>
        </w:rPr>
        <w:t xml:space="preserve">  </w:t>
      </w:r>
      <w:r>
        <w:rPr>
          <w:rFonts w:ascii="宋体;SimSun" w:hAnsi="宋体;SimSun" w:cs="CESI仿宋-GB2312" w:hint="eastAsia" w:eastAsia="仿宋_GB2312"/>
          <w:color w:val="000000"/>
          <w:sz w:val="32"/>
          <w:szCs w:val="32"/>
        </w:rPr>
        <w:t>市场信用服务机构、行业协会、商会和其他企业事业单位应当加强自身信用管理，建立健全行业内信用承诺制度，加强行业自律，遵守法律法规、行业规约和职业道德准则，主动参与社会信用环境建设，承担社会责任。</w:t>
      </w:r>
    </w:p>
    <w:p>
      <w:pPr>
        <w:pStyle w:val="Normal"/>
        <w:overflowPunct w:val="false"/>
        <w:snapToGrid w:val="false"/>
        <w:spacing w:lineRule="exact" w:line="592"/>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第七章  法律责任</w:t>
      </w:r>
    </w:p>
    <w:p>
      <w:pPr>
        <w:pStyle w:val="Normal"/>
        <w:overflowPunct w:val="false"/>
        <w:snapToGrid w:val="false"/>
        <w:spacing w:lineRule="exact" w:line="592"/>
        <w:jc w:val="center"/>
        <w:rPr>
          <w:rFonts w:ascii="宋体;SimSun" w:hAnsi="宋体;SimSun" w:eastAsia="仿宋_GB2312" w:cs="CESI仿宋-GB2312" w:hint="eastAsia"/>
          <w:color w:val="000000"/>
          <w:sz w:val="32"/>
          <w:szCs w:val="32"/>
        </w:rPr>
      </w:pPr>
      <w:r>
        <w:rPr>
          <w:rFonts w:eastAsia="仿宋_GB2312" w:cs="CESI仿宋-GB2312" w:hint="eastAsia" w:ascii="宋体;SimSun" w:hAnsi="宋体;SimSun"/>
          <w:color w:val="000000"/>
          <w:sz w:val="32"/>
          <w:szCs w:val="32"/>
        </w:rPr>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第五十九条</w:t>
      </w:r>
      <w:r>
        <w:rPr>
          <w:rFonts w:ascii="宋体;SimSun" w:hAnsi="宋体;SimSun" w:cs="CESI仿宋-GB2312" w:hint="eastAsia" w:eastAsia="仿宋_GB2312"/>
          <w:color w:val="000000"/>
          <w:sz w:val="32"/>
          <w:szCs w:val="32"/>
        </w:rPr>
        <w:t xml:space="preserve">  国家机关和法律、法规授权的具有管理公共事务职能的组织、公共信用信息机构及其工作人员违反本条例规定，有下列行为之一的，由上级行业主管部门或者本级社会信用工作主管部门责令改正；情节严重的，依法对负有领导责任的人员和直接责任人员给予处分；构成犯罪的，依法追究刑事责任：</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（一）非法采集、归集、公开、共享、查询、使用社会信用信息的；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（二）泄露、篡改、毁损、窃取、出售或者非法提供社会信用信息的；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（三）非法获取、传播、利用社会信用信息谋取私利的；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（四）未按照规定履行异议信息处理、信用修复职责的；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（五）未按照规定认定、移出严重失信主体名单或者落实守信激励和失信惩戒措施的；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（六）未按照规定建立信用信息安全管理制度，未履行信息安全管理职责的；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（七）未按照规定履行告知义务的；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（八）其他滥用职权、玩忽职守、徇私舞弊的行为。</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第六十条</w:t>
      </w:r>
      <w:r>
        <w:rPr>
          <w:rFonts w:ascii="宋体;SimSun" w:hAnsi="宋体;SimSun" w:cs="CESI仿宋-GB2312" w:hint="eastAsia" w:eastAsia="仿宋_GB2312"/>
          <w:color w:val="000000"/>
          <w:sz w:val="32"/>
          <w:szCs w:val="32"/>
        </w:rPr>
        <w:t xml:space="preserve">  市场信用服务机构、行业协会、商会、其他企业事业单位和社会组织及其工作人员违反本条例规定，有下列行为之一的，由县级以上社会信用工作主管部门或者行业主管部门责令限期改正，没收违法所得，对单位并处</w:t>
      </w:r>
      <w:r>
        <w:rPr>
          <w:rFonts w:eastAsia="仿宋_GB2312" w:cs="CESI仿宋-GB2312" w:hint="eastAsia" w:ascii="宋体;SimSun" w:hAnsi="宋体;SimSun"/>
          <w:color w:val="000000"/>
          <w:sz w:val="32"/>
          <w:szCs w:val="32"/>
        </w:rPr>
        <w:t>5</w:t>
      </w:r>
      <w:r>
        <w:rPr>
          <w:rFonts w:ascii="宋体;SimSun" w:hAnsi="宋体;SimSun" w:cs="CESI仿宋-GB2312" w:hint="eastAsia" w:eastAsia="仿宋_GB2312"/>
          <w:color w:val="000000"/>
          <w:sz w:val="32"/>
          <w:szCs w:val="32"/>
        </w:rPr>
        <w:t>万元以上</w:t>
      </w:r>
      <w:r>
        <w:rPr>
          <w:rFonts w:eastAsia="仿宋_GB2312" w:cs="CESI仿宋-GB2312" w:hint="eastAsia" w:ascii="宋体;SimSun" w:hAnsi="宋体;SimSun"/>
          <w:color w:val="000000"/>
          <w:sz w:val="32"/>
          <w:szCs w:val="32"/>
        </w:rPr>
        <w:t>10</w:t>
      </w:r>
      <w:r>
        <w:rPr>
          <w:rFonts w:ascii="宋体;SimSun" w:hAnsi="宋体;SimSun" w:cs="CESI仿宋-GB2312" w:hint="eastAsia" w:eastAsia="仿宋_GB2312"/>
          <w:color w:val="000000"/>
          <w:sz w:val="32"/>
          <w:szCs w:val="32"/>
        </w:rPr>
        <w:t>万元以下罚款；情节严重的，处</w:t>
      </w:r>
      <w:r>
        <w:rPr>
          <w:rFonts w:eastAsia="仿宋_GB2312" w:cs="CESI仿宋-GB2312" w:hint="eastAsia" w:ascii="宋体;SimSun" w:hAnsi="宋体;SimSun"/>
          <w:color w:val="000000"/>
          <w:sz w:val="32"/>
          <w:szCs w:val="32"/>
        </w:rPr>
        <w:t>10</w:t>
      </w:r>
      <w:r>
        <w:rPr>
          <w:rFonts w:ascii="宋体;SimSun" w:hAnsi="宋体;SimSun" w:cs="CESI仿宋-GB2312" w:hint="eastAsia" w:eastAsia="仿宋_GB2312"/>
          <w:color w:val="000000"/>
          <w:sz w:val="32"/>
          <w:szCs w:val="32"/>
        </w:rPr>
        <w:t>万元以上</w:t>
      </w:r>
      <w:r>
        <w:rPr>
          <w:rFonts w:eastAsia="仿宋_GB2312" w:cs="CESI仿宋-GB2312" w:hint="eastAsia" w:ascii="宋体;SimSun" w:hAnsi="宋体;SimSun"/>
          <w:color w:val="000000"/>
          <w:sz w:val="32"/>
          <w:szCs w:val="32"/>
        </w:rPr>
        <w:t>20</w:t>
      </w:r>
      <w:r>
        <w:rPr>
          <w:rFonts w:ascii="宋体;SimSun" w:hAnsi="宋体;SimSun" w:cs="CESI仿宋-GB2312" w:hint="eastAsia" w:eastAsia="仿宋_GB2312"/>
          <w:color w:val="000000"/>
          <w:sz w:val="32"/>
          <w:szCs w:val="32"/>
        </w:rPr>
        <w:t>万元以下罚款；对直接负责的主管人员和其他直接责任人员并处</w:t>
      </w:r>
      <w:r>
        <w:rPr>
          <w:rFonts w:eastAsia="仿宋_GB2312" w:cs="CESI仿宋-GB2312" w:hint="eastAsia" w:ascii="宋体;SimSun" w:hAnsi="宋体;SimSun"/>
          <w:color w:val="000000"/>
          <w:sz w:val="32"/>
          <w:szCs w:val="32"/>
        </w:rPr>
        <w:t>1</w:t>
      </w:r>
      <w:r>
        <w:rPr>
          <w:rFonts w:ascii="宋体;SimSun" w:hAnsi="宋体;SimSun" w:cs="CESI仿宋-GB2312" w:hint="eastAsia" w:eastAsia="仿宋_GB2312"/>
          <w:color w:val="000000"/>
          <w:sz w:val="32"/>
          <w:szCs w:val="32"/>
        </w:rPr>
        <w:t>万元以上</w:t>
      </w:r>
      <w:r>
        <w:rPr>
          <w:rFonts w:eastAsia="仿宋_GB2312" w:cs="CESI仿宋-GB2312" w:hint="eastAsia" w:ascii="宋体;SimSun" w:hAnsi="宋体;SimSun"/>
          <w:color w:val="000000"/>
          <w:sz w:val="32"/>
          <w:szCs w:val="32"/>
        </w:rPr>
        <w:t>3</w:t>
      </w:r>
      <w:r>
        <w:rPr>
          <w:rFonts w:ascii="宋体;SimSun" w:hAnsi="宋体;SimSun" w:cs="CESI仿宋-GB2312" w:hint="eastAsia" w:eastAsia="仿宋_GB2312"/>
          <w:color w:val="000000"/>
          <w:sz w:val="32"/>
          <w:szCs w:val="32"/>
        </w:rPr>
        <w:t>万元以下罚款；情节严重的，处</w:t>
      </w:r>
      <w:r>
        <w:rPr>
          <w:rFonts w:eastAsia="仿宋_GB2312" w:cs="CESI仿宋-GB2312" w:hint="eastAsia" w:ascii="宋体;SimSun" w:hAnsi="宋体;SimSun"/>
          <w:color w:val="000000"/>
          <w:sz w:val="32"/>
          <w:szCs w:val="32"/>
        </w:rPr>
        <w:t>3</w:t>
      </w:r>
      <w:r>
        <w:rPr>
          <w:rFonts w:ascii="宋体;SimSun" w:hAnsi="宋体;SimSun" w:cs="CESI仿宋-GB2312" w:hint="eastAsia" w:eastAsia="仿宋_GB2312"/>
          <w:color w:val="000000"/>
          <w:sz w:val="32"/>
          <w:szCs w:val="32"/>
        </w:rPr>
        <w:t>万元以上</w:t>
      </w:r>
      <w:r>
        <w:rPr>
          <w:rFonts w:eastAsia="仿宋_GB2312" w:cs="CESI仿宋-GB2312" w:hint="eastAsia" w:ascii="宋体;SimSun" w:hAnsi="宋体;SimSun"/>
          <w:color w:val="000000"/>
          <w:sz w:val="32"/>
          <w:szCs w:val="32"/>
        </w:rPr>
        <w:t>5</w:t>
      </w:r>
      <w:r>
        <w:rPr>
          <w:rFonts w:ascii="宋体;SimSun" w:hAnsi="宋体;SimSun" w:cs="CESI仿宋-GB2312" w:hint="eastAsia" w:eastAsia="仿宋_GB2312"/>
          <w:color w:val="000000"/>
          <w:sz w:val="32"/>
          <w:szCs w:val="32"/>
        </w:rPr>
        <w:t>万元以下罚款；构成犯罪的，依法追究刑事责任：</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（一）违法采集、归集、获取或者出售信用信息的；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（二）泄露、篡改、虚构信用信息的；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（三）未经同意或者授权查询商业秘密、个人隐私等信息的；</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（四）通过承诺评价得分和评价等级等方式承揽业务，或者在开展业务活动中弄虚作假的；</w:t>
      </w:r>
    </w:p>
    <w:p>
      <w:pPr>
        <w:pStyle w:val="Normal"/>
        <w:overflowPunct w:val="false"/>
        <w:snapToGrid w:val="false"/>
        <w:spacing w:lineRule="exact" w:line="592"/>
        <w:ind w:firstLineChars="200" w:startChars="0" w:start="0" w:endChars="0" w:end="0"/>
        <w:rPr>
          <w:rFonts w:ascii="宋体;SimSun" w:hAnsi="宋体;SimSun" w:cs="Calibri"/>
          <w:color w:val="000000"/>
          <w:szCs w:val="21"/>
        </w:rPr>
      </w:pPr>
      <w:r>
        <w:rPr>
          <w:rFonts w:ascii="宋体;SimSun" w:hAnsi="宋体;SimSun" w:cs="CESI仿宋-GB2312" w:hint="eastAsia" w:eastAsia="仿宋_GB2312"/>
          <w:color w:val="000000"/>
          <w:sz w:val="32"/>
          <w:szCs w:val="32"/>
        </w:rPr>
        <w:t>（五）侵害信用主体合法权益的其他行为。</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第六十一条</w:t>
      </w:r>
      <w:r>
        <w:rPr>
          <w:rFonts w:ascii="宋体;SimSun" w:hAnsi="宋体;SimSun" w:cs="CESI仿宋-GB2312" w:hint="eastAsia" w:eastAsia="仿宋_GB2312"/>
          <w:color w:val="000000"/>
          <w:sz w:val="32"/>
          <w:szCs w:val="32"/>
        </w:rPr>
        <w:t xml:space="preserve">  在社会信用信息采集、归集、公开、共享、查询</w:t>
      </w:r>
      <w:r>
        <w:rPr>
          <w:rFonts w:ascii="仿宋_GB2312" w:hAnsi="仿宋_GB2312" w:cs="宋体;SimSun" w:hint="eastAsia" w:eastAsia="仿宋_GB2312"/>
          <w:color w:val="000000"/>
          <w:sz w:val="32"/>
          <w:szCs w:val="32"/>
        </w:rPr>
        <w:t>、修复</w:t>
      </w:r>
      <w:r>
        <w:rPr>
          <w:rFonts w:ascii="宋体;SimSun" w:hAnsi="宋体;SimSun" w:cs="CESI仿宋-GB2312" w:hint="eastAsia" w:eastAsia="仿宋_GB2312"/>
          <w:color w:val="000000"/>
          <w:sz w:val="32"/>
          <w:szCs w:val="32"/>
        </w:rPr>
        <w:t>和使用等过程中侵犯信用主体合法权益的，应当依法承担相应的民事责任；构成犯罪的，依法追究刑事责任。</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第六十二条</w:t>
      </w:r>
      <w:r>
        <w:rPr>
          <w:rFonts w:ascii="宋体;SimSun" w:hAnsi="宋体;SimSun" w:cs="CESI仿宋-GB2312" w:hint="eastAsia" w:eastAsia="仿宋_GB2312"/>
          <w:color w:val="000000"/>
          <w:sz w:val="32"/>
          <w:szCs w:val="32"/>
        </w:rPr>
        <w:t xml:space="preserve">  违反本条例规定的行为，法律、行政法规已有处罚规定的，从其规定。</w:t>
      </w:r>
    </w:p>
    <w:p>
      <w:pPr>
        <w:pStyle w:val="Normal"/>
        <w:overflowPunct w:val="false"/>
        <w:snapToGrid w:val="false"/>
        <w:spacing w:lineRule="exact" w:line="592"/>
        <w:ind w:firstLineChars="200" w:startChars="0" w:start="0" w:endChars="0" w:end="0"/>
        <w:rPr>
          <w:rFonts w:ascii="宋体;SimSun" w:hAnsi="宋体;SimSun" w:eastAsia="仿宋_GB2312" w:cs="CESI仿宋-GB2312" w:hint="eastAsia"/>
          <w:color w:val="000000"/>
          <w:sz w:val="32"/>
          <w:szCs w:val="32"/>
        </w:rPr>
      </w:pPr>
      <w:r>
        <w:rPr>
          <w:rFonts w:eastAsia="仿宋_GB2312" w:cs="CESI仿宋-GB2312" w:hint="eastAsia" w:ascii="宋体;SimSun" w:hAnsi="宋体;SimSun"/>
          <w:color w:val="000000"/>
          <w:sz w:val="32"/>
          <w:szCs w:val="32"/>
        </w:rPr>
      </w:r>
    </w:p>
    <w:p>
      <w:pPr>
        <w:pStyle w:val="Normal"/>
        <w:overflowPunct w:val="false"/>
        <w:snapToGrid w:val="false"/>
        <w:spacing w:lineRule="exact" w:line="592"/>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第八章  附  则</w:t>
      </w:r>
    </w:p>
    <w:p>
      <w:pPr>
        <w:pStyle w:val="Normal"/>
        <w:overflowPunct w:val="false"/>
        <w:snapToGrid w:val="false"/>
        <w:spacing w:lineRule="exact" w:line="592"/>
        <w:jc w:val="center"/>
        <w:rPr>
          <w:rFonts w:ascii="宋体;SimSun" w:hAnsi="宋体;SimSun" w:eastAsia="黑体;SimHei" w:cs="Calibri" w:hint="eastAsia"/>
          <w:color w:val="000000"/>
          <w:sz w:val="32"/>
          <w:szCs w:val="32"/>
        </w:rPr>
      </w:pPr>
      <w:r>
        <w:rPr>
          <w:rFonts w:eastAsia="黑体;SimHei" w:cs="Calibri" w:hint="eastAsia" w:ascii="宋体;SimSun" w:hAnsi="宋体;SimSun"/>
          <w:color w:val="000000"/>
          <w:sz w:val="32"/>
          <w:szCs w:val="32"/>
        </w:rPr>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宋体;SimSun" w:hint="eastAsia" w:eastAsia="黑体;SimHei"/>
          <w:color w:val="000000"/>
          <w:sz w:val="32"/>
          <w:szCs w:val="32"/>
        </w:rPr>
        <w:t>第六十三条</w:t>
      </w:r>
      <w:r>
        <w:rPr>
          <w:rFonts w:ascii="宋体;SimSun" w:hAnsi="宋体;SimSun" w:cs="CESI仿宋-GB2312" w:hint="eastAsia" w:eastAsia="仿宋_GB2312"/>
          <w:color w:val="000000"/>
          <w:sz w:val="32"/>
          <w:szCs w:val="32"/>
        </w:rPr>
        <w:t xml:space="preserve">  本条例下列用语的含义：</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社会信用信息是指可用于识别、分析、判断信用主体信用状况的客观数据和资料，包括公共信用信息和市场信用信息。</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公共信用信息是指国家机关和法律、法规授权的具有管理公共事务职能的组织等公共信用信息提供单位，在履行法定职责、提供公共服务过程中产生和获取的社会信用信息。</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仿宋_GB2312"/>
          <w:color w:val="000000"/>
          <w:sz w:val="32"/>
          <w:szCs w:val="32"/>
        </w:rPr>
        <w:t>市场信用信息是指市场信用服务机构、行业协会、商会以及其他企业事业单位和组织等市场信用信息提供单位，在生产经营活动、行业自律管理活动、提供产品和服务过程中产生和获取的社会信用信息。</w:t>
      </w:r>
    </w:p>
    <w:p>
      <w:pPr>
        <w:pStyle w:val="Normal"/>
        <w:overflowPunct w:val="false"/>
        <w:snapToGrid w:val="false"/>
        <w:spacing w:lineRule="exact" w:line="592"/>
        <w:ind w:firstLineChars="200" w:startChars="0" w:start="0" w:endChars="0" w:end="0"/>
        <w:rPr>
          <w:rFonts w:ascii="宋体;SimSun" w:hAnsi="宋体;SimSun" w:eastAsia="黑体;SimHei" w:cs="Calibri"/>
          <w:color w:val="000000"/>
          <w:sz w:val="32"/>
          <w:szCs w:val="32"/>
        </w:rPr>
      </w:pPr>
      <w:r>
        <w:rPr>
          <w:rFonts w:ascii="宋体;SimSun" w:hAnsi="宋体;SimSun" w:cs="CESI仿宋-GB2312" w:hint="eastAsia" w:eastAsia="仿宋_GB2312"/>
          <w:color w:val="000000"/>
          <w:sz w:val="32"/>
          <w:szCs w:val="32"/>
        </w:rPr>
        <w:t>市场信用服务机构是指依法设立，向社会提供信用产品和信用服务，从事信用管理、信用担保、信用咨询、信用风险控制等相关活动的法人或者非法人组织。</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方正黑体_GBK" w:hint="eastAsia" w:eastAsia="黑体;SimHei"/>
          <w:color w:val="000000"/>
          <w:sz w:val="32"/>
          <w:szCs w:val="32"/>
        </w:rPr>
        <w:t>第六十四条</w:t>
      </w:r>
      <w:r>
        <w:rPr>
          <w:rFonts w:ascii="宋体;SimSun" w:hAnsi="宋体;SimSun" w:cs="CESI仿宋-GB2312" w:hint="eastAsia" w:eastAsia="仿宋_GB2312"/>
          <w:color w:val="000000"/>
          <w:sz w:val="32"/>
          <w:szCs w:val="32"/>
        </w:rPr>
        <w:t xml:space="preserve">  征信业的监督管理，依照法律、行政法规的有关规定执行。</w:t>
      </w:r>
    </w:p>
    <w:p>
      <w:pPr>
        <w:pStyle w:val="Normal"/>
        <w:overflowPunct w:val="false"/>
        <w:snapToGrid w:val="false"/>
        <w:spacing w:lineRule="exact" w:line="592"/>
        <w:ind w:firstLineChars="200" w:startChars="0" w:start="0" w:endChars="0" w:end="0"/>
        <w:rPr>
          <w:rFonts w:ascii="宋体;SimSun" w:hAnsi="宋体;SimSun" w:eastAsia="仿宋_GB2312" w:cs="CESI仿宋-GB2312"/>
          <w:color w:val="000000"/>
          <w:sz w:val="32"/>
          <w:szCs w:val="32"/>
        </w:rPr>
      </w:pPr>
      <w:r>
        <w:rPr>
          <w:rFonts w:ascii="宋体;SimSun" w:hAnsi="宋体;SimSun" w:cs="CESI仿宋-GB2312" w:hint="eastAsia" w:eastAsia="黑体;SimHei"/>
          <w:color w:val="000000"/>
          <w:sz w:val="32"/>
          <w:szCs w:val="32"/>
        </w:rPr>
        <w:t>第六十五条</w:t>
      </w:r>
      <w:r>
        <w:rPr>
          <w:rFonts w:ascii="宋体;SimSun" w:hAnsi="宋体;SimSun" w:cs="CESI仿宋-GB2312" w:hint="eastAsia" w:eastAsia="仿宋_GB2312"/>
          <w:color w:val="000000"/>
          <w:sz w:val="32"/>
          <w:szCs w:val="32"/>
        </w:rPr>
        <w:t xml:space="preserve">  本条例自</w:t>
      </w:r>
      <w:r>
        <w:rPr>
          <w:rFonts w:eastAsia="仿宋_GB2312" w:cs="CESI仿宋-GB2312" w:ascii="宋体;SimSun" w:hAnsi="宋体;SimSun"/>
          <w:color w:val="000000"/>
          <w:sz w:val="32"/>
          <w:szCs w:val="32"/>
        </w:rPr>
        <w:t>2023</w:t>
      </w:r>
      <w:r>
        <w:rPr>
          <w:rFonts w:ascii="宋体;SimSun" w:hAnsi="宋体;SimSun" w:cs="CESI仿宋-GB2312" w:hint="eastAsia" w:eastAsia="仿宋_GB2312"/>
          <w:color w:val="000000"/>
          <w:sz w:val="32"/>
          <w:szCs w:val="32"/>
        </w:rPr>
        <w:t>年</w:t>
      </w:r>
      <w:r>
        <w:rPr>
          <w:rFonts w:eastAsia="仿宋_GB2312" w:cs="CESI仿宋-GB2312" w:ascii="宋体;SimSun" w:hAnsi="宋体;SimSun"/>
          <w:color w:val="000000"/>
          <w:sz w:val="32"/>
          <w:szCs w:val="32"/>
        </w:rPr>
        <w:t>1</w:t>
      </w:r>
      <w:r>
        <w:rPr>
          <w:rFonts w:ascii="宋体;SimSun" w:hAnsi="宋体;SimSun" w:cs="CESI仿宋-GB2312" w:hint="eastAsia" w:eastAsia="仿宋_GB2312"/>
          <w:color w:val="000000"/>
          <w:sz w:val="32"/>
          <w:szCs w:val="32"/>
        </w:rPr>
        <w:t>月</w:t>
      </w:r>
      <w:r>
        <w:rPr>
          <w:rFonts w:eastAsia="仿宋_GB2312" w:cs="CESI仿宋-GB2312" w:ascii="宋体;SimSun" w:hAnsi="宋体;SimSun"/>
          <w:color w:val="000000"/>
          <w:sz w:val="32"/>
          <w:szCs w:val="32"/>
        </w:rPr>
        <w:t>1</w:t>
      </w:r>
      <w:r>
        <w:rPr>
          <w:rFonts w:ascii="宋体;SimSun" w:hAnsi="宋体;SimSun" w:cs="CESI仿宋-GB2312" w:hint="eastAsia" w:eastAsia="仿宋_GB2312"/>
          <w:color w:val="000000"/>
          <w:sz w:val="32"/>
          <w:szCs w:val="32"/>
        </w:rPr>
        <w:t>日起施行。</w:t>
      </w:r>
    </w:p>
    <w:p>
      <w:pPr>
        <w:pStyle w:val="Normal"/>
        <w:snapToGrid w:val="false"/>
        <w:spacing w:lineRule="exact" w:line="20"/>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p>
      <w:pPr>
        <w:pStyle w:val="Normal"/>
        <w:snapToGrid w:val="false"/>
        <w:spacing w:lineRule="exact" w:line="20"/>
        <w:ind w:firstLineChars="200" w:startChars="0" w:start="0" w:endChars="0" w:end="0"/>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p>
      <w:pPr>
        <w:pStyle w:val="Normal"/>
        <w:snapToGrid w:val="false"/>
        <w:spacing w:lineRule="exact" w:line="20"/>
        <w:ind w:firstLineChars="200" w:startChars="0" w:start="0" w:endChars="0" w:end="0"/>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p>
      <w:pPr>
        <w:pStyle w:val="Normal"/>
        <w:snapToGrid w:val="false"/>
        <w:spacing w:lineRule="exact" w:line="20"/>
        <w:ind w:firstLineChars="200" w:startChars="0" w:start="0" w:endChars="0" w:end="0"/>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p>
      <w:pPr>
        <w:pStyle w:val="Normal"/>
        <w:snapToGrid w:val="false"/>
        <w:spacing w:lineRule="exact" w:line="20"/>
        <w:ind w:firstLineChars="200" w:startChars="0" w:start="0" w:endChars="0" w:end="0"/>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p>
      <w:pPr>
        <w:pStyle w:val="Normal"/>
        <w:widowControl/>
        <w:jc w:val="start"/>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p>
      <w:pPr>
        <w:pStyle w:val="Style19"/>
        <w:ind w:startChars="0" w:start="0" w:endChars="0" w:end="0"/>
        <w:rPr>
          <w:rFonts w:ascii="宋体;SimSun" w:hAnsi="宋体;SimSun" w:cs="宋体;SimSun" w:hint="eastAsia"/>
          <w:color w:val="000000"/>
          <w:sz w:val="44"/>
          <w:szCs w:val="44"/>
          <w:lang w:val="en-US" w:eastAsia="en-US"/>
        </w:rPr>
      </w:pPr>
      <w:r>
        <w:rPr>
          <w:rFonts w:cs="宋体;SimSun" w:hint="eastAsia" w:ascii="宋体;SimSun" w:hAnsi="宋体;SimSun"/>
          <w:color w:val="000000"/>
          <w:sz w:val="44"/>
          <w:szCs w:val="44"/>
          <w:lang w:val="en-US" w:eastAsia="en-US"/>
        </w:rPr>
        <mc:AlternateContent>
          <mc:Choice Requires="wps">
            <w:drawing>
              <wp:anchor distT="0" distB="0" distL="114935" distR="114935" simplePos="0" relativeHeight="2" behindDoc="0" locked="0" layoutInCell="1" allowOverlap="1">
                <wp:simplePos x="0" y="0"/>
                <wp:positionH relativeFrom="column">
                  <wp:posOffset>4535805</wp:posOffset>
                </wp:positionH>
                <wp:positionV relativeFrom="paragraph">
                  <wp:posOffset>8072120</wp:posOffset>
                </wp:positionV>
                <wp:extent cx="1419860" cy="365760"/>
                <wp:effectExtent l="5080" t="5080" r="5080" b="5080"/>
                <wp:wrapNone/>
                <wp:docPr id="1" name=""/>
                <a:graphic xmlns:a="http://schemas.openxmlformats.org/drawingml/2006/main">
                  <a:graphicData uri="http://schemas.microsoft.com/office/word/2010/wordprocessingShape">
                    <wps:wsp>
                      <wps:cNvSpPr/>
                      <wps:spPr>
                        <a:xfrm>
                          <a:off x="0" y="0"/>
                          <a:ext cx="1419840" cy="36576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357.15pt;margin-top:635.6pt;width:111.75pt;height:28.75pt;mso-wrap-style:none;v-text-anchor:middle">
                <v:fill o:detectmouseclick="t" type="solid" color2="black"/>
                <v:stroke color="white" weight="9360" joinstyle="miter" endcap="flat"/>
                <w10:wrap type="none"/>
              </v:rect>
            </w:pict>
          </mc:Fallback>
        </mc:AlternateContent>
        <mc:AlternateContent>
          <mc:Choice Requires="wps">
            <w:drawing>
              <wp:anchor distT="0" distB="0" distL="114935" distR="114935" simplePos="0" relativeHeight="3" behindDoc="0" locked="0" layoutInCell="1" allowOverlap="1">
                <wp:simplePos x="0" y="0"/>
                <wp:positionH relativeFrom="column">
                  <wp:posOffset>-36830</wp:posOffset>
                </wp:positionH>
                <wp:positionV relativeFrom="paragraph">
                  <wp:posOffset>7945120</wp:posOffset>
                </wp:positionV>
                <wp:extent cx="1350645" cy="457200"/>
                <wp:effectExtent l="5715" t="5080" r="5080" b="5715"/>
                <wp:wrapNone/>
                <wp:docPr id="2" name=""/>
                <a:graphic xmlns:a="http://schemas.openxmlformats.org/drawingml/2006/main">
                  <a:graphicData uri="http://schemas.microsoft.com/office/word/2010/wordprocessingShape">
                    <wps:wsp>
                      <wps:cNvSpPr/>
                      <wps:spPr>
                        <a:xfrm>
                          <a:off x="0" y="0"/>
                          <a:ext cx="1350720" cy="457200"/>
                        </a:xfrm>
                        <a:prstGeom prst="roundRect">
                          <a:avLst>
                            <a:gd name="adj" fmla="val 16667"/>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oundrect id="shape_0" fillcolor="white" stroked="t" o:allowincell="f" style="position:absolute;margin-left:-2.9pt;margin-top:625.6pt;width:106.3pt;height:35.95pt;mso-wrap-style:none;v-text-anchor:middle">
                <v:fill o:detectmouseclick="t" type="solid" color2="black"/>
                <v:stroke color="white" weight="9360" joinstyle="miter" endcap="flat"/>
                <w10:wrap type="none"/>
              </v:roundrect>
            </w:pict>
          </mc:Fallback>
        </mc:AlternateContent>
      </w:r>
    </w:p>
    <w:sectPr>
      <w:footerReference w:type="even" r:id="rId2"/>
      <w:footerReference w:type="default" r:id="rId3"/>
      <w:type w:val="nextPage"/>
      <w:pgSz w:w="11906" w:h="16838"/>
      <w:pgMar w:left="1531" w:right="1531" w:gutter="0" w:header="0" w:top="192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charset w:val="86"/>
    <w:family w:val="auto"/>
    <w:pitch w:val="variable"/>
  </w:font>
  <w:font w:name="黑体">
    <w:altName w:val="SimHei"/>
    <w:charset w:val="86"/>
    <w:family w:val="modern"/>
    <w:pitch w:val="default"/>
  </w:font>
  <w:font w:name="??_GB2312">
    <w:altName w:val="???????"/>
    <w:charset w:val="00" w:characterSet="windows-1252"/>
    <w:family w:val="roman"/>
    <w:pitch w:val="default"/>
  </w:font>
  <w:font w:name="宋体">
    <w:altName w:val="SimSun"/>
    <w:charset w:val="86"/>
    <w:family w:val="auto"/>
    <w:pitch w:val="variable"/>
  </w:font>
  <w:font w:name="楷体_GB2312">
    <w:charset w:val="86"/>
    <w:family w:val="modern"/>
    <w:pitch w:val="default"/>
  </w:font>
  <w:font w:name="??">
    <w:altName w:val="???????"/>
    <w:charset w:val="00" w:characterSet="windows-1252"/>
    <w:family w:val="roman"/>
    <w:pitch w:val="default"/>
  </w:font>
  <w:font w:name="Cambria">
    <w:charset w:val="00" w:characterSet="windows-1252"/>
    <w:family w:val="roman"/>
    <w:pitch w:val="variable"/>
  </w:font>
  <w:font w:name="等线">
    <w:altName w:val="DengXian"/>
    <w:charset w:val="86"/>
    <w:family w:val="auto"/>
    <w:pitch w:val="variable"/>
  </w:font>
  <w:font w:name="仿宋_GB2312">
    <w:charset w:val="86"/>
    <w:family w:val="modern"/>
    <w:pitch w:val="default"/>
  </w:font>
  <w:font w:name="方正小标宋简体">
    <w:charset w:val="86"/>
    <w:family w:val="script"/>
    <w:pitch w:val="default"/>
  </w:font>
  <w:font w:name="Calibri">
    <w:charset w:val="00" w:characterSet="windows-1252"/>
    <w:family w:val="swiss"/>
    <w:pitch w:val="variable"/>
  </w:font>
  <w:font w:name="FZ Extra BSK">
    <w:altName w:val="Adobe 黑体 Std R"/>
    <w:charset w:val="86"/>
    <w:family w:val="swiss"/>
    <w:pitch w:val="default"/>
  </w:font>
  <w:font w:name="方正楷体_GBK">
    <w:charset w:val="86"/>
    <w:family w:val="script"/>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color w:val="FFFFFF"/>
        <w:sz w:val="28"/>
        <w:szCs w:val="28"/>
      </w:rPr>
      <w:t>—</w:t>
    </w:r>
    <w:r>
      <w:rPr>
        <w:rFonts w:cs="宋体;SimSun" w:hint="eastAsia" w:ascii="宋体;SimSun" w:hAnsi="宋体;SimSun"/>
        <w:sz w:val="28"/>
        <w:szCs w:val="28"/>
      </w:rPr>
      <w:t>—</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22</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w:t>
    </w:r>
    <w:r>
      <w:rPr>
        <w:rFonts w:cs="宋体;SimSun" w:hint="eastAsia" w:ascii="宋体;SimSun" w:hAnsi="宋体;SimSun"/>
        <w:color w:val="FFFFFF"/>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color w:val="FFFFFF"/>
        <w:sz w:val="28"/>
        <w:szCs w:val="28"/>
      </w:rPr>
      <w:t>—</w:t>
    </w:r>
    <w:r>
      <w:rPr>
        <w:rFonts w:cs="宋体;SimSun" w:hint="eastAsia" w:ascii="宋体;SimSun" w:hAnsi="宋体;SimSun"/>
        <w:sz w:val="28"/>
        <w:szCs w:val="28"/>
      </w:rPr>
      <w:t>—</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21</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w:t>
    </w:r>
    <w:r>
      <w:rPr>
        <w:rFonts w:cs="宋体;SimSun" w:hint="eastAsia" w:ascii="宋体;SimSun" w:hAnsi="宋体;SimSun"/>
        <w:color w:val="FFFFFF"/>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 w:hAnsi="等线 Light" w:eastAsia="等线 Light" w:cs="等线 Light"/>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WW8Num5z0">
    <w:name w:val="WW8Num5z0"/>
    <w:qFormat/>
    <w:rPr>
      <w:rFonts w:cs="Times New Roman"/>
    </w:rPr>
  </w:style>
  <w:style w:type="character" w:styleId="WW8Num7z0">
    <w:name w:val="WW8Num7z0"/>
    <w:qFormat/>
    <w:rPr>
      <w:rFonts w:cs="Times New Roman"/>
    </w:rPr>
  </w:style>
  <w:style w:type="character" w:styleId="WW8Num9z0">
    <w:name w:val="WW8Num9z0"/>
    <w:qFormat/>
    <w:rPr>
      <w:rFonts w:hint="eastAsia"/>
    </w:rPr>
  </w:style>
  <w:style w:type="character" w:styleId="Style11">
    <w:name w:val="默认段落字体"/>
    <w:qFormat/>
    <w:rPr/>
  </w:style>
  <w:style w:type="character" w:styleId="1CharChar">
    <w:name w:val="样式1 Char Char"/>
    <w:qFormat/>
    <w:rPr>
      <w:rFonts w:ascii="黑体;SimHei" w:hAnsi="黑体;SimHei" w:eastAsia="黑体;SimHei" w:cs="Courier New"/>
      <w:kern w:val="2"/>
      <w:sz w:val="32"/>
      <w:szCs w:val="32"/>
      <w:lang w:bidi="ar-SA"/>
    </w:rPr>
  </w:style>
  <w:style w:type="character" w:styleId="ca-41">
    <w:name w:val="ca-41"/>
    <w:qFormat/>
    <w:rPr>
      <w:rFonts w:ascii="??_GB2312;???????" w:hAnsi="??_GB2312;???????" w:eastAsia="??_GB2312;???????"/>
      <w:b w:val="false"/>
      <w:bCs w:val="false"/>
      <w:i w:val="false"/>
      <w:iCs w:val="false"/>
      <w:color w:val="000000"/>
      <w:sz w:val="32"/>
      <w:szCs w:val="32"/>
    </w:rPr>
  </w:style>
  <w:style w:type="character" w:styleId="ca-01">
    <w:name w:val="ca-01"/>
    <w:qFormat/>
    <w:rPr>
      <w:rFonts w:ascii="Times New Roman" w:hAnsi="Times New Roman" w:cs="Times New Roman"/>
      <w:b/>
      <w:bCs/>
      <w:i w:val="false"/>
      <w:iCs w:val="false"/>
      <w:color w:val="000000"/>
      <w:spacing w:val="-20"/>
      <w:sz w:val="44"/>
      <w:szCs w:val="44"/>
    </w:rPr>
  </w:style>
  <w:style w:type="character" w:styleId="CharChar1">
    <w:name w:val=" Char Char1"/>
    <w:qFormat/>
    <w:rPr>
      <w:rFonts w:ascii="宋体;SimSun" w:hAnsi="宋体;SimSun" w:eastAsia="宋体;SimSun" w:cs="Courier New"/>
      <w:kern w:val="2"/>
      <w:sz w:val="21"/>
      <w:szCs w:val="21"/>
      <w:lang w:bidi="ar-SA"/>
    </w:rPr>
  </w:style>
  <w:style w:type="character" w:styleId="CharChar2">
    <w:name w:val=" Char Char2"/>
    <w:qFormat/>
    <w:rPr>
      <w:rFonts w:ascii="黑体;SimHei" w:hAnsi="黑体;SimHei" w:eastAsia="黑体;SimHei"/>
      <w:sz w:val="32"/>
      <w:szCs w:val="24"/>
      <w:lang w:bidi="ar-SA"/>
    </w:rPr>
  </w:style>
  <w:style w:type="character" w:styleId="1Char">
    <w:name w:val="样式1 Char"/>
    <w:qFormat/>
    <w:rPr>
      <w:rFonts w:ascii="黑体;SimHei" w:hAnsi="黑体;SimHei" w:eastAsia="黑体;SimHei" w:cs="Courier New"/>
      <w:kern w:val="2"/>
      <w:sz w:val="32"/>
      <w:szCs w:val="32"/>
      <w:lang w:bidi="ar-SA"/>
    </w:rPr>
  </w:style>
  <w:style w:type="character" w:styleId="Char">
    <w:name w:val="纯文本 Char"/>
    <w:qFormat/>
    <w:rPr>
      <w:rFonts w:ascii="宋体;SimSun" w:hAnsi="宋体;SimSun" w:eastAsia="宋体;SimSun" w:cs="Courier New"/>
      <w:kern w:val="2"/>
      <w:sz w:val="21"/>
      <w:szCs w:val="21"/>
      <w:lang w:bidi="ar-SA"/>
    </w:rPr>
  </w:style>
  <w:style w:type="character" w:styleId="2Char">
    <w:name w:val="样式2 Char"/>
    <w:qFormat/>
    <w:rPr>
      <w:rFonts w:ascii="楷体_GB2312" w:hAnsi="楷体_GB2312" w:eastAsia="楷体_GB2312" w:cs="Courier New"/>
      <w:kern w:val="2"/>
      <w:sz w:val="32"/>
      <w:szCs w:val="32"/>
      <w:lang w:bidi="ar-SA"/>
    </w:rPr>
  </w:style>
  <w:style w:type="character" w:styleId="Strong">
    <w:name w:val="Strong"/>
    <w:qFormat/>
    <w:rPr>
      <w:rFonts w:eastAsia="仿宋_GB2312"/>
      <w:sz w:val="32"/>
      <w:szCs w:val="32"/>
    </w:rPr>
  </w:style>
  <w:style w:type="character" w:styleId="CharChar7">
    <w:name w:val=" Char Char7"/>
    <w:qFormat/>
    <w:rPr>
      <w:rFonts w:ascii="宋体;SimSun" w:hAnsi="宋体;SimSun" w:eastAsia="宋体;SimSun" w:cs="Courier New" w:hint="eastAsia"/>
      <w:kern w:val="2"/>
      <w:sz w:val="21"/>
      <w:szCs w:val="21"/>
      <w:lang w:bidi="ar"/>
    </w:rPr>
  </w:style>
  <w:style w:type="character" w:styleId="CharChar">
    <w:name w:val=" Char Char"/>
    <w:qFormat/>
    <w:rPr>
      <w:rFonts w:ascii="宋体;SimSun" w:hAnsi="宋体;SimSun" w:eastAsia="宋体;SimSun" w:cs="Courier New"/>
      <w:kern w:val="2"/>
      <w:sz w:val="21"/>
      <w:szCs w:val="21"/>
      <w:lang w:bidi="ar-SA"/>
    </w:rPr>
  </w:style>
  <w:style w:type="character" w:styleId="PageNumber">
    <w:name w:val="page number"/>
    <w:basedOn w:val="Style11"/>
    <w:rPr/>
  </w:style>
  <w:style w:type="character" w:styleId="CharChar10">
    <w:name w:val=" Char Char10"/>
    <w:qFormat/>
    <w:rPr>
      <w:rFonts w:eastAsia="华文中宋;微软雅黑"/>
      <w:kern w:val="2"/>
      <w:sz w:val="44"/>
      <w:szCs w:val="24"/>
      <w:lang w:bidi="ar-SA"/>
    </w:rPr>
  </w:style>
  <w:style w:type="character" w:styleId="ca-11">
    <w:name w:val="ca-11"/>
    <w:qFormat/>
    <w:rPr>
      <w:rFonts w:ascii="??;???????" w:hAnsi="??;???????" w:eastAsia="??;???????"/>
      <w:b/>
      <w:bCs/>
      <w:i w:val="false"/>
      <w:iCs w:val="false"/>
      <w:color w:val="000000"/>
      <w:spacing w:val="-20"/>
      <w:sz w:val="44"/>
      <w:szCs w:val="44"/>
    </w:rPr>
  </w:style>
  <w:style w:type="character" w:styleId="CharChar6">
    <w:name w:val=" Char Char6"/>
    <w:qFormat/>
    <w:rPr>
      <w:rFonts w:ascii="Cambria" w:hAnsi="Cambria" w:eastAsia="宋体;SimSun" w:cs="Cambria"/>
      <w:b/>
      <w:bCs/>
      <w:sz w:val="32"/>
      <w:szCs w:val="32"/>
      <w:lang w:bidi="ar-SA"/>
    </w:rPr>
  </w:style>
  <w:style w:type="character" w:styleId="apple-converted-space">
    <w:name w:val="apple-converted-space"/>
    <w:basedOn w:val="Style11"/>
    <w:qFormat/>
    <w:rPr/>
  </w:style>
  <w:style w:type="character" w:styleId="Hyperlink">
    <w:name w:val="Hyperlink"/>
    <w:rPr>
      <w:color w:val="0000FF"/>
      <w:u w:val="single"/>
    </w:rPr>
  </w:style>
  <w:style w:type="character" w:styleId="CharChar5">
    <w:name w:val=" Char Char5"/>
    <w:qFormat/>
    <w:rPr>
      <w:kern w:val="2"/>
      <w:sz w:val="18"/>
      <w:szCs w:val="18"/>
    </w:rPr>
  </w:style>
  <w:style w:type="character" w:styleId="CharChar8">
    <w:name w:val=" Char Char8"/>
    <w:qFormat/>
    <w:rPr>
      <w:kern w:val="2"/>
      <w:sz w:val="18"/>
      <w:szCs w:val="18"/>
    </w:rPr>
  </w:style>
  <w:style w:type="character" w:styleId="CharChar12">
    <w:name w:val=" Char Char12"/>
    <w:qFormat/>
    <w:rPr>
      <w:rFonts w:ascii="等线 Light" w:hAnsi="等线 Light" w:eastAsia="等线 Light" w:cs="等线 Light"/>
      <w:b/>
      <w:bCs/>
      <w:kern w:val="2"/>
      <w:sz w:val="32"/>
      <w:szCs w:val="32"/>
    </w:rPr>
  </w:style>
  <w:style w:type="character" w:styleId="CharChar11">
    <w:name w:val=" Char Char11"/>
    <w:qFormat/>
    <w:rPr>
      <w:b/>
      <w:bCs/>
      <w:kern w:val="2"/>
      <w:sz w:val="32"/>
      <w:szCs w:val="32"/>
    </w:rPr>
  </w:style>
  <w:style w:type="character" w:styleId="CharChar13">
    <w:name w:val=" Char Char13"/>
    <w:qFormat/>
    <w:rPr>
      <w:b/>
      <w:bCs/>
      <w:kern w:val="2"/>
      <w:sz w:val="44"/>
      <w:szCs w:val="44"/>
    </w:rPr>
  </w:style>
  <w:style w:type="character" w:styleId="CharChar4">
    <w:name w:val=" Char Char4"/>
    <w:qFormat/>
    <w:rPr>
      <w:kern w:val="2"/>
      <w:sz w:val="21"/>
      <w:szCs w:val="24"/>
    </w:rPr>
  </w:style>
  <w:style w:type="character" w:styleId="CharChar9">
    <w:name w:val=" Char Char9"/>
    <w:qFormat/>
    <w:rPr>
      <w:rFonts w:eastAsia="仿宋_GB2312"/>
      <w:color w:val="000000"/>
      <w:kern w:val="2"/>
      <w:sz w:val="32"/>
      <w:szCs w:val="32"/>
      <w:lang w:val="zh-CN"/>
    </w:rPr>
  </w:style>
  <w:style w:type="character" w:styleId="CharChar3">
    <w:name w:val=" Char Char3"/>
    <w:qFormat/>
    <w:rPr>
      <w:rFonts w:ascii="等线;DengXian" w:hAnsi="等线;DengXian" w:eastAsia="等线;DengXian" w:cs="等线;DengXian"/>
      <w:color w:val="000000"/>
      <w:kern w:val="2"/>
      <w:sz w:val="21"/>
      <w:szCs w:val="22"/>
      <w:lang w:val="zh-CN"/>
    </w:rPr>
  </w:style>
  <w:style w:type="character" w:styleId="1">
    <w:name w:val="纯文本 字符1"/>
    <w:qFormat/>
    <w:rPr>
      <w:rFonts w:ascii="宋体;SimSun" w:hAnsi="宋体;SimSun" w:eastAsia="宋体;SimSun" w:cs="Times New Roman"/>
      <w:sz w:val="21"/>
    </w:rPr>
  </w:style>
  <w:style w:type="character" w:styleId="2">
    <w:name w:val="纯文本 字符2"/>
    <w:qFormat/>
    <w:rPr>
      <w:rFonts w:ascii="宋体;SimSun" w:hAnsi="宋体;SimSun" w:cs="Courier New"/>
    </w:rPr>
  </w:style>
  <w:style w:type="paragraph" w:styleId="Heading">
    <w:name w:val="Heading"/>
    <w:basedOn w:val="Normal"/>
    <w:next w:val="Normal"/>
    <w:qFormat/>
    <w:pPr>
      <w:spacing w:before="240" w:after="60"/>
      <w:jc w:val="center"/>
      <w:outlineLvl w:val="0"/>
    </w:pPr>
    <w:rPr>
      <w:rFonts w:ascii="Cambria" w:hAnsi="Cambria" w:cs="Cambria"/>
      <w:b/>
      <w:bCs/>
      <w:kern w:val="0"/>
      <w:sz w:val="32"/>
      <w:szCs w:val="32"/>
      <w:lang w:val="en-US" w:eastAsia="en-US"/>
    </w:rPr>
  </w:style>
  <w:style w:type="paragraph" w:styleId="BodyText">
    <w:name w:val="Body Text"/>
    <w:basedOn w:val="Normal"/>
    <w:pPr>
      <w:spacing w:lineRule="atLeast" w:line="100"/>
      <w:jc w:val="center"/>
    </w:pPr>
    <w:rPr>
      <w:rFonts w:eastAsia="华文中宋;微软雅黑"/>
      <w:sz w:val="44"/>
    </w:rPr>
  </w:style>
  <w:style w:type="paragraph" w:styleId="List">
    <w:name w:val="List"/>
    <w:basedOn w:val="Normal"/>
    <w:pPr>
      <w:ind w:hangingChars="200" w:startChars="0" w:start="0" w:endChars="0"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21">
    <w:name w:val="正文文本 2"/>
    <w:basedOn w:val="Normal"/>
    <w:qFormat/>
    <w:pPr>
      <w:spacing w:lineRule="auto" w:line="480" w:before="0" w:after="120"/>
    </w:pPr>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Style12">
    <w:name w:val="纯文本"/>
    <w:basedOn w:val="Normal"/>
    <w:qFormat/>
    <w:pPr/>
    <w:rPr>
      <w:rFonts w:ascii="宋体;SimSun" w:hAnsi="宋体;SimSun" w:cs="Courier New"/>
      <w:szCs w:val="21"/>
    </w:rPr>
  </w:style>
  <w:style w:type="paragraph" w:styleId="22">
    <w:name w:val="样式2"/>
    <w:basedOn w:val="Style12"/>
    <w:qFormat/>
    <w:pPr>
      <w:snapToGrid w:val="false"/>
      <w:spacing w:lineRule="exact" w:line="610"/>
      <w:ind w:firstLineChars="200" w:startChars="0" w:start="0" w:endChars="0" w:end="0"/>
    </w:pPr>
    <w:rPr>
      <w:rFonts w:ascii="楷体_GB2312" w:hAnsi="楷体_GB2312" w:eastAsia="楷体_GB2312" w:cs="Times New Roman"/>
      <w:kern w:val="0"/>
      <w:sz w:val="32"/>
      <w:szCs w:val="32"/>
    </w:rPr>
  </w:style>
  <w:style w:type="paragraph" w:styleId="Char1">
    <w:name w:val="Char"/>
    <w:basedOn w:val="Normal"/>
    <w:qFormat/>
    <w:pPr/>
    <w:rPr/>
  </w:style>
  <w:style w:type="paragraph" w:styleId="p16">
    <w:name w:val="p16"/>
    <w:basedOn w:val="Normal"/>
    <w:qFormat/>
    <w:pPr>
      <w:widowControl/>
    </w:pPr>
    <w:rPr>
      <w:kern w:val="0"/>
      <w:szCs w:val="21"/>
    </w:rPr>
  </w:style>
  <w:style w:type="paragraph" w:styleId="Style13">
    <w:name w:val="日期"/>
    <w:basedOn w:val="Normal"/>
    <w:next w:val="Normal"/>
    <w:qFormat/>
    <w:pPr>
      <w:ind w:firstLineChars="0" w:firstLine="0" w:startChars="2500" w:endChars="0" w:end="0"/>
    </w:pPr>
    <w:rPr>
      <w:rFonts w:ascii="仿宋_GB2312" w:hAnsi="仿宋_GB2312"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1">
    <w:name w:val="样式1"/>
    <w:basedOn w:val="Style12"/>
    <w:qFormat/>
    <w:pPr>
      <w:snapToGrid w:val="false"/>
      <w:spacing w:lineRule="exact" w:line="610"/>
      <w:ind w:firstLineChars="200" w:startChars="0" w:start="0" w:endChars="0" w:end="0"/>
    </w:pPr>
    <w:rPr>
      <w:rFonts w:ascii="黑体;SimHei" w:hAnsi="黑体;SimHei" w:eastAsia="黑体;SimHei"/>
      <w:sz w:val="32"/>
      <w:szCs w:val="32"/>
    </w:rPr>
  </w:style>
  <w:style w:type="paragraph" w:styleId="BodyTextIndent">
    <w:name w:val="Body Text Indent"/>
    <w:basedOn w:val="Normal"/>
    <w:pPr>
      <w:ind w:firstLineChars="200" w:startChars="0" w:start="0" w:endChars="0" w:end="0"/>
    </w:pPr>
    <w:rPr>
      <w:rFonts w:eastAsia="仿宋_GB2312"/>
      <w:color w:val="000000"/>
      <w:sz w:val="32"/>
      <w:szCs w:val="32"/>
      <w:lang w:val="zh-CN"/>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CharCharCharCharCharCharCharCharCharChar">
    <w:name w:val="Char Char Char Char Char Char Char Char Char Char"/>
    <w:basedOn w:val="Normal"/>
    <w:qFormat/>
    <w:pPr/>
    <w:rPr/>
  </w:style>
  <w:style w:type="paragraph" w:styleId="content-parag">
    <w:name w:val="content-parag"/>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New">
    <w:name w:val="纯文本 New"/>
    <w:basedOn w:val="Normal"/>
    <w:qFormat/>
    <w:pPr/>
    <w:rPr>
      <w:rFonts w:ascii="宋体;SimSun" w:hAnsi="宋体;SimSun" w:cs="Courier New" w:hint="eastAsia"/>
      <w:szCs w:val="20"/>
    </w:rPr>
  </w:style>
  <w:style w:type="paragraph" w:styleId="5">
    <w:name w:val="样式5"/>
    <w:basedOn w:val="11"/>
    <w:qFormat/>
    <w:pPr>
      <w:ind w:firstLineChars="0" w:firstLine="0" w:startChars="0" w:start="0" w:endChars="0" w:end="0"/>
      <w:jc w:val="center"/>
    </w:pPr>
    <w:rPr/>
  </w:style>
  <w:style w:type="paragraph" w:styleId="Style15">
    <w:name w:val="列出段落"/>
    <w:basedOn w:val="Normal"/>
    <w:qFormat/>
    <w:pPr>
      <w:ind w:firstLineChars="200" w:startChars="0" w:start="0" w:endChars="0" w:end="0"/>
    </w:pPr>
    <w:rPr/>
  </w:style>
  <w:style w:type="paragraph" w:styleId="NewNewNewNewNewNewNew">
    <w:name w:val="正文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1">
    <w:name w:val="正文 New"/>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paragraph" w:styleId="CharCharCharCharCharCharChar">
    <w:name w:val="Char Char Char Char Char Char Char"/>
    <w:basedOn w:val="Normal"/>
    <w:qFormat/>
    <w:pPr/>
    <w:rPr/>
  </w:style>
  <w:style w:type="paragraph" w:styleId="Char2">
    <w:name w:val=" Char"/>
    <w:basedOn w:val="Normal"/>
    <w:qFormat/>
    <w:pPr/>
    <w:rPr/>
  </w:style>
  <w:style w:type="paragraph" w:styleId="CharCharCharChar">
    <w:name w:val=" Char Char Char Char"/>
    <w:basedOn w:val="Normal"/>
    <w:qFormat/>
    <w:pPr/>
    <w:rPr/>
  </w:style>
  <w:style w:type="paragraph" w:styleId="reader-word-layerreader-word-s1-2">
    <w:name w:val="reader-word-layer reader-word-s1-2"/>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NewNewNewNewNewNewNewNewNew">
    <w:name w:val="正文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CharCharChar">
    <w:name w:val="Char Char Char"/>
    <w:basedOn w:val="Normal"/>
    <w:qFormat/>
    <w:pPr/>
    <w:rPr>
      <w:rFonts w:eastAsia="仿宋_GB2312"/>
      <w:sz w:val="32"/>
      <w:szCs w:val="20"/>
    </w:rPr>
  </w:style>
  <w:style w:type="paragraph" w:styleId="4">
    <w:name w:val="样式4"/>
    <w:basedOn w:val="Style12"/>
    <w:qFormat/>
    <w:pPr>
      <w:snapToGrid w:val="false"/>
      <w:spacing w:lineRule="exact" w:line="610"/>
      <w:jc w:val="center"/>
    </w:pPr>
    <w:rPr>
      <w:rFonts w:ascii="方正小标宋简体" w:hAnsi="方正小标宋简体" w:eastAsia="方正小标宋简体" w:cs="Times New Roman"/>
      <w:kern w:val="0"/>
      <w:sz w:val="44"/>
      <w:szCs w:val="44"/>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方正仿宋_GBK" w:cs="Calibri"/>
      <w:color w:val="auto"/>
      <w:kern w:val="2"/>
      <w:sz w:val="32"/>
      <w:szCs w:val="24"/>
      <w:lang w:bidi="ar-SA" w:val="en-US" w:eastAsia="zh-CN"/>
    </w:rPr>
  </w:style>
  <w:style w:type="paragraph" w:styleId="NewNew">
    <w:name w:val="正文 New New"/>
    <w:qFormat/>
    <w:pPr>
      <w:widowControl w:val="false"/>
      <w:bidi w:val="0"/>
      <w:jc w:val="both"/>
    </w:pPr>
    <w:rPr>
      <w:rFonts w:ascii="Calibri" w:hAnsi="Calibri" w:eastAsia="宋体;SimSun" w:cs="Calibri"/>
      <w:color w:val="auto"/>
      <w:kern w:val="2"/>
      <w:sz w:val="21"/>
      <w:szCs w:val="22"/>
      <w:lang w:bidi="ar-SA" w:val="en-US" w:eastAsia="zh-CN"/>
    </w:rPr>
  </w:style>
  <w:style w:type="paragraph" w:styleId="3">
    <w:name w:val="样式3"/>
    <w:basedOn w:val="Normal"/>
    <w:qFormat/>
    <w:pPr>
      <w:snapToGrid w:val="false"/>
      <w:spacing w:lineRule="exact" w:line="592"/>
      <w:jc w:val="center"/>
    </w:pPr>
    <w:rPr>
      <w:rFonts w:ascii="宋体;SimSun" w:hAnsi="宋体;SimSun" w:cs="宋体;SimSun"/>
      <w:sz w:val="44"/>
      <w:szCs w:val="44"/>
    </w:rPr>
  </w:style>
  <w:style w:type="paragraph" w:styleId="7">
    <w:name w:val="样式7"/>
    <w:basedOn w:val="Normal"/>
    <w:qFormat/>
    <w:pPr>
      <w:snapToGrid w:val="false"/>
      <w:spacing w:lineRule="exact" w:line="592"/>
      <w:ind w:firstLineChars="0" w:firstLine="0" w:startChars="200" w:endChars="200"/>
    </w:pPr>
    <w:rPr>
      <w:rFonts w:eastAsia="楷体_GB2312"/>
      <w:color w:val="222222"/>
      <w:kern w:val="0"/>
      <w:sz w:val="32"/>
      <w:szCs w:val="32"/>
    </w:rPr>
  </w:style>
  <w:style w:type="paragraph" w:styleId="Style16">
    <w:name w:val="引文目录标题"/>
    <w:basedOn w:val="Normal"/>
    <w:next w:val="Normal"/>
    <w:qFormat/>
    <w:pPr>
      <w:spacing w:before="120" w:after="0"/>
    </w:pPr>
    <w:rPr>
      <w:rFonts w:ascii="Arial" w:hAnsi="Arial" w:eastAsia="仿宋_GB2312" w:cs="Arial"/>
      <w:sz w:val="24"/>
    </w:rPr>
  </w:style>
  <w:style w:type="paragraph" w:styleId="NoSpacing1">
    <w:name w:val="No Spacing1"/>
    <w:qFormat/>
    <w:pPr>
      <w:widowControl w:val="false"/>
      <w:bidi w:val="0"/>
      <w:jc w:val="both"/>
    </w:pPr>
    <w:rPr>
      <w:rFonts w:ascii="Times New Roman" w:hAnsi="Times New Roman" w:eastAsia="宋体;SimSun" w:cs="Times New Roman"/>
      <w:color w:val="auto"/>
      <w:kern w:val="2"/>
      <w:sz w:val="30"/>
      <w:szCs w:val="30"/>
      <w:lang w:bidi="ar-SA" w:val="en-US" w:eastAsia="zh-CN"/>
    </w:rPr>
  </w:style>
  <w:style w:type="paragraph" w:styleId="Style17">
    <w:name w:val="批注框文本"/>
    <w:basedOn w:val="Normal"/>
    <w:qFormat/>
    <w:pPr/>
    <w:rPr>
      <w:sz w:val="18"/>
      <w:szCs w:val="18"/>
    </w:rPr>
  </w:style>
  <w:style w:type="paragraph" w:styleId="Style18">
    <w:name w:val="正文缩进"/>
    <w:basedOn w:val="Normal"/>
    <w:qFormat/>
    <w:pPr>
      <w:ind w:firstLineChars="200" w:startChars="0" w:start="0" w:endChars="0" w:end="0"/>
    </w:pPr>
    <w:rPr>
      <w:szCs w:val="22"/>
    </w:rPr>
  </w:style>
  <w:style w:type="paragraph" w:styleId="Style81">
    <w:name w:val="_Style 8"/>
    <w:basedOn w:val="Normal"/>
    <w:qFormat/>
    <w:pPr/>
    <w:rPr/>
  </w:style>
  <w:style w:type="paragraph" w:styleId="Default">
    <w:name w:val="Default"/>
    <w:qFormat/>
    <w:pPr>
      <w:widowControl w:val="false"/>
      <w:autoSpaceDE w:val="false"/>
      <w:bidi w:val="0"/>
    </w:pPr>
    <w:rPr>
      <w:rFonts w:ascii="FZ Extra BSK;Adobe 黑体 Std R" w:hAnsi="FZ Extra BSK;Adobe 黑体 Std R" w:eastAsia="FZ Extra BSK;Adobe 黑体 Std R" w:cs="FZ Extra BSK;Adobe 黑体 Std R"/>
      <w:color w:val="000000"/>
      <w:sz w:val="24"/>
      <w:szCs w:val="24"/>
      <w:lang w:bidi="ar-SA" w:val="en-US" w:eastAsia="zh-CN"/>
    </w:rPr>
  </w:style>
  <w:style w:type="paragraph" w:styleId="CM35">
    <w:name w:val="CM35"/>
    <w:basedOn w:val="Default"/>
    <w:next w:val="Default"/>
    <w:qFormat/>
    <w:pPr>
      <w:spacing w:before="0" w:after="618"/>
    </w:pPr>
    <w:rPr/>
  </w:style>
  <w:style w:type="paragraph" w:styleId="23">
    <w:name w:val="正文文本缩进 2"/>
    <w:basedOn w:val="Normal"/>
    <w:qFormat/>
    <w:pPr>
      <w:spacing w:lineRule="auto" w:line="480" w:before="0" w:after="120"/>
      <w:ind w:firstLineChars="0" w:firstLine="0" w:startChars="200" w:endChars="0" w:end="0"/>
    </w:pPr>
    <w:rPr/>
  </w:style>
  <w:style w:type="paragraph" w:styleId="24">
    <w:name w:val="正文首行缩进 2"/>
    <w:basedOn w:val="BodyTextIndent"/>
    <w:qFormat/>
    <w:pPr>
      <w:spacing w:before="0" w:after="120"/>
      <w:ind w:firstLineChars="200" w:startChars="200" w:endChars="0" w:end="0"/>
    </w:pPr>
    <w:rPr>
      <w:rFonts w:ascii="等线;DengXian" w:hAnsi="等线;DengXian" w:eastAsia="等线;DengXian" w:cs="等线;DengXian"/>
      <w:color w:val="000000"/>
      <w:sz w:val="21"/>
      <w:szCs w:val="22"/>
      <w:lang w:val="en-US"/>
    </w:rPr>
  </w:style>
  <w:style w:type="paragraph" w:styleId="12">
    <w:name w:val="样式Ｌ1"/>
    <w:basedOn w:val="Normal"/>
    <w:qFormat/>
    <w:pPr>
      <w:widowControl/>
      <w:spacing w:lineRule="exact" w:line="540"/>
    </w:pPr>
    <w:rPr>
      <w:rFonts w:ascii="宋体;SimSun" w:hAnsi="宋体;SimSun" w:cs="宋体;SimSun"/>
      <w:color w:val="000000"/>
      <w:kern w:val="0"/>
      <w:szCs w:val="32"/>
    </w:rPr>
  </w:style>
  <w:style w:type="paragraph" w:styleId="13">
    <w:name w:val="正文缩进1"/>
    <w:basedOn w:val="Normal"/>
    <w:qFormat/>
    <w:pPr>
      <w:ind w:firstLineChars="200" w:startChars="0" w:start="0" w:endChars="0" w:end="0"/>
    </w:pPr>
    <w:rPr/>
  </w:style>
  <w:style w:type="paragraph" w:styleId="Style19">
    <w:name w:val="引文目录"/>
    <w:basedOn w:val="Normal"/>
    <w:next w:val="Normal"/>
    <w:qFormat/>
    <w:pPr>
      <w:suppressAutoHyphens w:val="true"/>
      <w:ind w:firstLineChars="0" w:firstLine="0" w:startChars="200" w:endChars="0" w:end="0"/>
    </w:pPr>
    <w:rPr>
      <w:rFonts w:ascii="Calibri" w:hAnsi="Calibri" w:cs="Calibri"/>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szCs w:val="20"/>
    </w:rPr>
  </w:style>
  <w:style w:type="paragraph" w:styleId="TOC5">
    <w:name w:val="toc 5"/>
    <w:basedOn w:val="Normal"/>
    <w:next w:val="Normal"/>
    <w:pPr>
      <w:spacing w:lineRule="auto" w:line="360"/>
      <w:ind w:firstLineChars="200" w:startChars="800" w:endChars="0" w:end="0"/>
    </w:pPr>
    <w:rPr>
      <w:rFonts w:ascii="Calibri" w:hAnsi="Calibri" w:cs="Calibri"/>
      <w:sz w:val="32"/>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Calibri" w:hAnsi="Calibri" w:eastAsia="方正仿宋_GBK" w:cs="Calibri"/>
      <w:color w:val="auto"/>
      <w:kern w:val="2"/>
      <w:sz w:val="32"/>
      <w:szCs w:val="24"/>
      <w:lang w:bidi="ar-SA" w:val="en-US" w:eastAsia="zh-CN"/>
    </w:rPr>
  </w:style>
  <w:style w:type="paragraph" w:styleId="BodyText1I2">
    <w:name w:val="BodyText1I2"/>
    <w:basedOn w:val="Normal"/>
    <w:qFormat/>
    <w:pPr>
      <w:suppressAutoHyphens w:val="true"/>
      <w:spacing w:before="0" w:after="120"/>
      <w:ind w:firstLineChars="200" w:startChars="200" w:endChars="0" w:end="0"/>
      <w:textAlignment w:val="baseline"/>
    </w:pPr>
    <w:rPr>
      <w:rFonts w:ascii="Calibri" w:hAnsi="Calibri" w:cs="Calibri"/>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2022-12-26T15:56:00Z</dcterms:created>
  <dc:creator>微软用户</dc:creator>
  <dc:description/>
  <cp:keywords/>
  <dc:language>en-US</dc:language>
  <cp:lastModifiedBy>Sky123.Org</cp:lastModifiedBy>
  <cp:lastPrinted>2022-12-12T17:28:00Z</cp:lastPrinted>
  <dcterms:modified xsi:type="dcterms:W3CDTF">2022-12-26T15:56:00Z</dcterms:modified>
  <cp:revision>2</cp:revision>
  <dc:subject/>
  <dc:title>中共云南省人民代表大会常务委员会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