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suppressLineNumbers w:val="0"/>
        <w:shd w:fill="FFFFFF" w:val="clear"/>
        <w:kinsoku w:val="true"/>
        <w:overflowPunct w:val="true"/>
        <w:autoSpaceDE w:val="true"/>
        <w:bidi w:val="0"/>
        <w:snapToGrid w:val="false"/>
        <w:spacing w:lineRule="exact" w:line="560" w:before="0" w:after="0"/>
        <w:ind w:firstLineChars="400" w:startChars="0" w:start="0" w:endChars="0" w:end="0"/>
        <w:jc w:val="both"/>
        <w:textAlignment w:val="auto"/>
        <w:rPr>
          <w:rFonts w:ascii="宋体" w:hAnsi="宋体" w:eastAsia="宋体" w:cs="宋体" w:hint="eastAsia"/>
          <w:b/>
          <w:i w:val="false"/>
          <w:caps w:val="false"/>
          <w:smallCaps w:val="false"/>
          <w:color w:val="000000"/>
          <w:spacing w:val="0"/>
          <w:kern w:val="0"/>
          <w:sz w:val="32"/>
          <w:szCs w:val="32"/>
          <w:shd w:fill="FFFFFF" w:val="clear"/>
          <w:lang w:bidi="ar"/>
        </w:rPr>
      </w:pPr>
      <w:r>
        <w:rPr>
          <w:rFonts w:eastAsia="宋体" w:cs="宋体" w:hint="eastAsia" w:ascii="宋体" w:hAnsi="宋体"/>
          <w:b/>
          <w:i w:val="false"/>
          <w:caps w:val="false"/>
          <w:smallCaps w:val="false"/>
          <w:color w:val="000000"/>
          <w:spacing w:val="0"/>
          <w:kern w:val="0"/>
          <w:sz w:val="32"/>
          <w:szCs w:val="32"/>
          <w:shd w:fill="FFFFFF" w:val="clear"/>
          <w:lang w:bidi="ar"/>
        </w:rPr>
      </w:r>
    </w:p>
    <w:p>
      <w:pPr>
        <w:pStyle w:val="Normal"/>
        <w:keepNext w:val="false"/>
        <w:keepLines w:val="false"/>
        <w:pageBreakBefore w:val="false"/>
        <w:widowControl/>
        <w:suppressLineNumbers w:val="0"/>
        <w:shd w:fill="FFFFFF" w:val="clear"/>
        <w:kinsoku w:val="true"/>
        <w:overflowPunct w:val="true"/>
        <w:autoSpaceDE w:val="true"/>
        <w:bidi w:val="0"/>
        <w:snapToGrid w:val="false"/>
        <w:spacing w:lineRule="exact" w:line="560" w:before="0" w:after="0"/>
        <w:ind w:firstLineChars="400" w:startChars="0" w:start="0" w:endChars="0" w:end="0"/>
        <w:jc w:val="both"/>
        <w:textAlignment w:val="auto"/>
        <w:rPr>
          <w:b w:val="false"/>
          <w:bCs/>
        </w:rPr>
      </w:pPr>
      <w:r>
        <w:rPr>
          <w:rFonts w:ascii="宋体" w:hAnsi="宋体" w:cs="宋体" w:hint="eastAsia"/>
          <w:b w:val="false"/>
          <w:bCs/>
          <w:i w:val="false"/>
          <w:caps w:val="false"/>
          <w:smallCaps w:val="false"/>
          <w:color w:val="000000"/>
          <w:spacing w:val="0"/>
          <w:kern w:val="0"/>
          <w:sz w:val="44"/>
          <w:szCs w:val="44"/>
          <w:shd w:fill="FFFFFF" w:val="clear"/>
          <w:lang w:bidi="ar"/>
        </w:rPr>
        <w:t>承德市文明行为促进条例</w:t>
      </w:r>
    </w:p>
    <w:p>
      <w:pPr>
        <w:pStyle w:val="Normal"/>
        <w:keepNext w:val="false"/>
        <w:keepLines w:val="false"/>
        <w:pageBreakBefore w:val="false"/>
        <w:widowControl/>
        <w:suppressLineNumbers w:val="0"/>
        <w:shd w:fill="FFFFFF" w:val="clear"/>
        <w:kinsoku w:val="true"/>
        <w:overflowPunct w:val="true"/>
        <w:autoSpaceDE w:val="true"/>
        <w:bidi w:val="0"/>
        <w:snapToGrid w:val="false"/>
        <w:spacing w:lineRule="exact" w:line="480" w:before="0" w:after="0"/>
        <w:ind w:firstLineChars="200" w:startChars="0" w:start="0" w:endChars="0" w:end="0"/>
        <w:jc w:val="start"/>
        <w:textAlignment w:val="auto"/>
        <w:rPr>
          <w:rFonts w:ascii="楷体_GB2312;楷体" w:hAnsi="楷体_GB2312;楷体" w:eastAsia="楷体_GB2312;楷体" w:cs="楷体_GB2312;楷体" w:hint="eastAsia"/>
          <w:b w:val="false"/>
          <w:bCs/>
          <w:i w:val="false"/>
          <w:caps w:val="false"/>
          <w:smallCaps w:val="false"/>
          <w:color w:val="000000"/>
          <w:spacing w:val="0"/>
          <w:kern w:val="0"/>
          <w:sz w:val="32"/>
          <w:szCs w:val="32"/>
          <w:shd w:fill="FFFFFF" w:val="clear"/>
          <w:lang w:val="en" w:bidi="ar"/>
        </w:rPr>
      </w:pPr>
      <w:r>
        <w:rPr>
          <w:rFonts w:ascii="楷体_GB2312;楷体" w:hAnsi="楷体_GB2312;楷体" w:cs="楷体_GB2312;楷体" w:hint="eastAsia" w:eastAsia="楷体_GB2312;楷体"/>
          <w:b w:val="false"/>
          <w:bCs/>
          <w:i w:val="false"/>
          <w:caps w:val="false"/>
          <w:smallCaps w:val="false"/>
          <w:color w:val="000000"/>
          <w:spacing w:val="0"/>
          <w:kern w:val="0"/>
          <w:sz w:val="32"/>
          <w:szCs w:val="32"/>
          <w:shd w:fill="FFFFFF" w:val="clear"/>
          <w:lang w:bidi="ar"/>
        </w:rPr>
        <w:t>（</w:t>
      </w:r>
      <w:r>
        <w:rPr>
          <w:rFonts w:eastAsia="楷体_GB2312;楷体" w:cs="楷体_GB2312;楷体" w:hint="eastAsia" w:ascii="楷体_GB2312;楷体" w:hAnsi="楷体_GB2312;楷体"/>
          <w:b w:val="false"/>
          <w:bCs/>
          <w:i w:val="false"/>
          <w:caps w:val="false"/>
          <w:smallCaps w:val="false"/>
          <w:color w:val="000000"/>
          <w:spacing w:val="0"/>
          <w:kern w:val="0"/>
          <w:sz w:val="32"/>
          <w:szCs w:val="32"/>
          <w:shd w:fill="FFFFFF" w:val="clear"/>
          <w:lang w:val="en" w:bidi="ar"/>
        </w:rPr>
        <w:t>2021</w:t>
      </w:r>
      <w:r>
        <w:rPr>
          <w:rFonts w:ascii="楷体_GB2312;楷体" w:hAnsi="楷体_GB2312;楷体" w:cs="楷体_GB2312;楷体" w:hint="eastAsia" w:eastAsia="楷体_GB2312;楷体"/>
          <w:b w:val="false"/>
          <w:bCs/>
          <w:i w:val="false"/>
          <w:caps w:val="false"/>
          <w:smallCaps w:val="false"/>
          <w:color w:val="000000"/>
          <w:spacing w:val="0"/>
          <w:kern w:val="0"/>
          <w:sz w:val="32"/>
          <w:szCs w:val="32"/>
          <w:shd w:fill="FFFFFF" w:val="clear"/>
          <w:lang w:val="en" w:bidi="ar"/>
        </w:rPr>
        <w:t>年</w:t>
      </w:r>
      <w:r>
        <w:rPr>
          <w:rFonts w:eastAsia="楷体_GB2312;楷体" w:cs="楷体_GB2312;楷体" w:hint="eastAsia" w:ascii="楷体_GB2312;楷体" w:hAnsi="楷体_GB2312;楷体"/>
          <w:b w:val="false"/>
          <w:bCs/>
          <w:i w:val="false"/>
          <w:caps w:val="false"/>
          <w:smallCaps w:val="false"/>
          <w:color w:val="000000"/>
          <w:spacing w:val="0"/>
          <w:kern w:val="0"/>
          <w:sz w:val="32"/>
          <w:szCs w:val="32"/>
          <w:shd w:fill="FFFFFF" w:val="clear"/>
          <w:lang w:bidi="ar"/>
        </w:rPr>
        <w:t>10</w:t>
      </w:r>
      <w:r>
        <w:rPr>
          <w:rFonts w:ascii="楷体_GB2312;楷体" w:hAnsi="楷体_GB2312;楷体" w:cs="楷体_GB2312;楷体" w:hint="eastAsia" w:eastAsia="楷体_GB2312;楷体"/>
          <w:b w:val="false"/>
          <w:bCs/>
          <w:i w:val="false"/>
          <w:caps w:val="false"/>
          <w:smallCaps w:val="false"/>
          <w:color w:val="000000"/>
          <w:spacing w:val="0"/>
          <w:kern w:val="0"/>
          <w:sz w:val="32"/>
          <w:szCs w:val="32"/>
          <w:shd w:fill="FFFFFF" w:val="clear"/>
          <w:lang w:val="en" w:bidi="ar"/>
        </w:rPr>
        <w:t>月</w:t>
      </w:r>
      <w:r>
        <w:rPr>
          <w:rFonts w:eastAsia="楷体_GB2312;楷体" w:cs="楷体_GB2312;楷体" w:hint="eastAsia" w:ascii="楷体_GB2312;楷体" w:hAnsi="楷体_GB2312;楷体"/>
          <w:b w:val="false"/>
          <w:bCs/>
          <w:i w:val="false"/>
          <w:caps w:val="false"/>
          <w:smallCaps w:val="false"/>
          <w:color w:val="000000"/>
          <w:spacing w:val="0"/>
          <w:kern w:val="0"/>
          <w:sz w:val="32"/>
          <w:szCs w:val="32"/>
          <w:shd w:fill="FFFFFF" w:val="clear"/>
          <w:lang w:bidi="ar"/>
        </w:rPr>
        <w:t>27</w:t>
      </w:r>
      <w:r>
        <w:rPr>
          <w:rFonts w:ascii="楷体_GB2312;楷体" w:hAnsi="楷体_GB2312;楷体" w:cs="楷体_GB2312;楷体" w:hint="eastAsia" w:eastAsia="楷体_GB2312;楷体"/>
          <w:b w:val="false"/>
          <w:bCs/>
          <w:i w:val="false"/>
          <w:caps w:val="false"/>
          <w:smallCaps w:val="false"/>
          <w:color w:val="000000"/>
          <w:spacing w:val="0"/>
          <w:kern w:val="0"/>
          <w:sz w:val="32"/>
          <w:szCs w:val="32"/>
          <w:shd w:fill="FFFFFF" w:val="clear"/>
          <w:lang w:val="en" w:bidi="ar"/>
        </w:rPr>
        <w:t>日承德市第十五届人民代表大会</w:t>
      </w:r>
    </w:p>
    <w:p>
      <w:pPr>
        <w:pStyle w:val="Normal"/>
        <w:keepNext w:val="false"/>
        <w:keepLines w:val="false"/>
        <w:pageBreakBefore w:val="false"/>
        <w:widowControl/>
        <w:suppressLineNumbers w:val="0"/>
        <w:shd w:fill="FFFFFF" w:val="clear"/>
        <w:kinsoku w:val="true"/>
        <w:overflowPunct w:val="true"/>
        <w:autoSpaceDE w:val="true"/>
        <w:bidi w:val="0"/>
        <w:snapToGrid w:val="false"/>
        <w:spacing w:lineRule="exact" w:line="480" w:before="0" w:after="0"/>
        <w:ind w:firstLineChars="0" w:firstLine="0" w:startChars="304" w:endChars="0" w:end="0"/>
        <w:jc w:val="start"/>
        <w:textAlignment w:val="auto"/>
        <w:rPr>
          <w:rFonts w:ascii="楷体_GB2312;楷体" w:hAnsi="楷体_GB2312;楷体" w:eastAsia="楷体_GB2312;楷体" w:cs="楷体_GB2312;楷体" w:hint="eastAsia"/>
          <w:b w:val="false"/>
          <w:bCs/>
          <w:i w:val="false"/>
          <w:caps w:val="false"/>
          <w:smallCaps w:val="false"/>
          <w:color w:val="000000"/>
          <w:spacing w:val="0"/>
          <w:kern w:val="0"/>
          <w:sz w:val="32"/>
          <w:szCs w:val="32"/>
          <w:shd w:fill="FFFFFF" w:val="clear"/>
          <w:lang w:val="en" w:bidi="ar"/>
        </w:rPr>
      </w:pPr>
      <w:r>
        <w:rPr>
          <w:rFonts w:ascii="楷体_GB2312;楷体" w:hAnsi="楷体_GB2312;楷体" w:cs="楷体_GB2312;楷体" w:hint="eastAsia" w:eastAsia="楷体_GB2312;楷体"/>
          <w:b w:val="false"/>
          <w:bCs/>
          <w:i w:val="false"/>
          <w:caps w:val="false"/>
          <w:smallCaps w:val="false"/>
          <w:color w:val="000000"/>
          <w:spacing w:val="-11"/>
          <w:kern w:val="0"/>
          <w:sz w:val="32"/>
          <w:szCs w:val="32"/>
          <w:shd w:fill="FFFFFF" w:val="clear"/>
          <w:lang w:val="en" w:bidi="ar"/>
        </w:rPr>
        <w:t>常务委员会第二次会议通</w:t>
      </w:r>
      <w:r>
        <w:rPr>
          <w:rFonts w:ascii="楷体_GB2312;楷体" w:hAnsi="楷体_GB2312;楷体" w:cs="楷体_GB2312;楷体" w:hint="eastAsia" w:eastAsia="楷体_GB2312;楷体"/>
          <w:b w:val="false"/>
          <w:bCs/>
          <w:i w:val="false"/>
          <w:caps w:val="false"/>
          <w:smallCaps w:val="false"/>
          <w:color w:val="000000"/>
          <w:spacing w:val="-11"/>
          <w:kern w:val="0"/>
          <w:sz w:val="32"/>
          <w:szCs w:val="32"/>
          <w:shd w:fill="FFFFFF" w:val="clear"/>
          <w:lang w:bidi="ar"/>
        </w:rPr>
        <w:t xml:space="preserve">过    </w:t>
      </w:r>
      <w:r>
        <w:rPr>
          <w:rFonts w:eastAsia="楷体_GB2312;楷体" w:cs="楷体_GB2312;楷体" w:hint="eastAsia" w:ascii="楷体_GB2312;楷体" w:hAnsi="楷体_GB2312;楷体"/>
          <w:b w:val="false"/>
          <w:bCs/>
          <w:i w:val="false"/>
          <w:caps w:val="false"/>
          <w:smallCaps w:val="false"/>
          <w:color w:val="000000"/>
          <w:spacing w:val="-11"/>
          <w:kern w:val="0"/>
          <w:sz w:val="32"/>
          <w:szCs w:val="32"/>
          <w:shd w:fill="FFFFFF" w:val="clear"/>
          <w:lang w:bidi="ar"/>
        </w:rPr>
        <w:t>2021</w:t>
      </w:r>
      <w:r>
        <w:rPr>
          <w:rFonts w:ascii="楷体_GB2312;楷体" w:hAnsi="楷体_GB2312;楷体" w:cs="楷体_GB2312;楷体" w:hint="eastAsia" w:eastAsia="楷体_GB2312;楷体"/>
          <w:b w:val="false"/>
          <w:bCs/>
          <w:i w:val="false"/>
          <w:caps w:val="false"/>
          <w:smallCaps w:val="false"/>
          <w:color w:val="000000"/>
          <w:spacing w:val="-11"/>
          <w:kern w:val="0"/>
          <w:sz w:val="32"/>
          <w:szCs w:val="32"/>
          <w:shd w:fill="FFFFFF" w:val="clear"/>
          <w:lang w:bidi="ar"/>
        </w:rPr>
        <w:t>年</w:t>
      </w:r>
      <w:r>
        <w:rPr>
          <w:rFonts w:eastAsia="楷体_GB2312;楷体" w:cs="楷体_GB2312;楷体" w:hint="eastAsia" w:ascii="楷体_GB2312;楷体" w:hAnsi="楷体_GB2312;楷体"/>
          <w:b w:val="false"/>
          <w:bCs/>
          <w:i w:val="false"/>
          <w:caps w:val="false"/>
          <w:smallCaps w:val="false"/>
          <w:color w:val="000000"/>
          <w:spacing w:val="-11"/>
          <w:kern w:val="0"/>
          <w:sz w:val="32"/>
          <w:szCs w:val="32"/>
          <w:shd w:fill="FFFFFF" w:val="clear"/>
          <w:lang w:bidi="ar"/>
        </w:rPr>
        <w:t>11</w:t>
      </w:r>
      <w:r>
        <w:rPr>
          <w:rFonts w:ascii="楷体_GB2312;楷体" w:hAnsi="楷体_GB2312;楷体" w:cs="楷体_GB2312;楷体" w:hint="eastAsia" w:eastAsia="楷体_GB2312;楷体"/>
          <w:b w:val="false"/>
          <w:bCs/>
          <w:i w:val="false"/>
          <w:caps w:val="false"/>
          <w:smallCaps w:val="false"/>
          <w:color w:val="000000"/>
          <w:spacing w:val="-11"/>
          <w:kern w:val="0"/>
          <w:sz w:val="32"/>
          <w:szCs w:val="32"/>
          <w:shd w:fill="FFFFFF" w:val="clear"/>
          <w:lang w:bidi="ar"/>
        </w:rPr>
        <w:t>月</w:t>
      </w:r>
      <w:r>
        <w:rPr>
          <w:rFonts w:eastAsia="楷体_GB2312;楷体" w:cs="楷体_GB2312;楷体" w:hint="eastAsia" w:ascii="楷体_GB2312;楷体" w:hAnsi="楷体_GB2312;楷体"/>
          <w:b w:val="false"/>
          <w:bCs/>
          <w:i w:val="false"/>
          <w:caps w:val="false"/>
          <w:smallCaps w:val="false"/>
          <w:color w:val="000000"/>
          <w:spacing w:val="-11"/>
          <w:kern w:val="0"/>
          <w:sz w:val="32"/>
          <w:szCs w:val="32"/>
          <w:shd w:fill="FFFFFF" w:val="clear"/>
          <w:lang w:bidi="ar"/>
        </w:rPr>
        <w:t>23</w:t>
      </w:r>
      <w:r>
        <w:rPr>
          <w:rFonts w:ascii="楷体_GB2312;楷体" w:hAnsi="楷体_GB2312;楷体" w:cs="楷体_GB2312;楷体" w:hint="eastAsia" w:eastAsia="楷体_GB2312;楷体"/>
          <w:b w:val="false"/>
          <w:bCs/>
          <w:i w:val="false"/>
          <w:caps w:val="false"/>
          <w:smallCaps w:val="false"/>
          <w:color w:val="000000"/>
          <w:spacing w:val="-11"/>
          <w:kern w:val="0"/>
          <w:sz w:val="32"/>
          <w:szCs w:val="32"/>
          <w:shd w:fill="FFFFFF" w:val="clear"/>
          <w:lang w:bidi="ar"/>
        </w:rPr>
        <w:t>日河北省第十三届</w:t>
      </w:r>
      <w:r>
        <w:rPr>
          <w:rFonts w:ascii="楷体_GB2312;楷体" w:hAnsi="楷体_GB2312;楷体" w:cs="楷体_GB2312;楷体" w:hint="eastAsia" w:eastAsia="楷体_GB2312;楷体"/>
          <w:b w:val="false"/>
          <w:bCs/>
          <w:i w:val="false"/>
          <w:caps w:val="false"/>
          <w:smallCaps w:val="false"/>
          <w:color w:val="000000"/>
          <w:spacing w:val="0"/>
          <w:kern w:val="0"/>
          <w:sz w:val="32"/>
          <w:szCs w:val="32"/>
          <w:shd w:fill="FFFFFF" w:val="clear"/>
          <w:lang w:bidi="ar"/>
        </w:rPr>
        <w:t>人民代表大会常务委员会第二十七次会议批准</w:t>
      </w:r>
      <w:r>
        <w:rPr>
          <w:rFonts w:ascii="楷体_GB2312;楷体" w:hAnsi="楷体_GB2312;楷体" w:cs="楷体_GB2312;楷体" w:hint="eastAsia" w:eastAsia="楷体_GB2312;楷体"/>
          <w:b w:val="false"/>
          <w:bCs/>
          <w:i w:val="false"/>
          <w:caps w:val="false"/>
          <w:smallCaps w:val="false"/>
          <w:color w:val="000000"/>
          <w:spacing w:val="0"/>
          <w:kern w:val="0"/>
          <w:sz w:val="32"/>
          <w:szCs w:val="32"/>
          <w:shd w:fill="FFFFFF" w:val="clear"/>
          <w:lang w:val="en" w:bidi="ar"/>
        </w:rPr>
        <w:t>）</w:t>
      </w:r>
    </w:p>
    <w:p>
      <w:pPr>
        <w:pStyle w:val="Default"/>
        <w:rPr>
          <w:rFonts w:ascii="楷体_GB2312;楷体" w:hAnsi="楷体_GB2312;楷体" w:eastAsia="楷体_GB2312;楷体" w:cs="楷体_GB2312;楷体" w:hint="eastAsia"/>
          <w:b w:val="false"/>
          <w:bCs/>
          <w:i w:val="false"/>
          <w:caps w:val="false"/>
          <w:smallCaps w:val="false"/>
          <w:color w:val="000000"/>
          <w:spacing w:val="0"/>
          <w:kern w:val="0"/>
          <w:sz w:val="32"/>
          <w:szCs w:val="32"/>
          <w:shd w:fill="FFFFFF" w:val="clear"/>
          <w:lang w:val="en" w:bidi="ar"/>
        </w:rPr>
      </w:pPr>
      <w:r>
        <w:rPr>
          <w:rFonts w:eastAsia="楷体_GB2312;楷体" w:cs="楷体_GB2312;楷体" w:hint="eastAsia" w:ascii="楷体_GB2312;楷体" w:hAnsi="楷体_GB2312;楷体"/>
          <w:b w:val="false"/>
          <w:bCs/>
          <w:i w:val="false"/>
          <w:caps w:val="false"/>
          <w:smallCaps w:val="false"/>
          <w:color w:val="000000"/>
          <w:spacing w:val="0"/>
          <w:kern w:val="0"/>
          <w:sz w:val="32"/>
          <w:szCs w:val="32"/>
          <w:shd w:fill="FFFFFF" w:val="clear"/>
          <w:lang w:val="en" w:bidi="ar"/>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仿宋" w:hAnsi="仿宋_GB2312;仿宋" w:eastAsia="仿宋_GB2312;仿宋" w:cs="仿宋_GB2312;仿宋" w:hint="eastAsia"/>
          <w:b/>
          <w:bCs/>
          <w:color w:val="000000"/>
          <w:sz w:val="32"/>
          <w:szCs w:val="32"/>
        </w:rPr>
      </w:pPr>
      <w:r>
        <w:rPr>
          <w:rFonts w:eastAsia="宋体" w:cs="Calibri"/>
          <w:i w:val="false"/>
          <w:caps w:val="false"/>
          <w:smallCaps w:val="false"/>
          <w:color w:val="000000"/>
          <w:spacing w:val="0"/>
          <w:kern w:val="0"/>
          <w:sz w:val="21"/>
          <w:szCs w:val="21"/>
          <w:shd w:fill="FFFFFF" w:val="clear"/>
          <w:lang w:bidi="ar"/>
        </w:rPr>
        <w:t> </w:t>
      </w:r>
      <w:r>
        <w:rPr>
          <w:rFonts w:eastAsia="宋体" w:cs="Calibri" w:hint="eastAsia"/>
          <w:i w:val="false"/>
          <w:caps w:val="false"/>
          <w:smallCaps w:val="false"/>
          <w:color w:val="000000"/>
          <w:spacing w:val="0"/>
          <w:kern w:val="0"/>
          <w:sz w:val="21"/>
          <w:szCs w:val="21"/>
          <w:shd w:fill="FFFFFF" w:val="clear"/>
          <w:lang w:bidi="ar"/>
        </w:rPr>
        <w:t xml:space="preserve">                            </w:t>
      </w:r>
      <w:r>
        <w:rPr>
          <w:rFonts w:eastAsia="仿宋_GB2312;仿宋" w:cs="仿宋_GB2312;仿宋" w:hint="eastAsia" w:ascii="仿宋_GB2312;仿宋" w:hAnsi="仿宋_GB2312;仿宋"/>
          <w:i w:val="false"/>
          <w:caps w:val="false"/>
          <w:smallCaps w:val="false"/>
          <w:color w:val="000000"/>
          <w:spacing w:val="0"/>
          <w:kern w:val="0"/>
          <w:sz w:val="21"/>
          <w:szCs w:val="21"/>
          <w:shd w:fill="FFFFFF" w:val="clear"/>
          <w:lang w:bidi="ar"/>
        </w:rPr>
        <w:t xml:space="preserve">   </w:t>
      </w:r>
      <w:r>
        <w:rPr>
          <w:rFonts w:eastAsia="仿宋_GB2312;仿宋" w:cs="仿宋_GB2312;仿宋" w:hint="eastAsia" w:ascii="仿宋_GB2312;仿宋" w:hAnsi="仿宋_GB2312;仿宋"/>
          <w:b/>
          <w:bCs/>
          <w:i w:val="false"/>
          <w:caps w:val="false"/>
          <w:smallCaps w:val="false"/>
          <w:color w:val="000000"/>
          <w:spacing w:val="0"/>
          <w:kern w:val="0"/>
          <w:sz w:val="21"/>
          <w:szCs w:val="21"/>
          <w:shd w:fill="FFFFFF" w:val="clear"/>
          <w:lang w:bidi="ar"/>
        </w:rPr>
        <w:t xml:space="preserve">  </w:t>
      </w:r>
      <w:r>
        <w:rPr>
          <w:rFonts w:eastAsia="仿宋_GB2312;仿宋" w:cs="仿宋_GB2312;仿宋" w:hint="eastAsia" w:ascii="仿宋_GB2312;仿宋" w:hAnsi="仿宋_GB2312;仿宋"/>
          <w:b w:val="false"/>
          <w:bCs w:val="false"/>
          <w:i w:val="false"/>
          <w:caps w:val="false"/>
          <w:smallCaps w:val="false"/>
          <w:color w:val="000000"/>
          <w:spacing w:val="0"/>
          <w:kern w:val="0"/>
          <w:sz w:val="21"/>
          <w:szCs w:val="21"/>
          <w:shd w:fill="FFFFFF" w:val="clear"/>
          <w:lang w:bidi="ar"/>
        </w:rPr>
        <w:t xml:space="preserve"> </w:t>
      </w:r>
      <w:r>
        <w:rPr>
          <w:rFonts w:ascii="仿宋_GB2312;仿宋" w:hAnsi="仿宋_GB2312;仿宋" w:cs="仿宋_GB2312;仿宋" w:hint="eastAsia" w:eastAsia="仿宋_GB2312;仿宋"/>
          <w:b/>
          <w:bCs/>
          <w:color w:val="000000"/>
          <w:sz w:val="32"/>
          <w:szCs w:val="32"/>
        </w:rPr>
        <w:t>目   录</w:t>
      </w:r>
    </w:p>
    <w:p>
      <w:pPr>
        <w:pStyle w:val="Default"/>
        <w:rPr>
          <w:rFonts w:ascii="仿宋_GB2312;仿宋" w:hAnsi="仿宋_GB2312;仿宋" w:eastAsia="仿宋_GB2312;仿宋" w:cs="仿宋_GB2312;仿宋" w:hint="eastAsia"/>
          <w:b/>
          <w:bCs/>
          <w:color w:val="000000"/>
          <w:sz w:val="32"/>
          <w:szCs w:val="32"/>
        </w:rPr>
      </w:pPr>
      <w:r>
        <w:rPr>
          <w:rFonts w:eastAsia="仿宋_GB2312;仿宋" w:cs="仿宋_GB2312;仿宋" w:hint="eastAsia" w:ascii="仿宋_GB2312;仿宋" w:hAnsi="仿宋_GB2312;仿宋"/>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z w:val="32"/>
          <w:szCs w:val="32"/>
        </w:rPr>
        <w:t>第二章   基本规范</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z w:val="32"/>
          <w:szCs w:val="32"/>
        </w:rPr>
        <w:t>第三章   鼓励与促进</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z w:val="32"/>
          <w:szCs w:val="32"/>
        </w:rPr>
        <w:t>第四章   保障与监督</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仿宋" w:hAnsi="仿宋_GB2312;仿宋" w:eastAsia="仿宋_GB2312;仿宋" w:cs="仿宋_GB2312;仿宋" w:hint="eastAsia"/>
          <w:bCs/>
          <w:color w:val="000000"/>
          <w:sz w:val="32"/>
          <w:szCs w:val="32"/>
        </w:rPr>
      </w:pPr>
      <w:r>
        <w:rPr>
          <w:rFonts w:eastAsia="仿宋_GB2312;仿宋" w:cs="仿宋_GB2312;仿宋" w:hint="eastAsia" w:ascii="仿宋_GB2312;仿宋" w:hAnsi="仿宋_GB2312;仿宋"/>
          <w:bCs/>
          <w:color w:val="000000"/>
          <w:sz w:val="32"/>
          <w:szCs w:val="32"/>
        </w:rPr>
      </w:r>
    </w:p>
    <w:p>
      <w:pPr>
        <w:pStyle w:val="Normal"/>
        <w:keepNext w:val="false"/>
        <w:keepLines w:val="false"/>
        <w:pageBreakBefore w:val="false"/>
        <w:widowControl/>
        <w:numPr>
          <w:ilvl w:val="0"/>
          <w:numId w:val="2"/>
        </w:numPr>
        <w:suppressLineNumbers w:val="0"/>
        <w:shd w:fill="FFFFFF" w:val="clear"/>
        <w:kinsoku w:val="true"/>
        <w:overflowPunct w:val="true"/>
        <w:autoSpaceDE w:val="true"/>
        <w:bidi w:val="0"/>
        <w:snapToGrid w:val="false"/>
        <w:spacing w:lineRule="exact" w:line="560" w:before="0" w:after="0"/>
        <w:ind w:hanging="0" w:start="0" w:end="0"/>
        <w:jc w:val="center"/>
        <w:textAlignment w:val="auto"/>
        <w:rPr>
          <w:rFonts w:ascii="黑体" w:hAnsi="黑体" w:eastAsia="黑体" w:cs="黑体" w:hint="eastAsia"/>
          <w:b w:val="false"/>
          <w:bCs w:val="false"/>
          <w:i w:val="false"/>
          <w:caps w:val="false"/>
          <w:smallCaps w:val="false"/>
          <w:color w:val="000000"/>
          <w:spacing w:val="0"/>
          <w:kern w:val="0"/>
          <w:sz w:val="32"/>
          <w:szCs w:val="32"/>
          <w:shd w:fill="FFFFFF" w:val="clear"/>
          <w:lang w:bidi="ar"/>
        </w:rPr>
      </w:pPr>
      <w:r>
        <w:rPr>
          <w:rFonts w:eastAsia="黑体" w:cs="黑体" w:hint="eastAsia" w:ascii="黑体" w:hAnsi="黑体"/>
          <w:b w:val="false"/>
          <w:bCs w:val="false"/>
          <w:i w:val="false"/>
          <w:caps w:val="false"/>
          <w:smallCaps w:val="false"/>
          <w:color w:val="000000"/>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000000"/>
          <w:spacing w:val="0"/>
          <w:kern w:val="0"/>
          <w:sz w:val="32"/>
          <w:szCs w:val="32"/>
          <w:shd w:fill="FFFFFF" w:val="clear"/>
          <w:lang w:bidi="ar"/>
        </w:rPr>
        <w:t>总   则</w:t>
      </w:r>
    </w:p>
    <w:p>
      <w:pPr>
        <w:pStyle w:val="Default"/>
        <w:keepNext w:val="false"/>
        <w:keepLines w:val="false"/>
        <w:pageBreakBefore w:val="false"/>
        <w:widowControl w:val="false"/>
        <w:numPr>
          <w:ilvl w:val="0"/>
          <w:numId w:val="0"/>
        </w:numPr>
        <w:kinsoku w:val="true"/>
        <w:overflowPunct w:val="true"/>
        <w:autoSpaceDE w:val="false"/>
        <w:bidi w:val="0"/>
        <w:snapToGrid w:val="true"/>
        <w:spacing w:lineRule="exact" w:line="200"/>
        <w:ind w:hanging="0" w:start="0"/>
        <w:textAlignment w:val="auto"/>
        <w:rPr>
          <w:rFonts w:ascii="黑体" w:hAnsi="黑体" w:eastAsia="黑体" w:cs="黑体" w:hint="eastAsia"/>
          <w:b w:val="false"/>
          <w:bCs w:val="false"/>
          <w:i w:val="false"/>
          <w:caps w:val="false"/>
          <w:smallCaps w:val="false"/>
          <w:color w:val="000000"/>
          <w:spacing w:val="0"/>
          <w:kern w:val="0"/>
          <w:sz w:val="32"/>
          <w:szCs w:val="32"/>
          <w:shd w:fill="FFFFFF" w:val="clear"/>
          <w:lang w:bidi="ar"/>
        </w:rPr>
      </w:pPr>
      <w:r>
        <w:rPr>
          <w:rFonts w:eastAsia="黑体" w:cs="黑体" w:hint="eastAsia" w:ascii="黑体" w:hAnsi="黑体"/>
          <w:b w:val="false"/>
          <w:bCs w:val="false"/>
          <w:i w:val="false"/>
          <w:caps w:val="false"/>
          <w:smallCaps w:val="false"/>
          <w:color w:val="000000"/>
          <w:spacing w:val="0"/>
          <w:kern w:val="0"/>
          <w:sz w:val="32"/>
          <w:szCs w:val="32"/>
          <w:shd w:fill="FFFFFF" w:val="clear"/>
          <w:lang w:bidi="ar"/>
        </w:rPr>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仿宋" w:hAnsi="仿宋_GB2312;仿宋" w:eastAsia="仿宋_GB2312;仿宋" w:cs="微软雅黑"/>
          <w:color w:val="000000"/>
          <w:sz w:val="32"/>
          <w:szCs w:val="32"/>
        </w:rPr>
      </w:pPr>
      <w:r>
        <w:rPr>
          <w:rFonts w:ascii="黑体" w:hAnsi="黑体" w:cs="黑体" w:hint="eastAsia" w:eastAsia="黑体"/>
          <w:b w:val="false"/>
          <w:bCs w:val="false"/>
          <w:spacing w:val="0"/>
          <w:kern w:val="2"/>
          <w:sz w:val="32"/>
          <w:szCs w:val="32"/>
        </w:rPr>
        <w:t>第一条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为了引导和促进文明行为，培育和践行社会主义核心价值观，</w:t>
      </w:r>
      <w:r>
        <w:rPr>
          <w:rStyle w:val="Strong"/>
          <w:rFonts w:ascii="仿宋_GB2312;仿宋" w:hAnsi="仿宋_GB2312;仿宋" w:cs="微软雅黑" w:hint="eastAsia" w:eastAsia="仿宋_GB2312;仿宋"/>
          <w:b w:val="false"/>
          <w:color w:val="000000"/>
          <w:sz w:val="32"/>
          <w:szCs w:val="32"/>
        </w:rPr>
        <w:t>提升公民文明素质和城乡文明程度，</w:t>
      </w:r>
      <w:r>
        <w:rPr>
          <w:rFonts w:ascii="仿宋_GB2312;仿宋" w:hAnsi="仿宋_GB2312;仿宋" w:hint="eastAsia" w:eastAsia="仿宋_GB2312;仿宋"/>
          <w:color w:val="000000"/>
          <w:sz w:val="32"/>
          <w:szCs w:val="32"/>
        </w:rPr>
        <w:t>建设新时代高质量发展的“生态强市、魅力承德”，</w:t>
      </w:r>
      <w:r>
        <w:rPr>
          <w:rFonts w:ascii="仿宋_GB2312;仿宋" w:hAnsi="仿宋_GB2312;仿宋" w:cs="微软雅黑" w:hint="eastAsia" w:eastAsia="仿宋_GB2312;仿宋"/>
          <w:color w:val="000000"/>
          <w:sz w:val="32"/>
          <w:szCs w:val="32"/>
        </w:rPr>
        <w:t>根据《河北省文明行为促进条例》等有关法律法规，结合本市实际，制定本条例。</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560" w:end="0"/>
        <w:jc w:val="both"/>
        <w:textAlignment w:val="auto"/>
        <w:rPr>
          <w:rFonts w:ascii="仿宋_GB2312;仿宋" w:hAnsi="仿宋_GB2312;仿宋" w:eastAsia="仿宋_GB2312;仿宋" w:cs="微软雅黑" w:hint="eastAsia"/>
          <w:color w:val="000000"/>
          <w:sz w:val="32"/>
          <w:szCs w:val="32"/>
        </w:rPr>
      </w:pPr>
      <w:r>
        <w:rPr>
          <w:rFonts w:ascii="黑体" w:hAnsi="黑体" w:cs="黑体" w:hint="eastAsia" w:eastAsia="黑体"/>
          <w:b w:val="false"/>
          <w:bCs w:val="false"/>
          <w:spacing w:val="0"/>
          <w:kern w:val="2"/>
          <w:sz w:val="32"/>
          <w:szCs w:val="32"/>
        </w:rPr>
        <w:t>第二条</w:t>
      </w:r>
      <w:r>
        <w:rPr>
          <w:rFonts w:ascii="仿宋_GB2312;仿宋" w:hAnsi="仿宋_GB2312;仿宋" w:cs="微软雅黑" w:hint="eastAsia" w:eastAsia="仿宋_GB2312;仿宋"/>
          <w:b/>
          <w:bCs/>
          <w:color w:val="000000"/>
          <w:sz w:val="32"/>
          <w:szCs w:val="32"/>
        </w:rPr>
        <w:t xml:space="preserve">  </w:t>
      </w:r>
      <w:r>
        <w:rPr>
          <w:rFonts w:ascii="仿宋_GB2312;仿宋" w:hAnsi="仿宋_GB2312;仿宋" w:cs="微软雅黑" w:hint="eastAsia" w:eastAsia="仿宋_GB2312;仿宋"/>
          <w:color w:val="000000"/>
          <w:sz w:val="32"/>
          <w:szCs w:val="32"/>
        </w:rPr>
        <w:t>本条例适用于本市行政区域内的文明行为促进工作。</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560" w:end="0"/>
        <w:jc w:val="both"/>
        <w:textAlignment w:val="auto"/>
        <w:rPr>
          <w:rFonts w:ascii="仿宋_GB2312;仿宋" w:hAnsi="仿宋_GB2312;仿宋" w:eastAsia="仿宋_GB2312;仿宋" w:cs="微软雅黑" w:hint="eastAsia"/>
          <w:color w:val="000000"/>
          <w:sz w:val="32"/>
          <w:szCs w:val="32"/>
        </w:rPr>
      </w:pPr>
      <w:r>
        <w:rPr>
          <w:rFonts w:ascii="仿宋_GB2312;仿宋" w:hAnsi="仿宋_GB2312;仿宋" w:cs="微软雅黑" w:hint="eastAsia" w:eastAsia="仿宋_GB2312;仿宋"/>
          <w:color w:val="000000"/>
          <w:sz w:val="32"/>
          <w:szCs w:val="32"/>
        </w:rPr>
        <w:t>本条例所称文明行为，是指遵守宪法和法律法规规定，体现社会主义核心价值观，符合社会主义道德要求，维护公序良俗、弘扬时代新风、推动社会进步的行为。</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b w:val="false"/>
          <w:bCs w:val="false"/>
          <w:spacing w:val="0"/>
          <w:kern w:val="2"/>
          <w:sz w:val="32"/>
          <w:szCs w:val="32"/>
        </w:rPr>
        <w:t>第三条</w:t>
      </w:r>
      <w:r>
        <w:rPr>
          <w:rFonts w:ascii="仿宋_GB2312;仿宋" w:hAnsi="仿宋_GB2312;仿宋" w:cs="微软雅黑"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文明行为促进工作应当坚持个人自律、社会共治、奖惩结合、系统推进的原则，构建政府实施、社会协同、公众参与、法治保障的工作机制。</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b w:val="false"/>
          <w:bCs w:val="false"/>
          <w:spacing w:val="0"/>
          <w:kern w:val="2"/>
          <w:sz w:val="32"/>
          <w:szCs w:val="32"/>
        </w:rPr>
        <w:t xml:space="preserve">第四条 </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市、县（市、区）精神文明建设委员会统筹推进本行政区域内的文明行为促进工作，相关办事机构具体负责本行政区域内文明行为促进工作的规划指导、任务协调和督导检查。</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市、县（市、区）人民政府应当将文明行为促进工作作为社会主义精神文明建设重要内容纳入国民经济和社会发展规划，有关部门应当按照职责分工做好文明行为促进工作。</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工会、共青团、妇联等人民团体，企业事业单位及其他社会组织，应当发挥各自职能作用</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积极做好文明行为促进工作。</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各乡（镇）人民政府、街道办事处应当按照上级人民政府及有关部门的要求，负责做好文明行为促进工作。</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各村民委员会、居民委员会应当加强文明行为的宣传引导，协助做好文明行为促进工作。</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仿宋" w:hAnsi="仿宋_GB2312;仿宋" w:eastAsia="仿宋_GB2312;仿宋" w:hint="eastAsia"/>
          <w:b w:val="false"/>
          <w:bCs w:val="false"/>
          <w:color w:val="000000"/>
          <w:sz w:val="32"/>
          <w:szCs w:val="32"/>
        </w:rPr>
      </w:pPr>
      <w:r>
        <w:rPr>
          <w:rFonts w:ascii="黑体" w:hAnsi="黑体" w:cs="黑体" w:hint="eastAsia" w:eastAsia="黑体"/>
          <w:b w:val="false"/>
          <w:bCs w:val="false"/>
          <w:spacing w:val="0"/>
          <w:kern w:val="2"/>
          <w:sz w:val="32"/>
          <w:szCs w:val="32"/>
        </w:rPr>
        <w:t xml:space="preserve">第五条 </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b w:val="false"/>
          <w:bCs w:val="false"/>
          <w:color w:val="000000"/>
          <w:sz w:val="32"/>
          <w:szCs w:val="32"/>
        </w:rPr>
        <w:t>公民应当支持和积极参与文明行为促进工作，有权劝阻、制止、投诉、举报不文明行为，对文明行为促进工作提出意见和建议。</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仿宋" w:hAnsi="仿宋_GB2312;仿宋" w:eastAsia="仿宋_GB2312;仿宋"/>
          <w:b w:val="false"/>
          <w:bCs w:val="false"/>
          <w:color w:val="000000"/>
          <w:sz w:val="32"/>
          <w:szCs w:val="32"/>
        </w:rPr>
      </w:pPr>
      <w:r>
        <w:rPr>
          <w:rFonts w:ascii="仿宋_GB2312;仿宋" w:hAnsi="仿宋_GB2312;仿宋" w:hint="eastAsia" w:eastAsia="仿宋_GB2312;仿宋"/>
          <w:b w:val="false"/>
          <w:bCs w:val="false"/>
          <w:color w:val="000000"/>
          <w:sz w:val="32"/>
          <w:szCs w:val="32"/>
        </w:rPr>
        <w:t>国家工作人员、社会公众人物等应当在文明行为促进工作中发挥示范表率作用。</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60" w:before="0" w:after="0"/>
        <w:ind w:firstLineChars="800" w:startChars="0" w:start="0" w:endChars="0" w:end="0"/>
        <w:jc w:val="both"/>
        <w:textAlignment w:val="auto"/>
        <w:rPr>
          <w:rStyle w:val="Strong"/>
          <w:rFonts w:ascii="黑体" w:hAnsi="黑体" w:eastAsia="黑体" w:cs="黑体" w:hint="eastAsia"/>
          <w:b w:val="false"/>
          <w:bCs/>
          <w:color w:val="000000"/>
          <w:sz w:val="32"/>
          <w:szCs w:val="32"/>
        </w:rPr>
      </w:pPr>
      <w:r>
        <w:rPr>
          <w:rFonts w:ascii="黑体" w:hAnsi="黑体" w:cs="黑体" w:hint="eastAsia" w:eastAsia="黑体"/>
          <w:bCs/>
          <w:color w:val="000000"/>
          <w:sz w:val="32"/>
          <w:szCs w:val="32"/>
        </w:rPr>
        <w:t xml:space="preserve">第二章   </w:t>
      </w:r>
      <w:r>
        <w:rPr>
          <w:rStyle w:val="Strong"/>
          <w:rFonts w:ascii="黑体" w:hAnsi="黑体" w:cs="黑体" w:hint="eastAsia" w:eastAsia="黑体"/>
          <w:b w:val="false"/>
          <w:bCs/>
          <w:color w:val="000000"/>
          <w:sz w:val="32"/>
          <w:szCs w:val="32"/>
        </w:rPr>
        <w:t>基本规范</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200" w:before="0" w:after="0"/>
        <w:ind w:firstLineChars="0" w:firstLine="0" w:startChars="0" w:start="0" w:endChars="0" w:end="0"/>
        <w:jc w:val="both"/>
        <w:textAlignment w:val="auto"/>
        <w:rPr>
          <w:rStyle w:val="Strong"/>
          <w:rFonts w:ascii="黑体" w:hAnsi="黑体" w:eastAsia="黑体" w:cs="黑体" w:hint="eastAsia"/>
          <w:b w:val="false"/>
          <w:bCs/>
          <w:color w:val="000000"/>
          <w:sz w:val="32"/>
          <w:szCs w:val="32"/>
        </w:rPr>
      </w:pPr>
      <w:r>
        <w:rPr/>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微软雅黑" w:hint="eastAsia"/>
          <w:b w:val="false"/>
          <w:color w:val="000000"/>
          <w:sz w:val="32"/>
          <w:szCs w:val="32"/>
        </w:rPr>
      </w:pPr>
      <w:r>
        <w:rPr>
          <w:rFonts w:ascii="黑体" w:hAnsi="黑体" w:cs="黑体" w:hint="eastAsia" w:eastAsia="黑体"/>
          <w:b w:val="false"/>
          <w:bCs w:val="false"/>
          <w:spacing w:val="0"/>
          <w:kern w:val="2"/>
          <w:sz w:val="32"/>
          <w:szCs w:val="32"/>
        </w:rPr>
        <w:t>第六条</w:t>
      </w:r>
      <w:r>
        <w:rPr>
          <w:rStyle w:val="Strong"/>
          <w:rFonts w:ascii="仿宋_GB2312;仿宋" w:hAnsi="仿宋_GB2312;仿宋" w:cs="微软雅黑" w:hint="eastAsia" w:eastAsia="仿宋_GB2312;仿宋"/>
          <w:b w:val="false"/>
          <w:color w:val="000000"/>
          <w:sz w:val="32"/>
          <w:szCs w:val="32"/>
        </w:rPr>
        <w:t xml:space="preserve"> 公民应当热爱祖国，践行社会主义核心价值观，遵纪守法，保护生态，遵守社会公德，恪守职业道德，弘扬家庭美德，提升个人品德，遵守宪法、法律、法规、公序良俗及其他文明行为规范。</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微软雅黑" w:hint="eastAsia"/>
          <w:b w:val="false"/>
          <w:color w:val="000000"/>
          <w:sz w:val="32"/>
          <w:szCs w:val="32"/>
        </w:rPr>
      </w:pPr>
      <w:r>
        <w:rPr>
          <w:rFonts w:ascii="黑体" w:hAnsi="黑体" w:cs="黑体" w:hint="eastAsia" w:eastAsia="黑体"/>
          <w:b w:val="false"/>
          <w:bCs w:val="false"/>
          <w:spacing w:val="0"/>
          <w:kern w:val="2"/>
          <w:sz w:val="32"/>
          <w:szCs w:val="32"/>
        </w:rPr>
        <w:t>第七条</w:t>
      </w:r>
      <w:r>
        <w:rPr>
          <w:rStyle w:val="Strong"/>
          <w:rFonts w:ascii="仿宋_GB2312;仿宋" w:hAnsi="仿宋_GB2312;仿宋" w:cs="微软雅黑" w:hint="eastAsia" w:eastAsia="仿宋_GB2312;仿宋"/>
          <w:b w:val="false"/>
          <w:color w:val="000000"/>
          <w:sz w:val="32"/>
          <w:szCs w:val="32"/>
        </w:rPr>
        <w:t xml:space="preserve"> 公民应当维护公共秩序，自觉遵守下列规定：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微软雅黑" w:hint="eastAsia"/>
          <w:b w:val="false"/>
          <w:color w:val="000000"/>
          <w:sz w:val="32"/>
          <w:szCs w:val="32"/>
        </w:rPr>
      </w:pPr>
      <w:r>
        <w:rPr>
          <w:rStyle w:val="Strong"/>
          <w:rFonts w:ascii="仿宋_GB2312;仿宋" w:hAnsi="仿宋_GB2312;仿宋" w:cs="微软雅黑" w:hint="eastAsia" w:eastAsia="仿宋_GB2312;仿宋"/>
          <w:b w:val="false"/>
          <w:color w:val="000000"/>
          <w:sz w:val="32"/>
          <w:szCs w:val="32"/>
        </w:rPr>
        <w:t>（一）着装整洁得体，言行举止文明；</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微软雅黑" w:hint="eastAsia"/>
          <w:b w:val="false"/>
          <w:color w:val="000000"/>
          <w:sz w:val="32"/>
          <w:szCs w:val="32"/>
        </w:rPr>
      </w:pPr>
      <w:r>
        <w:rPr>
          <w:rStyle w:val="Strong"/>
          <w:rFonts w:ascii="仿宋_GB2312;仿宋" w:hAnsi="仿宋_GB2312;仿宋" w:cs="微软雅黑" w:hint="eastAsia" w:eastAsia="仿宋_GB2312;仿宋"/>
          <w:b w:val="false"/>
          <w:color w:val="000000"/>
          <w:sz w:val="32"/>
          <w:szCs w:val="32"/>
        </w:rPr>
        <w:t>（二）等候服务依次排队，乘坐交通工具先下后上；</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微软雅黑" w:hint="eastAsia"/>
          <w:b w:val="false"/>
          <w:color w:val="000000"/>
          <w:sz w:val="32"/>
          <w:szCs w:val="32"/>
        </w:rPr>
      </w:pPr>
      <w:r>
        <w:rPr>
          <w:rStyle w:val="Strong"/>
          <w:rFonts w:ascii="仿宋_GB2312;仿宋" w:hAnsi="仿宋_GB2312;仿宋" w:cs="微软雅黑" w:hint="eastAsia" w:eastAsia="仿宋_GB2312;仿宋"/>
          <w:b w:val="false"/>
          <w:color w:val="000000"/>
          <w:sz w:val="32"/>
          <w:szCs w:val="32"/>
        </w:rPr>
        <w:t>（三）开展娱乐、健身、宣传、经营等活动，应当合理使用场地、设施和电子视听产品、音响器材，不干扰周围生活环境，噪声值不超过社会生活环境噪声排放标准；</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微软雅黑" w:hint="eastAsia"/>
          <w:b w:val="false"/>
          <w:color w:val="000000"/>
          <w:sz w:val="32"/>
          <w:szCs w:val="32"/>
        </w:rPr>
      </w:pPr>
      <w:r>
        <w:rPr>
          <w:rStyle w:val="Strong"/>
          <w:rFonts w:ascii="仿宋_GB2312;仿宋" w:hAnsi="仿宋_GB2312;仿宋" w:cs="微软雅黑" w:hint="eastAsia" w:eastAsia="仿宋_GB2312;仿宋"/>
          <w:b w:val="false"/>
          <w:color w:val="000000"/>
          <w:sz w:val="32"/>
          <w:szCs w:val="32"/>
        </w:rPr>
        <w:t xml:space="preserve">（四）观看赛事、演出，爱护场馆设施，遵守场馆秩序，服从场馆管理，保持现场整洁； </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微软雅黑" w:hint="eastAsia"/>
          <w:b w:val="false"/>
          <w:color w:val="000000"/>
          <w:sz w:val="32"/>
          <w:szCs w:val="32"/>
        </w:rPr>
      </w:pPr>
      <w:r>
        <w:rPr>
          <w:rStyle w:val="Strong"/>
          <w:rFonts w:ascii="仿宋_GB2312;仿宋" w:hAnsi="仿宋_GB2312;仿宋" w:cs="微软雅黑" w:hint="eastAsia" w:eastAsia="仿宋_GB2312;仿宋"/>
          <w:b w:val="false"/>
          <w:color w:val="000000"/>
          <w:sz w:val="32"/>
          <w:szCs w:val="32"/>
        </w:rPr>
        <w:t>（五）不占用、堵塞、封闭疏散通道、安全出口或者有其他妨碍安全疏散行为；不占用、堵塞、封闭消防车通道，妨碍消防车通行；</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微软雅黑" w:hint="eastAsia"/>
          <w:b w:val="false"/>
          <w:color w:val="000000"/>
          <w:sz w:val="32"/>
          <w:szCs w:val="32"/>
        </w:rPr>
      </w:pPr>
      <w:r>
        <w:rPr>
          <w:rStyle w:val="Strong"/>
          <w:rFonts w:ascii="仿宋_GB2312;仿宋" w:hAnsi="仿宋_GB2312;仿宋" w:cs="微软雅黑" w:hint="eastAsia" w:eastAsia="仿宋_GB2312;仿宋"/>
          <w:b w:val="false"/>
          <w:color w:val="000000"/>
          <w:sz w:val="32"/>
          <w:szCs w:val="32"/>
        </w:rPr>
        <w:t>（六）不在绿地内搭建建筑物、构筑物、堆放杂物；</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微软雅黑" w:hint="eastAsia"/>
          <w:b w:val="false"/>
          <w:color w:val="000000"/>
          <w:sz w:val="32"/>
          <w:szCs w:val="32"/>
        </w:rPr>
      </w:pPr>
      <w:r>
        <w:rPr>
          <w:rStyle w:val="Strong"/>
          <w:rFonts w:ascii="仿宋_GB2312;仿宋" w:hAnsi="仿宋_GB2312;仿宋" w:cs="微软雅黑" w:hint="eastAsia" w:eastAsia="仿宋_GB2312;仿宋"/>
          <w:b w:val="false"/>
          <w:color w:val="000000"/>
          <w:sz w:val="32"/>
          <w:szCs w:val="32"/>
        </w:rPr>
        <w:t>（七）法律、法规的其他规定。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b w:val="false"/>
          <w:bCs w:val="false"/>
          <w:color w:val="000000"/>
          <w:sz w:val="32"/>
          <w:szCs w:val="32"/>
        </w:rPr>
      </w:pPr>
      <w:r>
        <w:rPr>
          <w:rFonts w:ascii="黑体" w:hAnsi="黑体" w:cs="黑体" w:hint="eastAsia" w:eastAsia="黑体"/>
          <w:b w:val="false"/>
          <w:bCs w:val="false"/>
          <w:spacing w:val="0"/>
          <w:kern w:val="2"/>
          <w:sz w:val="32"/>
          <w:szCs w:val="32"/>
        </w:rPr>
        <w:t>第八条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b w:val="false"/>
          <w:bCs w:val="false"/>
          <w:color w:val="000000"/>
          <w:sz w:val="32"/>
          <w:szCs w:val="32"/>
        </w:rPr>
        <w:t>公民应当维护公共环境卫生，自觉遵守下列规定：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（一）爱护公共环境，不随地吐痰、便溺，不乱扔果皮、纸屑、烟头、口香糖等废弃物，不随意倾倒、抛洒、堆放或者焚烧生活垃圾；</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（二）维护公共场所和公共设施整洁，不随意涂写、刻划、张贴，不随意悬挂、发放广告传单，不采摘花果、攀折树枝、损坏绿地；</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（三）保持公厕卫生，爱护公厕设施，文明如厕；</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（四）不在禁止吸烟的场所（区域）吸烟；</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（五）不向河道、水库、塘坝管理范围内丢弃废弃物；</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（六）主动减少烟花爆竹的燃放。燃放时</w:t>
      </w:r>
      <w:r>
        <w:rPr>
          <w:rFonts w:eastAsia="仿宋_GB2312;仿宋" w:hint="eastAsia" w:ascii="仿宋_GB2312;仿宋" w:hAnsi="仿宋_GB2312;仿宋"/>
          <w:b w:val="false"/>
          <w:bCs w:val="false"/>
          <w:color w:val="000000"/>
          <w:sz w:val="32"/>
          <w:szCs w:val="32"/>
        </w:rPr>
        <w:t>,</w:t>
      </w:r>
      <w:r>
        <w:rPr>
          <w:rFonts w:ascii="仿宋_GB2312;仿宋" w:hAnsi="仿宋_GB2312;仿宋" w:hint="eastAsia" w:eastAsia="仿宋_GB2312;仿宋"/>
          <w:b w:val="false"/>
          <w:bCs w:val="false"/>
          <w:color w:val="000000"/>
          <w:sz w:val="32"/>
          <w:szCs w:val="32"/>
        </w:rPr>
        <w:t>遵守本行政区域限制或者禁止燃放烟花爆竹的时间、地点和种类的规定；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（七）文明祭祀，不随意在城区道路抛撒、焚烧丧葬祭奠物品；</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（八）法律、法规的其他规定。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color w:val="000000"/>
          <w:sz w:val="32"/>
          <w:szCs w:val="32"/>
        </w:rPr>
      </w:pPr>
      <w:r>
        <w:rPr>
          <w:rFonts w:eastAsia="黑体" w:cs="黑体" w:hint="eastAsia" w:ascii="黑体" w:hAnsi="黑体"/>
          <w:b w:val="false"/>
          <w:bCs w:val="false"/>
          <w:spacing w:val="0"/>
          <w:kern w:val="2"/>
          <w:sz w:val="32"/>
          <w:szCs w:val="32"/>
        </w:rPr>
        <w:t xml:space="preserve"> </w:t>
      </w:r>
      <w:r>
        <w:rPr>
          <w:rFonts w:ascii="黑体" w:hAnsi="黑体" w:cs="黑体" w:hint="eastAsia" w:eastAsia="黑体"/>
          <w:b w:val="false"/>
          <w:bCs w:val="false"/>
          <w:spacing w:val="0"/>
          <w:kern w:val="2"/>
          <w:sz w:val="32"/>
          <w:szCs w:val="32"/>
        </w:rPr>
        <w:t>第九条</w:t>
      </w:r>
      <w:r>
        <w:rPr>
          <w:rFonts w:ascii="仿宋_GB2312;仿宋" w:hAnsi="仿宋_GB2312;仿宋" w:hint="eastAsia" w:eastAsia="仿宋_GB2312;仿宋"/>
          <w:color w:val="000000"/>
          <w:sz w:val="32"/>
          <w:szCs w:val="32"/>
        </w:rPr>
        <w:t xml:space="preserve">  公民应当文明生活，自觉遵守下列规定：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（一）注重家庭、家教和家风建设，尊敬长辈，履行赡养义务，关心照料和看望老年人；</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（二）文明就餐，使用公勺公筷，不酗酒，不食用法律、法规禁止食用的野生动物；</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（三）操办婚丧喜庆事宜，不铺张浪费，不大操大办；</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（四）绿色低碳生活，节约使用水、电、油、气等资源，分类投放生活垃圾；</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（五）携犬出户应当束犬链并主动避让他人，及时清理犬只粪便，不携带导盲犬以外的犬只进入公共场所或乘坐公共交通工具；</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（六）居民区楼道内，不堆放物料及其他物品，不影响他人生活；</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（七）妥善处置物品，不从建筑物、构筑物内向城市公共管理空间抛掷物品；</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（八）规范电动车停放充电，不在建筑物内的共用通道、楼梯间、安全出口处等公共区域停放电动车或者为电动车充电；</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0" w:firstLine="0" w:startChars="0" w:start="0" w:endChars="0" w:end="0"/>
        <w:jc w:val="both"/>
        <w:textAlignment w:val="auto"/>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r>
        <w:rPr>
          <w:rFonts w:ascii="仿宋_GB2312;仿宋" w:hAnsi="仿宋_GB2312;仿宋" w:hint="eastAsia" w:eastAsia="仿宋_GB2312;仿宋"/>
          <w:color w:val="000000"/>
          <w:sz w:val="32"/>
          <w:szCs w:val="32"/>
        </w:rPr>
        <w:t>（九）法律、法规的其他规定。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b w:val="false"/>
          <w:bCs w:val="false"/>
          <w:color w:val="000000"/>
          <w:sz w:val="32"/>
          <w:szCs w:val="32"/>
        </w:rPr>
      </w:pPr>
      <w:r>
        <w:rPr>
          <w:rFonts w:ascii="黑体" w:hAnsi="黑体" w:cs="黑体" w:hint="eastAsia" w:eastAsia="黑体"/>
          <w:b w:val="false"/>
          <w:bCs w:val="false"/>
          <w:spacing w:val="0"/>
          <w:kern w:val="2"/>
          <w:sz w:val="32"/>
          <w:szCs w:val="32"/>
        </w:rPr>
        <w:t>第十条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b w:val="false"/>
          <w:bCs w:val="false"/>
          <w:color w:val="000000"/>
          <w:sz w:val="32"/>
          <w:szCs w:val="32"/>
        </w:rPr>
        <w:t>公民应当文明出行，自觉遵守下列规定：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（一）遵守文明出行行为规范和道路交通安全管理规定；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（二）驾驶机动车应当主动礼让行人，夜间驾车正确使用远近光灯，不在禁鸣区域内鸣笛，不在禁停区域内停放车辆，不向车外抛洒物品；</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（三）驾驶非机动车按照规定路线行驶，不超速，不逆行，不闯红灯；</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（四）行人应当在人行道内行走，横过道路时走过街设施或人行横道，不跨越交通隔离设施；</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（五）乘坐公共交通工具，应当主动为老、弱、病、残、孕等特殊乘客让座，不多占用座位，不干扰驾驶人员安全驾驶；</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（六）法律、法规的其他规定。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color w:val="000000"/>
          <w:sz w:val="32"/>
          <w:szCs w:val="32"/>
        </w:rPr>
      </w:pPr>
      <w:r>
        <w:rPr>
          <w:rFonts w:ascii="黑体" w:hAnsi="黑体" w:cs="黑体" w:hint="eastAsia" w:eastAsia="黑体"/>
          <w:b w:val="false"/>
          <w:bCs w:val="false"/>
          <w:spacing w:val="0"/>
          <w:kern w:val="2"/>
          <w:sz w:val="32"/>
          <w:szCs w:val="32"/>
        </w:rPr>
        <w:t>第十一条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公民应当文明旅游，自觉遵守下列规定：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（一）尊重当地风俗习惯、文化传统和宗教信仰；</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（二）尊重历史，尊敬历史人物，崇尚英雄，不发表和从事有损英雄、烈士名誉的各种言行和活动；</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（三）爱护文物古迹，不触摸涂刻攀爬文物，遵守拍照摄像的相关规定；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（四）尊重他人权益，不强行与他人合影留念，不大声交谈喧哗；</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（五）服从景区景点工作人员引导和管理，排队购票、有序出入，不占道、不拥挤，文明观瞻、文明游览；</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56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（六）法律、法规的其他规定。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b w:val="false"/>
          <w:bCs w:val="false"/>
          <w:color w:val="000000"/>
          <w:sz w:val="32"/>
          <w:szCs w:val="32"/>
        </w:rPr>
      </w:pPr>
      <w:r>
        <w:rPr>
          <w:rFonts w:ascii="黑体" w:hAnsi="黑体" w:cs="黑体" w:hint="eastAsia" w:eastAsia="黑体"/>
          <w:b w:val="false"/>
          <w:bCs w:val="false"/>
          <w:spacing w:val="0"/>
          <w:kern w:val="2"/>
          <w:sz w:val="32"/>
          <w:szCs w:val="32"/>
        </w:rPr>
        <w:t>第十二条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b w:val="false"/>
          <w:bCs w:val="false"/>
          <w:color w:val="000000"/>
          <w:sz w:val="32"/>
          <w:szCs w:val="32"/>
        </w:rPr>
        <w:t>公民应当文明使用网络，自觉遵守下列规定：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（一）维护网络安全，不破坏网络秩序；</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（二）传播健康信息，不编造、散布虚假信息，不浏览不良信息；</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（三）诚信友好交流，不以发帖、跟帖、评论等方式侮辱、诽谤、欺诈他人；</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（四）利用互联网发布、发送广告，不影响其他用户正常使用网络；</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b w:val="false"/>
          <w:bCs w:val="false"/>
          <w:color w:val="000000"/>
          <w:sz w:val="32"/>
          <w:szCs w:val="32"/>
        </w:rPr>
      </w:pPr>
      <w:r>
        <w:rPr>
          <w:rFonts w:ascii="仿宋_GB2312;仿宋" w:hAnsi="仿宋_GB2312;仿宋" w:hint="eastAsia" w:eastAsia="仿宋_GB2312;仿宋"/>
          <w:b w:val="false"/>
          <w:bCs w:val="false"/>
          <w:color w:val="000000"/>
          <w:sz w:val="32"/>
          <w:szCs w:val="32"/>
        </w:rPr>
        <w:t>（五）法律、法规的其他规定。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val="false"/>
          <w:spacing w:val="0"/>
          <w:kern w:val="2"/>
          <w:sz w:val="32"/>
          <w:szCs w:val="32"/>
        </w:rPr>
        <w:t>第十三条</w:t>
      </w:r>
      <w:r>
        <w:rPr>
          <w:rStyle w:val="Strong"/>
          <w:rFonts w:ascii="仿宋_GB2312;仿宋" w:hAnsi="仿宋_GB2312;仿宋" w:cs="仿宋_GB2312;仿宋" w:hint="eastAsia" w:eastAsia="仿宋_GB2312;仿宋"/>
          <w:b w:val="false"/>
          <w:bCs/>
          <w:color w:val="000000"/>
          <w:sz w:val="32"/>
          <w:szCs w:val="32"/>
        </w:rPr>
        <w:t xml:space="preserve"> 村民应当遵守村规民约，养成文明健康生活方式：</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仿宋_GB2312;仿宋" w:hint="eastAsia"/>
          <w:b w:val="false"/>
          <w:bCs/>
          <w:color w:val="000000"/>
          <w:sz w:val="32"/>
          <w:szCs w:val="32"/>
        </w:rPr>
      </w:pPr>
      <w:r>
        <w:rPr>
          <w:rStyle w:val="Strong"/>
          <w:rFonts w:ascii="仿宋_GB2312;仿宋" w:hAnsi="仿宋_GB2312;仿宋" w:cs="仿宋_GB2312;仿宋" w:hint="eastAsia" w:eastAsia="仿宋_GB2312;仿宋"/>
          <w:b w:val="false"/>
          <w:bCs/>
          <w:color w:val="000000"/>
          <w:sz w:val="32"/>
          <w:szCs w:val="32"/>
        </w:rPr>
        <w:t>（一）爱护公共财产，不破坏交通、水电、通信等公共设施；</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仿宋_GB2312;仿宋" w:hint="eastAsia"/>
          <w:b w:val="false"/>
          <w:bCs/>
          <w:color w:val="000000"/>
          <w:sz w:val="32"/>
          <w:szCs w:val="32"/>
        </w:rPr>
      </w:pPr>
      <w:r>
        <w:rPr>
          <w:rStyle w:val="Strong"/>
          <w:rFonts w:ascii="仿宋_GB2312;仿宋" w:hAnsi="仿宋_GB2312;仿宋" w:cs="仿宋_GB2312;仿宋" w:hint="eastAsia" w:eastAsia="仿宋_GB2312;仿宋"/>
          <w:b w:val="false"/>
          <w:bCs/>
          <w:color w:val="000000"/>
          <w:sz w:val="32"/>
          <w:szCs w:val="32"/>
        </w:rPr>
        <w:t>（二）创建十星级文明户、五好家庭、文明家庭；</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仿宋_GB2312;仿宋" w:hint="eastAsia"/>
          <w:b w:val="false"/>
          <w:bCs/>
          <w:color w:val="000000"/>
          <w:sz w:val="32"/>
          <w:szCs w:val="32"/>
        </w:rPr>
      </w:pPr>
      <w:r>
        <w:rPr>
          <w:rStyle w:val="Strong"/>
          <w:rFonts w:ascii="仿宋_GB2312;仿宋" w:hAnsi="仿宋_GB2312;仿宋" w:cs="仿宋_GB2312;仿宋" w:hint="eastAsia" w:eastAsia="仿宋_GB2312;仿宋"/>
          <w:b w:val="false"/>
          <w:bCs/>
          <w:color w:val="000000"/>
          <w:sz w:val="32"/>
          <w:szCs w:val="32"/>
        </w:rPr>
        <w:t>（三）保持房前屋后干净整洁，不随意堆放杂物；</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仿宋_GB2312;仿宋" w:hint="eastAsia"/>
          <w:b w:val="false"/>
          <w:bCs/>
          <w:color w:val="000000"/>
          <w:sz w:val="32"/>
          <w:szCs w:val="32"/>
        </w:rPr>
      </w:pPr>
      <w:r>
        <w:rPr>
          <w:rStyle w:val="Strong"/>
          <w:rFonts w:ascii="仿宋_GB2312;仿宋" w:hAnsi="仿宋_GB2312;仿宋" w:cs="仿宋_GB2312;仿宋" w:hint="eastAsia" w:eastAsia="仿宋_GB2312;仿宋"/>
          <w:b w:val="false"/>
          <w:bCs/>
          <w:color w:val="000000"/>
          <w:sz w:val="32"/>
          <w:szCs w:val="32"/>
        </w:rPr>
        <w:t>（四）圈养家禽家畜，保持圈舍卫生，不影响周边生活环境；</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仿宋_GB2312;仿宋" w:hint="eastAsia"/>
          <w:b w:val="false"/>
          <w:bCs/>
          <w:color w:val="000000"/>
          <w:sz w:val="32"/>
          <w:szCs w:val="32"/>
        </w:rPr>
      </w:pPr>
      <w:r>
        <w:rPr>
          <w:rStyle w:val="Strong"/>
          <w:rFonts w:ascii="仿宋_GB2312;仿宋" w:hAnsi="仿宋_GB2312;仿宋" w:cs="仿宋_GB2312;仿宋" w:hint="eastAsia" w:eastAsia="仿宋_GB2312;仿宋"/>
          <w:b w:val="false"/>
          <w:bCs/>
          <w:color w:val="000000"/>
          <w:sz w:val="32"/>
          <w:szCs w:val="32"/>
        </w:rPr>
        <w:t>（五）妥善处理农用薄膜、农作物秸秆、农药包装物、化肥包装物等生产废弃物，禁止露天焚烧秸秆；</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仿宋_GB2312;仿宋" w:hint="eastAsia"/>
          <w:b w:val="false"/>
          <w:bCs/>
          <w:color w:val="000000"/>
          <w:sz w:val="32"/>
          <w:szCs w:val="32"/>
        </w:rPr>
      </w:pPr>
      <w:r>
        <w:rPr>
          <w:rStyle w:val="Strong"/>
          <w:rFonts w:ascii="仿宋_GB2312;仿宋" w:hAnsi="仿宋_GB2312;仿宋" w:cs="仿宋_GB2312;仿宋" w:hint="eastAsia" w:eastAsia="仿宋_GB2312;仿宋"/>
          <w:b w:val="false"/>
          <w:bCs/>
          <w:color w:val="000000"/>
          <w:sz w:val="32"/>
          <w:szCs w:val="32"/>
        </w:rPr>
        <w:t>（六）法律、法规的其他规定。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200" w:before="0" w:after="0"/>
        <w:ind w:firstLineChars="200" w:startChars="0" w:start="0" w:endChars="0" w:end="0"/>
        <w:jc w:val="both"/>
        <w:textAlignment w:val="auto"/>
        <w:rPr>
          <w:rStyle w:val="Strong"/>
          <w:rFonts w:ascii="仿宋_GB2312;仿宋" w:hAnsi="仿宋_GB2312;仿宋" w:eastAsia="仿宋_GB2312;仿宋" w:cs="仿宋_GB2312;仿宋" w:hint="eastAsia"/>
          <w:b w:val="false"/>
          <w:bCs/>
          <w:color w:val="000000"/>
          <w:sz w:val="32"/>
          <w:szCs w:val="32"/>
        </w:rPr>
      </w:pPr>
      <w:r>
        <w:rPr/>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800" w:startChars="0" w:start="0" w:endChars="0" w:end="0"/>
        <w:jc w:val="both"/>
        <w:textAlignment w:val="auto"/>
        <w:rPr>
          <w:rStyle w:val="Strong"/>
          <w:rFonts w:ascii="黑体" w:hAnsi="黑体" w:eastAsia="黑体" w:cs="黑体" w:hint="eastAsia"/>
          <w:b w:val="false"/>
          <w:bCs/>
          <w:i w:val="false"/>
          <w:iCs w:val="false"/>
          <w:color w:val="000000"/>
          <w:sz w:val="32"/>
          <w:szCs w:val="32"/>
        </w:rPr>
      </w:pPr>
      <w:r>
        <w:rPr>
          <w:rStyle w:val="Strong"/>
          <w:rFonts w:ascii="黑体" w:hAnsi="黑体" w:cs="黑体" w:hint="eastAsia" w:eastAsia="黑体"/>
          <w:b w:val="false"/>
          <w:bCs/>
          <w:i w:val="false"/>
          <w:iCs w:val="false"/>
          <w:color w:val="000000"/>
          <w:sz w:val="32"/>
          <w:szCs w:val="32"/>
        </w:rPr>
        <w:t>第三章  鼓励与促进</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200" w:before="0" w:after="0"/>
        <w:ind w:firstLineChars="1000" w:startChars="0" w:start="0" w:endChars="0" w:end="0"/>
        <w:jc w:val="both"/>
        <w:textAlignment w:val="auto"/>
        <w:rPr>
          <w:rStyle w:val="Strong"/>
          <w:rFonts w:ascii="黑体" w:hAnsi="黑体" w:eastAsia="黑体" w:cs="黑体" w:hint="eastAsia"/>
          <w:b w:val="false"/>
          <w:bCs/>
          <w:i w:val="false"/>
          <w:iCs w:val="false"/>
          <w:color w:val="000000"/>
          <w:sz w:val="32"/>
          <w:szCs w:val="32"/>
        </w:rPr>
      </w:pPr>
      <w:r>
        <w:rPr/>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微软雅黑" w:hAnsi="微软雅黑" w:eastAsia="仿宋_GB2312;仿宋" w:cs="微软雅黑" w:hint="eastAsia"/>
          <w:color w:val="000000"/>
          <w:sz w:val="32"/>
          <w:szCs w:val="32"/>
        </w:rPr>
      </w:pPr>
      <w:r>
        <w:rPr>
          <w:rFonts w:ascii="黑体" w:hAnsi="黑体" w:cs="黑体" w:hint="eastAsia" w:eastAsia="黑体"/>
          <w:b w:val="false"/>
          <w:bCs w:val="false"/>
          <w:spacing w:val="0"/>
          <w:kern w:val="2"/>
          <w:sz w:val="32"/>
          <w:szCs w:val="32"/>
        </w:rPr>
        <w:t>第十四条</w:t>
      </w:r>
      <w:r>
        <w:rPr>
          <w:rFonts w:ascii="仿宋_GB2312;仿宋" w:hAnsi="仿宋_GB2312;仿宋" w:cs="微软雅黑" w:hint="eastAsia" w:eastAsia="仿宋_GB2312;仿宋"/>
          <w:b/>
          <w:color w:val="000000"/>
          <w:sz w:val="32"/>
          <w:szCs w:val="32"/>
        </w:rPr>
        <w:t xml:space="preserve"> </w:t>
      </w:r>
      <w:r>
        <w:rPr>
          <w:rFonts w:ascii="仿宋_GB2312;仿宋" w:hAnsi="仿宋_GB2312;仿宋" w:cs="微软雅黑" w:hint="eastAsia" w:eastAsia="仿宋_GB2312;仿宋"/>
          <w:color w:val="000000"/>
          <w:sz w:val="32"/>
          <w:szCs w:val="32"/>
        </w:rPr>
        <w:t>鼓励和支持公民参加志愿服务活动和依法设立各类志愿服务组织，所在单位应当为志愿者和志愿服务组织开展志愿服务提供便利和保障。</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微软雅黑" w:hAnsi="微软雅黑" w:eastAsia="仿宋_GB2312;仿宋" w:cs="微软雅黑" w:hint="eastAsia"/>
          <w:b w:val="false"/>
          <w:bCs w:val="false"/>
          <w:color w:val="000000"/>
          <w:sz w:val="32"/>
          <w:szCs w:val="32"/>
        </w:rPr>
      </w:pPr>
      <w:r>
        <w:rPr>
          <w:rFonts w:ascii="黑体" w:hAnsi="黑体" w:cs="黑体" w:hint="eastAsia" w:eastAsia="黑体"/>
          <w:b w:val="false"/>
          <w:bCs w:val="false"/>
          <w:spacing w:val="0"/>
          <w:kern w:val="2"/>
          <w:sz w:val="32"/>
          <w:szCs w:val="32"/>
        </w:rPr>
        <w:t>第十五条</w:t>
      </w:r>
      <w:r>
        <w:rPr>
          <w:rFonts w:ascii="微软雅黑" w:hAnsi="微软雅黑" w:cs="微软雅黑" w:hint="eastAsia" w:eastAsia="仿宋_GB2312;仿宋"/>
          <w:b/>
          <w:bCs/>
          <w:color w:val="000000"/>
          <w:sz w:val="32"/>
          <w:szCs w:val="32"/>
        </w:rPr>
        <w:t xml:space="preserve"> </w:t>
      </w:r>
      <w:r>
        <w:rPr>
          <w:rFonts w:ascii="微软雅黑" w:hAnsi="微软雅黑" w:cs="微软雅黑" w:hint="eastAsia" w:eastAsia="仿宋_GB2312;仿宋"/>
          <w:b w:val="false"/>
          <w:bCs w:val="false"/>
          <w:color w:val="000000"/>
          <w:sz w:val="32"/>
          <w:szCs w:val="32"/>
        </w:rPr>
        <w:t>鼓励和支持公民见义勇为，按照有关规定对见义勇为人员予以表彰、奖励和保障。</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b/>
          <w:bCs/>
          <w:color w:val="000000"/>
          <w:sz w:val="32"/>
          <w:szCs w:val="32"/>
        </w:rPr>
      </w:pPr>
      <w:r>
        <w:rPr>
          <w:rFonts w:ascii="黑体" w:hAnsi="黑体" w:cs="黑体" w:hint="eastAsia" w:eastAsia="黑体"/>
          <w:b w:val="false"/>
          <w:bCs w:val="false"/>
          <w:spacing w:val="0"/>
          <w:kern w:val="2"/>
          <w:sz w:val="32"/>
          <w:szCs w:val="32"/>
        </w:rPr>
        <w:t>第十六条</w:t>
      </w:r>
      <w:r>
        <w:rPr>
          <w:rFonts w:ascii="仿宋_GB2312;仿宋" w:hAnsi="仿宋_GB2312;仿宋" w:cs="微软雅黑" w:hint="eastAsia" w:eastAsia="仿宋_GB2312;仿宋"/>
          <w:b/>
          <w:bCs/>
          <w:color w:val="000000"/>
          <w:sz w:val="32"/>
          <w:szCs w:val="32"/>
        </w:rPr>
        <w:t xml:space="preserve"> </w:t>
      </w:r>
      <w:r>
        <w:rPr>
          <w:rFonts w:ascii="仿宋_GB2312;仿宋" w:hAnsi="仿宋_GB2312;仿宋" w:cs="微软雅黑" w:hint="eastAsia" w:eastAsia="仿宋_GB2312;仿宋"/>
          <w:b w:val="false"/>
          <w:bCs w:val="false"/>
          <w:color w:val="000000"/>
          <w:sz w:val="32"/>
          <w:szCs w:val="32"/>
        </w:rPr>
        <w:t>鼓励无偿献血和自愿捐献造血干细胞、遗体及器官，无偿献血者及其配偶、父母、子女在使用血液时，依法保障合法权益。</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微软雅黑" w:hAnsi="微软雅黑" w:eastAsia="仿宋_GB2312;仿宋" w:cs="微软雅黑" w:hint="eastAsia"/>
          <w:color w:val="000000"/>
          <w:sz w:val="32"/>
          <w:szCs w:val="32"/>
        </w:rPr>
      </w:pPr>
      <w:r>
        <w:rPr>
          <w:rFonts w:ascii="黑体" w:hAnsi="黑体" w:cs="黑体" w:hint="eastAsia" w:eastAsia="黑体"/>
          <w:b w:val="false"/>
          <w:bCs w:val="false"/>
          <w:spacing w:val="0"/>
          <w:kern w:val="2"/>
          <w:sz w:val="32"/>
          <w:szCs w:val="32"/>
        </w:rPr>
        <w:t xml:space="preserve">第十七条 </w:t>
      </w:r>
      <w:r>
        <w:rPr>
          <w:rFonts w:ascii="微软雅黑" w:hAnsi="微软雅黑" w:cs="微软雅黑" w:hint="eastAsia" w:eastAsia="仿宋_GB2312;仿宋"/>
          <w:color w:val="000000"/>
          <w:sz w:val="32"/>
          <w:szCs w:val="32"/>
        </w:rPr>
        <w:t xml:space="preserve"> 鼓励机场、车站、医疗机构、大型商场、景区景点等公共场所设置母婴室、残疾人专用卫生间或者第三卫生间。鼓励国家机关、企事业单位、社会组织的卫生间向社会免费开放。</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color w:val="000000"/>
          <w:sz w:val="32"/>
          <w:szCs w:val="32"/>
        </w:rPr>
      </w:pPr>
      <w:r>
        <w:rPr>
          <w:rFonts w:ascii="黑体" w:hAnsi="黑体" w:cs="黑体" w:hint="eastAsia" w:eastAsia="黑体"/>
          <w:b w:val="false"/>
          <w:bCs w:val="false"/>
          <w:spacing w:val="0"/>
          <w:kern w:val="2"/>
          <w:sz w:val="32"/>
          <w:szCs w:val="32"/>
        </w:rPr>
        <w:t>第十八条</w:t>
      </w:r>
      <w:r>
        <w:rPr>
          <w:rFonts w:ascii="仿宋_GB2312;仿宋" w:hAnsi="仿宋_GB2312;仿宋" w:cs="微软雅黑" w:hint="eastAsia" w:eastAsia="仿宋_GB2312;仿宋"/>
          <w:color w:val="000000"/>
          <w:sz w:val="32"/>
          <w:szCs w:val="32"/>
        </w:rPr>
        <w:t xml:space="preserve">  鼓励国家机关、企事业单位、人民团体、社会组织聘请监督员对公共场所不文明行为予以劝阻；属于违法行为的，应当及时予以制止，报告有关行政执法部门，并协助取证。</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b/>
          <w:bCs/>
          <w:color w:val="000000"/>
          <w:sz w:val="32"/>
          <w:szCs w:val="32"/>
        </w:rPr>
      </w:pPr>
      <w:r>
        <w:rPr>
          <w:rFonts w:ascii="仿宋_GB2312;仿宋" w:hAnsi="仿宋_GB2312;仿宋" w:cs="微软雅黑" w:hint="eastAsia" w:eastAsia="仿宋_GB2312;仿宋"/>
          <w:color w:val="000000"/>
          <w:sz w:val="32"/>
          <w:szCs w:val="32"/>
        </w:rPr>
        <w:t>鼓励国家机关、企事业单位、社会组织设立爱心服务点，为环卫工人、户外劳动者和其他需要帮助的人员提供饮用水、餐食加热、休憩如厕等便利服务。</w:t>
      </w:r>
      <w:r>
        <w:rPr>
          <w:rFonts w:ascii="仿宋_GB2312;仿宋" w:hAnsi="仿宋_GB2312;仿宋" w:cs="微软雅黑" w:hint="eastAsia" w:eastAsia="仿宋_GB2312;仿宋"/>
          <w:b/>
          <w:bCs/>
          <w:color w:val="000000"/>
          <w:sz w:val="32"/>
          <w:szCs w:val="32"/>
        </w:rPr>
        <w:t xml:space="preserve"> </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200" w:before="0" w:after="0"/>
        <w:ind w:firstLineChars="200" w:startChars="0" w:start="0" w:endChars="0" w:end="0"/>
        <w:jc w:val="both"/>
        <w:textAlignment w:val="auto"/>
        <w:rPr>
          <w:rFonts w:ascii="仿宋_GB2312;仿宋" w:hAnsi="仿宋_GB2312;仿宋" w:eastAsia="仿宋_GB2312;仿宋" w:cs="微软雅黑" w:hint="eastAsia"/>
          <w:b/>
          <w:bCs/>
          <w:color w:val="000000"/>
          <w:sz w:val="32"/>
          <w:szCs w:val="32"/>
        </w:rPr>
      </w:pPr>
      <w:r>
        <w:rPr>
          <w:rFonts w:eastAsia="仿宋_GB2312;仿宋" w:cs="微软雅黑" w:hint="eastAsia" w:ascii="仿宋_GB2312;仿宋" w:hAnsi="仿宋_GB2312;仿宋"/>
          <w:b/>
          <w:bCs/>
          <w:color w:val="000000"/>
          <w:sz w:val="32"/>
          <w:szCs w:val="32"/>
        </w:rPr>
      </w:r>
    </w:p>
    <w:p>
      <w:pPr>
        <w:pStyle w:val="Style15"/>
        <w:keepNext w:val="false"/>
        <w:keepLines w:val="false"/>
        <w:pageBreakBefore w:val="false"/>
        <w:numPr>
          <w:ilvl w:val="0"/>
          <w:numId w:val="1"/>
        </w:numPr>
        <w:shd w:fill="FFFFFF" w:val="clear"/>
        <w:kinsoku w:val="true"/>
        <w:overflowPunct w:val="true"/>
        <w:autoSpaceDE w:val="true"/>
        <w:bidi w:val="0"/>
        <w:snapToGrid w:val="false"/>
        <w:spacing w:lineRule="exact" w:line="560" w:before="0" w:after="0"/>
        <w:ind w:firstLineChars="100" w:startChars="0" w:start="0" w:endChars="0" w:end="0"/>
        <w:jc w:val="both"/>
        <w:textAlignment w:val="auto"/>
        <w:rPr>
          <w:rStyle w:val="Strong"/>
          <w:rFonts w:ascii="黑体" w:hAnsi="黑体" w:eastAsia="黑体" w:cs="Times New Roman" w:hint="eastAsia"/>
          <w:b w:val="false"/>
          <w:bCs/>
          <w:color w:val="000000"/>
          <w:sz w:val="32"/>
          <w:szCs w:val="32"/>
        </w:rPr>
      </w:pPr>
      <w:r>
        <w:rPr>
          <w:rStyle w:val="Strong"/>
          <w:rFonts w:eastAsia="黑体" w:cs="Times New Roman" w:hint="eastAsia" w:ascii="黑体" w:hAnsi="黑体"/>
          <w:b w:val="false"/>
          <w:bCs/>
          <w:color w:val="000000"/>
          <w:sz w:val="32"/>
          <w:szCs w:val="32"/>
        </w:rPr>
        <w:t xml:space="preserve"> </w:t>
      </w:r>
      <w:r>
        <w:rPr>
          <w:rStyle w:val="Strong"/>
          <w:rFonts w:ascii="黑体" w:hAnsi="黑体" w:cs="Times New Roman" w:hint="eastAsia" w:eastAsia="黑体"/>
          <w:b w:val="false"/>
          <w:bCs/>
          <w:color w:val="000000"/>
          <w:sz w:val="32"/>
          <w:szCs w:val="32"/>
        </w:rPr>
        <w:t>保障与监督</w:t>
      </w:r>
    </w:p>
    <w:p>
      <w:pPr>
        <w:pStyle w:val="Style15"/>
        <w:keepNext w:val="false"/>
        <w:keepLines w:val="false"/>
        <w:pageBreakBefore w:val="false"/>
        <w:widowControl/>
        <w:numPr>
          <w:ilvl w:val="0"/>
          <w:numId w:val="0"/>
        </w:numPr>
        <w:shd w:fill="FFFFFF" w:val="clear"/>
        <w:kinsoku w:val="true"/>
        <w:overflowPunct w:val="true"/>
        <w:autoSpaceDE w:val="true"/>
        <w:bidi w:val="0"/>
        <w:snapToGrid w:val="false"/>
        <w:spacing w:lineRule="exact" w:line="340" w:before="0" w:after="0"/>
        <w:ind w:firstLineChars="0" w:firstLine="0" w:startChars="0" w:start="0" w:endChars="0" w:end="0"/>
        <w:jc w:val="both"/>
        <w:textAlignment w:val="auto"/>
        <w:rPr>
          <w:rStyle w:val="Strong"/>
          <w:rFonts w:ascii="黑体" w:hAnsi="黑体" w:eastAsia="黑体" w:cs="Times New Roman"/>
          <w:b w:val="false"/>
          <w:bCs/>
          <w:color w:val="000000"/>
          <w:sz w:val="32"/>
          <w:szCs w:val="32"/>
        </w:rPr>
      </w:pPr>
      <w:r>
        <w:rPr/>
      </w:r>
    </w:p>
    <w:p>
      <w:pPr>
        <w:pStyle w:val="Style15"/>
        <w:keepNext w:val="false"/>
        <w:keepLines w:val="false"/>
        <w:pageBreakBefore w:val="false"/>
        <w:numPr>
          <w:ilvl w:val="0"/>
          <w:numId w:val="0"/>
        </w:numPr>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仿宋_GB2312;仿宋"/>
          <w:b w:val="false"/>
          <w:bCs w:val="false"/>
          <w:color w:val="000000"/>
          <w:sz w:val="32"/>
          <w:szCs w:val="32"/>
        </w:rPr>
      </w:pPr>
      <w:r>
        <w:rPr>
          <w:rFonts w:ascii="黑体" w:hAnsi="黑体" w:cs="黑体" w:eastAsia="黑体"/>
          <w:b w:val="false"/>
          <w:bCs w:val="false"/>
          <w:spacing w:val="0"/>
          <w:kern w:val="2"/>
          <w:sz w:val="32"/>
          <w:szCs w:val="32"/>
        </w:rPr>
        <w:t>第十九条</w:t>
      </w:r>
      <w:r>
        <w:rPr>
          <w:rFonts w:ascii="仿宋_GB2312;仿宋" w:hAnsi="仿宋_GB2312;仿宋" w:cs="微软雅黑" w:eastAsia="仿宋_GB2312;仿宋"/>
          <w:color w:val="000000"/>
          <w:sz w:val="32"/>
          <w:szCs w:val="32"/>
        </w:rPr>
        <w:t xml:space="preserve">  </w:t>
      </w:r>
      <w:r>
        <w:rPr>
          <w:rStyle w:val="Strong"/>
          <w:rFonts w:ascii="仿宋_GB2312;仿宋" w:hAnsi="仿宋_GB2312;仿宋" w:cs="仿宋_GB2312;仿宋" w:eastAsia="仿宋_GB2312;仿宋"/>
          <w:b w:val="false"/>
          <w:bCs w:val="false"/>
          <w:color w:val="000000"/>
          <w:sz w:val="32"/>
          <w:szCs w:val="32"/>
        </w:rPr>
        <w:t>市、县（市、区）人民政府及有关部门、精神文明建设委员会及其办事机构，应当定期组织开展文明城市、文明村镇、文明单位、文明家庭、文明校园等创建活动</w:t>
      </w:r>
      <w:r>
        <w:rPr>
          <w:rStyle w:val="Strong"/>
          <w:rFonts w:ascii="仿宋_GB2312;仿宋" w:hAnsi="仿宋_GB2312;仿宋" w:cs="仿宋_GB2312;仿宋" w:hint="eastAsia" w:eastAsia="仿宋_GB2312;仿宋"/>
          <w:b w:val="false"/>
          <w:bCs w:val="false"/>
          <w:color w:val="000000"/>
          <w:sz w:val="32"/>
          <w:szCs w:val="32"/>
        </w:rPr>
        <w:t>。组织、指导完善市民公约，指导、支持行业协会、窗口单位、基层自治组织、社区、学校等依法制定自律章程、服务规范、村规民约、居民公约、业主公约、学生守则等自律自治规范，</w:t>
      </w:r>
      <w:r>
        <w:rPr>
          <w:rStyle w:val="Strong"/>
          <w:rFonts w:ascii="仿宋_GB2312;仿宋" w:hAnsi="仿宋_GB2312;仿宋" w:cs="仿宋_GB2312;仿宋" w:eastAsia="仿宋_GB2312;仿宋"/>
          <w:b w:val="false"/>
          <w:bCs w:val="false"/>
          <w:color w:val="000000"/>
          <w:sz w:val="32"/>
          <w:szCs w:val="32"/>
        </w:rPr>
        <w:t>推动文明行为促进工作。</w:t>
      </w:r>
    </w:p>
    <w:p>
      <w:pPr>
        <w:pStyle w:val="Style15"/>
        <w:keepNext w:val="false"/>
        <w:keepLines w:val="false"/>
        <w:pageBreakBefore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仿宋_GB2312;仿宋"/>
          <w:b w:val="false"/>
          <w:bCs w:val="false"/>
          <w:color w:val="000000"/>
          <w:sz w:val="32"/>
          <w:szCs w:val="32"/>
        </w:rPr>
      </w:pPr>
      <w:r>
        <w:rPr>
          <w:rFonts w:ascii="黑体" w:hAnsi="黑体" w:cs="黑体" w:eastAsia="黑体"/>
          <w:b w:val="false"/>
          <w:bCs w:val="false"/>
          <w:spacing w:val="0"/>
          <w:kern w:val="2"/>
          <w:sz w:val="32"/>
          <w:szCs w:val="32"/>
        </w:rPr>
        <w:t>第</w:t>
      </w:r>
      <w:r>
        <w:rPr>
          <w:rFonts w:ascii="黑体" w:hAnsi="黑体" w:cs="黑体" w:hint="eastAsia" w:eastAsia="黑体"/>
          <w:b w:val="false"/>
          <w:bCs w:val="false"/>
          <w:spacing w:val="0"/>
          <w:kern w:val="2"/>
          <w:sz w:val="32"/>
          <w:szCs w:val="32"/>
        </w:rPr>
        <w:t>二十</w:t>
      </w:r>
      <w:r>
        <w:rPr>
          <w:rFonts w:ascii="黑体" w:hAnsi="黑体" w:cs="黑体" w:eastAsia="黑体"/>
          <w:b w:val="false"/>
          <w:bCs w:val="false"/>
          <w:spacing w:val="0"/>
          <w:kern w:val="2"/>
          <w:sz w:val="32"/>
          <w:szCs w:val="32"/>
        </w:rPr>
        <w:t>条</w:t>
      </w:r>
      <w:r>
        <w:rPr>
          <w:rStyle w:val="Strong"/>
          <w:rFonts w:ascii="仿宋_GB2312;仿宋" w:hAnsi="仿宋_GB2312;仿宋" w:cs="仿宋_GB2312;仿宋" w:eastAsia="仿宋_GB2312;仿宋"/>
          <w:b w:val="false"/>
          <w:bCs w:val="false"/>
          <w:color w:val="000000"/>
          <w:sz w:val="32"/>
          <w:szCs w:val="32"/>
        </w:rPr>
        <w:t xml:space="preserve"> 市、县（市、区）人民政府及有关部门、精神文明建设委员会及其办事机构，应当</w:t>
      </w:r>
      <w:r>
        <w:rPr>
          <w:rStyle w:val="Strong"/>
          <w:rFonts w:ascii="仿宋_GB2312;仿宋" w:hAnsi="仿宋_GB2312;仿宋" w:cs="仿宋_GB2312;仿宋" w:hint="eastAsia" w:eastAsia="仿宋_GB2312;仿宋"/>
          <w:b w:val="false"/>
          <w:bCs w:val="false"/>
          <w:color w:val="000000"/>
          <w:sz w:val="32"/>
          <w:szCs w:val="32"/>
        </w:rPr>
        <w:t>建立健全表彰奖励制度和帮扶制度，按照有关规定对文明创建、文明行为及促进工作成效突出的单位和个人进行表彰奖励</w:t>
      </w:r>
      <w:r>
        <w:rPr>
          <w:rFonts w:ascii="仿宋_GB2312;仿宋" w:hAnsi="仿宋_GB2312;仿宋" w:cs="微软雅黑" w:hint="eastAsia" w:eastAsia="仿宋_GB2312;仿宋"/>
          <w:color w:val="000000"/>
          <w:sz w:val="32"/>
          <w:szCs w:val="32"/>
        </w:rPr>
        <w:t>，对生活有困难的道德典型给予帮扶。鼓励用人单位择优录用聘用道德模范、承德好人、优秀志愿者等道德建设先进典型。</w:t>
      </w:r>
    </w:p>
    <w:p>
      <w:pPr>
        <w:pStyle w:val="Style15"/>
        <w:keepNext w:val="false"/>
        <w:keepLines w:val="false"/>
        <w:pageBreakBefore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仿宋_GB2312;仿宋" w:hint="eastAsia"/>
          <w:b w:val="false"/>
          <w:bCs w:val="false"/>
          <w:color w:val="000000"/>
          <w:sz w:val="32"/>
          <w:szCs w:val="32"/>
        </w:rPr>
      </w:pPr>
      <w:r>
        <w:rPr>
          <w:rFonts w:ascii="黑体" w:hAnsi="黑体" w:cs="黑体" w:eastAsia="黑体"/>
          <w:b w:val="false"/>
          <w:bCs w:val="false"/>
          <w:spacing w:val="0"/>
          <w:kern w:val="2"/>
          <w:sz w:val="32"/>
          <w:szCs w:val="32"/>
        </w:rPr>
        <w:t>第</w:t>
      </w:r>
      <w:r>
        <w:rPr>
          <w:rFonts w:ascii="黑体" w:hAnsi="黑体" w:cs="黑体" w:hint="eastAsia" w:eastAsia="黑体"/>
          <w:b w:val="false"/>
          <w:bCs w:val="false"/>
          <w:spacing w:val="0"/>
          <w:kern w:val="2"/>
          <w:sz w:val="32"/>
          <w:szCs w:val="32"/>
        </w:rPr>
        <w:t>二十一</w:t>
      </w:r>
      <w:r>
        <w:rPr>
          <w:rFonts w:ascii="黑体" w:hAnsi="黑体" w:cs="黑体" w:eastAsia="黑体"/>
          <w:b w:val="false"/>
          <w:bCs w:val="false"/>
          <w:spacing w:val="0"/>
          <w:kern w:val="2"/>
          <w:sz w:val="32"/>
          <w:szCs w:val="32"/>
        </w:rPr>
        <w:t>条</w:t>
      </w:r>
      <w:r>
        <w:rPr>
          <w:rStyle w:val="Strong"/>
          <w:rFonts w:ascii="仿宋_GB2312;仿宋" w:hAnsi="仿宋_GB2312;仿宋" w:cs="仿宋_GB2312;仿宋" w:eastAsia="仿宋_GB2312;仿宋"/>
          <w:b w:val="false"/>
          <w:bCs w:val="false"/>
          <w:color w:val="000000"/>
          <w:sz w:val="32"/>
          <w:szCs w:val="32"/>
        </w:rPr>
        <w:t xml:space="preserve"> </w:t>
      </w:r>
      <w:r>
        <w:rPr>
          <w:rStyle w:val="Strong"/>
          <w:rFonts w:ascii="仿宋_GB2312;仿宋" w:hAnsi="仿宋_GB2312;仿宋" w:cs="仿宋_GB2312;仿宋" w:hint="eastAsia" w:eastAsia="仿宋_GB2312;仿宋"/>
          <w:b w:val="false"/>
          <w:bCs w:val="false"/>
          <w:color w:val="000000"/>
          <w:sz w:val="32"/>
          <w:szCs w:val="32"/>
        </w:rPr>
        <w:t>市、县（市、区）</w:t>
      </w:r>
      <w:r>
        <w:rPr>
          <w:rStyle w:val="Strong"/>
          <w:rFonts w:ascii="仿宋_GB2312;仿宋" w:hAnsi="仿宋_GB2312;仿宋" w:cs="仿宋_GB2312;仿宋" w:eastAsia="仿宋_GB2312;仿宋"/>
          <w:b w:val="false"/>
          <w:bCs w:val="false"/>
          <w:color w:val="000000"/>
          <w:sz w:val="32"/>
          <w:szCs w:val="32"/>
        </w:rPr>
        <w:t>人民政府及有关部门应当科学规划</w:t>
      </w:r>
      <w:r>
        <w:rPr>
          <w:rStyle w:val="Strong"/>
          <w:rFonts w:ascii="仿宋_GB2312;仿宋" w:hAnsi="仿宋_GB2312;仿宋" w:cs="仿宋_GB2312;仿宋" w:hint="eastAsia" w:eastAsia="仿宋_GB2312;仿宋"/>
          <w:b w:val="false"/>
          <w:bCs w:val="false"/>
          <w:color w:val="000000"/>
          <w:sz w:val="32"/>
          <w:szCs w:val="32"/>
        </w:rPr>
        <w:t>设计城乡基础设施，建设完善公共交通、垃圾污水处理、公共厕所、停车泊位、无障碍设施等基础设施，逐步完善城市公共汽车驾驶区域安全防护隔离设施。</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仿宋_GB2312;仿宋" w:hint="eastAsia"/>
          <w:b/>
          <w:bCs w:val="false"/>
          <w:color w:val="000000"/>
          <w:sz w:val="32"/>
          <w:szCs w:val="32"/>
        </w:rPr>
      </w:pPr>
      <w:r>
        <w:rPr>
          <w:rStyle w:val="Strong"/>
          <w:rFonts w:ascii="仿宋_GB2312;仿宋" w:hAnsi="仿宋_GB2312;仿宋" w:cs="仿宋_GB2312;仿宋" w:hint="eastAsia" w:eastAsia="仿宋_GB2312;仿宋"/>
          <w:b w:val="false"/>
          <w:bCs w:val="false"/>
          <w:color w:val="000000"/>
          <w:sz w:val="32"/>
          <w:szCs w:val="32"/>
        </w:rPr>
        <w:t>设施经营管理单位应当加强日常检查、维护管理，保证设施完好、使用正常、整洁有序。在设施醒目位置设置文明告知、文明提醒、文明规劝等提示牌。</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val="false"/>
          <w:spacing w:val="0"/>
          <w:kern w:val="2"/>
          <w:sz w:val="32"/>
          <w:szCs w:val="32"/>
        </w:rPr>
        <w:t>第二十二条</w:t>
      </w:r>
      <w:r>
        <w:rPr>
          <w:rStyle w:val="Strong"/>
          <w:rFonts w:ascii="仿宋_GB2312;仿宋" w:hAnsi="仿宋_GB2312;仿宋" w:cs="仿宋_GB2312;仿宋" w:hint="eastAsia" w:eastAsia="仿宋_GB2312;仿宋"/>
          <w:b w:val="false"/>
          <w:bCs/>
          <w:color w:val="000000"/>
          <w:sz w:val="32"/>
          <w:szCs w:val="32"/>
        </w:rPr>
        <w:t xml:space="preserve"> 市、县（市、区）人民政府及有关部门、医疗机构、金融机构、公用企业等，应当根据服务范围和规模，合理布局服务网点，规范设置服务窗口，完善办事流程，简化办事程序，推广网上预约、网上办理等信息化、大数据技术应用，提供便捷高效服务，及时有序为服务对象办理相关业务。</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仿宋_GB2312;仿宋" w:hAnsi="仿宋_GB2312;仿宋" w:eastAsia="仿宋_GB2312;仿宋" w:cs="仿宋_GB2312;仿宋" w:hint="eastAsia"/>
          <w:b w:val="false"/>
          <w:bCs/>
          <w:color w:val="000000"/>
          <w:sz w:val="32"/>
          <w:szCs w:val="32"/>
        </w:rPr>
      </w:pPr>
      <w:r>
        <w:rPr>
          <w:rStyle w:val="Strong"/>
          <w:rFonts w:ascii="仿宋_GB2312;仿宋" w:hAnsi="仿宋_GB2312;仿宋" w:cs="仿宋_GB2312;仿宋" w:hint="eastAsia" w:eastAsia="仿宋_GB2312;仿宋"/>
          <w:b w:val="false"/>
          <w:bCs/>
          <w:color w:val="000000"/>
          <w:sz w:val="32"/>
          <w:szCs w:val="32"/>
        </w:rPr>
        <w:t>市、县（市、区）人民政府及有关部门</w:t>
      </w:r>
      <w:r>
        <w:rPr>
          <w:rFonts w:ascii="仿宋_GB2312;仿宋" w:hAnsi="仿宋_GB2312;仿宋" w:hint="eastAsia" w:eastAsia="仿宋_GB2312;仿宋"/>
          <w:b w:val="false"/>
          <w:bCs w:val="false"/>
          <w:color w:val="000000"/>
          <w:sz w:val="32"/>
          <w:szCs w:val="32"/>
        </w:rPr>
        <w:t>应当加强诚信体系建设，引导经营者文明经营。</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微软雅黑" w:hAnsi="微软雅黑" w:eastAsia="仿宋_GB2312;仿宋" w:cs="微软雅黑" w:hint="eastAsia"/>
          <w:color w:val="000000"/>
          <w:sz w:val="32"/>
          <w:szCs w:val="32"/>
        </w:rPr>
      </w:pPr>
      <w:r>
        <w:rPr>
          <w:rFonts w:ascii="黑体" w:hAnsi="黑体" w:cs="黑体" w:hint="eastAsia" w:eastAsia="黑体"/>
          <w:b w:val="false"/>
          <w:bCs w:val="false"/>
          <w:spacing w:val="0"/>
          <w:kern w:val="2"/>
          <w:sz w:val="32"/>
          <w:szCs w:val="32"/>
        </w:rPr>
        <w:t>第二十三条</w:t>
      </w:r>
      <w:r>
        <w:rPr>
          <w:rStyle w:val="Strong"/>
          <w:rFonts w:ascii="仿宋_GB2312;仿宋" w:hAnsi="仿宋_GB2312;仿宋" w:cs="仿宋_GB2312;仿宋" w:hint="eastAsia" w:eastAsia="仿宋_GB2312;仿宋"/>
          <w:b w:val="false"/>
          <w:bCs/>
          <w:color w:val="000000"/>
          <w:sz w:val="32"/>
          <w:szCs w:val="32"/>
        </w:rPr>
        <w:t xml:space="preserve"> </w:t>
      </w:r>
      <w:r>
        <w:rPr>
          <w:rFonts w:ascii="仿宋_GB2312;仿宋" w:hAnsi="仿宋_GB2312;仿宋" w:hint="eastAsia" w:eastAsia="仿宋_GB2312;仿宋"/>
          <w:b w:val="false"/>
          <w:bCs w:val="false"/>
          <w:color w:val="000000"/>
          <w:sz w:val="32"/>
          <w:szCs w:val="32"/>
        </w:rPr>
        <w:t>财政部门</w:t>
      </w:r>
      <w:r>
        <w:rPr>
          <w:rFonts w:ascii="仿宋_GB2312;仿宋" w:hAnsi="仿宋_GB2312;仿宋" w:hint="eastAsia" w:eastAsia="仿宋_GB2312;仿宋"/>
          <w:color w:val="000000"/>
          <w:sz w:val="32"/>
          <w:szCs w:val="32"/>
        </w:rPr>
        <w:t>应当将文明行为促进工作所需经费列入同级财政预算，</w:t>
      </w:r>
      <w:r>
        <w:rPr>
          <w:rFonts w:ascii="仿宋_GB2312;仿宋" w:hAnsi="仿宋_GB2312;仿宋" w:cs="微软雅黑" w:hint="eastAsia" w:eastAsia="仿宋_GB2312;仿宋"/>
          <w:color w:val="000000"/>
          <w:sz w:val="32"/>
          <w:szCs w:val="32"/>
        </w:rPr>
        <w:t>支持、引导单位和个人以提供资金、技术、劳动力、媒介资源等方式参与文明行为促进工作。</w:t>
      </w:r>
      <w:r>
        <w:rPr>
          <w:rFonts w:ascii="微软雅黑" w:hAnsi="微软雅黑" w:cs="微软雅黑" w:hint="eastAsia" w:eastAsia="仿宋_GB2312;仿宋"/>
          <w:color w:val="000000"/>
          <w:sz w:val="32"/>
          <w:szCs w:val="32"/>
        </w:rPr>
        <w:t> </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b w:val="false"/>
          <w:bCs w:val="false"/>
          <w:spacing w:val="0"/>
          <w:kern w:val="2"/>
          <w:sz w:val="32"/>
          <w:szCs w:val="32"/>
        </w:rPr>
        <w:t>第二十四条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b w:val="false"/>
          <w:bCs w:val="false"/>
          <w:color w:val="000000"/>
          <w:sz w:val="32"/>
          <w:szCs w:val="32"/>
        </w:rPr>
        <w:t>教育主管部门和学校应当开展文明校园创建活动，推进中华优秀传统文化教育，开展文明行为、文明礼仪教育，并将其纳入中小学校、幼儿园的教学内容。</w:t>
      </w:r>
      <w:r>
        <w:rPr>
          <w:rFonts w:ascii="仿宋_GB2312;仿宋" w:hAnsi="仿宋_GB2312;仿宋" w:hint="eastAsia" w:eastAsia="仿宋_GB2312;仿宋"/>
          <w:color w:val="000000"/>
          <w:sz w:val="32"/>
          <w:szCs w:val="32"/>
        </w:rPr>
        <w:t>学校应当积极开展文明校园创建活动，加强师德师风建设，培育教师和学生文明习惯，鼓励表彰文明行为。社会应当依法加强师生权益保护，维护学校教学秩序。家庭应当关注子女的生理、心理状况和情感需求，教育养成良好的思想品德和行为习惯。</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b w:val="false"/>
          <w:bCs w:val="false"/>
          <w:spacing w:val="0"/>
          <w:kern w:val="2"/>
          <w:sz w:val="32"/>
          <w:szCs w:val="32"/>
        </w:rPr>
        <w:t>第二十五条</w:t>
      </w:r>
      <w:r>
        <w:rPr>
          <w:rFonts w:ascii="仿宋_GB2312;仿宋" w:hAnsi="仿宋_GB2312;仿宋" w:hint="eastAsia" w:eastAsia="仿宋_GB2312;仿宋"/>
          <w:color w:val="000000"/>
          <w:sz w:val="32"/>
          <w:szCs w:val="32"/>
        </w:rPr>
        <w:t xml:space="preserve"> 旅游和文化广电主管部门应当加强行业监管，规范旅行社、导游、景区景点经营管理单位经营服务行为，促进诚信经营、文明服务。</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旅行社、导游应当向旅游者告知和解释旅游文明行为规范，引导旅游者健康、文明旅游，不误导、强制旅游者消费。</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b w:val="false"/>
          <w:bCs w:val="false"/>
          <w:color w:val="000000"/>
          <w:sz w:val="32"/>
          <w:szCs w:val="32"/>
        </w:rPr>
      </w:pPr>
      <w:r>
        <w:rPr>
          <w:rFonts w:ascii="黑体" w:hAnsi="黑体" w:cs="黑体" w:hint="eastAsia" w:eastAsia="黑体"/>
          <w:b w:val="false"/>
          <w:bCs w:val="false"/>
          <w:spacing w:val="0"/>
          <w:kern w:val="2"/>
          <w:sz w:val="32"/>
          <w:szCs w:val="32"/>
        </w:rPr>
        <w:t>第二十六条</w:t>
      </w:r>
      <w:r>
        <w:rPr>
          <w:rFonts w:ascii="仿宋_GB2312;仿宋" w:hAnsi="仿宋_GB2312;仿宋" w:hint="eastAsia" w:eastAsia="仿宋_GB2312;仿宋"/>
          <w:b w:val="false"/>
          <w:bCs w:val="false"/>
          <w:color w:val="000000"/>
          <w:sz w:val="32"/>
          <w:szCs w:val="32"/>
        </w:rPr>
        <w:t xml:space="preserve"> 卫生健康主管部门、医疗卫生机构应当加强医护人员职业道德建设，做好就医咨询引导工作，普及医疗健康常识，加强传染病防治的法治宣传教育，形成公平有序、方便快捷的就医环境。</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b w:val="false"/>
          <w:bCs w:val="false"/>
          <w:spacing w:val="0"/>
          <w:kern w:val="2"/>
          <w:sz w:val="32"/>
          <w:szCs w:val="32"/>
        </w:rPr>
        <w:t>第二十七条</w:t>
      </w:r>
      <w:r>
        <w:rPr>
          <w:rFonts w:ascii="仿宋_GB2312;仿宋" w:hAnsi="仿宋_GB2312;仿宋" w:hint="eastAsia" w:eastAsia="仿宋_GB2312;仿宋"/>
          <w:color w:val="000000"/>
          <w:sz w:val="32"/>
          <w:szCs w:val="32"/>
        </w:rPr>
        <w:t xml:space="preserve"> 网信管理部门应当加强网络文明建设，监测网络不文明行为，打击网络违法行为。</w:t>
      </w:r>
    </w:p>
    <w:p>
      <w:pPr>
        <w:pStyle w:val="Style15"/>
        <w:keepNext w:val="false"/>
        <w:keepLines w:val="false"/>
        <w:pageBreakBefore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eastAsia="黑体"/>
          <w:b w:val="false"/>
          <w:bCs w:val="false"/>
          <w:spacing w:val="0"/>
          <w:kern w:val="2"/>
          <w:sz w:val="32"/>
          <w:szCs w:val="32"/>
        </w:rPr>
        <w:t>第</w:t>
      </w:r>
      <w:r>
        <w:rPr>
          <w:rFonts w:ascii="黑体" w:hAnsi="黑体" w:cs="黑体" w:hint="eastAsia" w:eastAsia="黑体"/>
          <w:b w:val="false"/>
          <w:bCs w:val="false"/>
          <w:spacing w:val="0"/>
          <w:kern w:val="2"/>
          <w:sz w:val="32"/>
          <w:szCs w:val="32"/>
        </w:rPr>
        <w:t>二十八</w:t>
      </w:r>
      <w:r>
        <w:rPr>
          <w:rFonts w:ascii="黑体" w:hAnsi="黑体" w:cs="黑体" w:eastAsia="黑体"/>
          <w:b w:val="false"/>
          <w:bCs w:val="false"/>
          <w:spacing w:val="0"/>
          <w:kern w:val="2"/>
          <w:sz w:val="32"/>
          <w:szCs w:val="32"/>
        </w:rPr>
        <w:t>条</w:t>
      </w:r>
      <w:r>
        <w:rPr>
          <w:rStyle w:val="Strong"/>
          <w:rFonts w:ascii="仿宋_GB2312;仿宋" w:hAnsi="仿宋_GB2312;仿宋" w:cs="仿宋_GB2312;仿宋" w:eastAsia="仿宋_GB2312;仿宋"/>
          <w:b w:val="false"/>
          <w:bCs w:val="false"/>
          <w:color w:val="000000"/>
          <w:sz w:val="32"/>
          <w:szCs w:val="32"/>
        </w:rPr>
        <w:t xml:space="preserve"> </w:t>
      </w:r>
      <w:r>
        <w:rPr>
          <w:rStyle w:val="Strong"/>
          <w:rFonts w:ascii="仿宋_GB2312;仿宋" w:hAnsi="仿宋_GB2312;仿宋" w:cs="仿宋_GB2312;仿宋" w:hint="eastAsia" w:eastAsia="仿宋_GB2312;仿宋"/>
          <w:b w:val="false"/>
          <w:bCs w:val="false"/>
          <w:color w:val="000000"/>
          <w:sz w:val="32"/>
          <w:szCs w:val="32"/>
        </w:rPr>
        <w:t>市、县（市、区）</w:t>
      </w:r>
      <w:r>
        <w:rPr>
          <w:rStyle w:val="Strong"/>
          <w:rFonts w:ascii="仿宋_GB2312;仿宋" w:hAnsi="仿宋_GB2312;仿宋" w:cs="仿宋_GB2312;仿宋" w:eastAsia="仿宋_GB2312;仿宋"/>
          <w:b w:val="false"/>
          <w:bCs w:val="false"/>
          <w:color w:val="000000"/>
          <w:sz w:val="32"/>
          <w:szCs w:val="32"/>
        </w:rPr>
        <w:t>人民政府及有关部门应当加强农村环境整治和保护，持续改善农村人居环境，加强农村公共服务体系建设。</w:t>
      </w:r>
    </w:p>
    <w:p>
      <w:pPr>
        <w:pStyle w:val="Style15"/>
        <w:keepNext w:val="false"/>
        <w:keepLines w:val="false"/>
        <w:pageBreakBefore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Style w:val="Strong"/>
          <w:rFonts w:ascii="仿宋_GB2312;仿宋" w:hAnsi="仿宋_GB2312;仿宋" w:cs="仿宋_GB2312;仿宋" w:eastAsia="仿宋_GB2312;仿宋"/>
          <w:b w:val="false"/>
          <w:bCs w:val="false"/>
          <w:color w:val="000000"/>
          <w:sz w:val="32"/>
          <w:szCs w:val="32"/>
        </w:rPr>
        <w:t>加强农村群众性自治组织建设，建立健全村民议事会、道德评议会、红白理事会</w:t>
      </w:r>
      <w:r>
        <w:rPr>
          <w:rStyle w:val="Strong"/>
          <w:rFonts w:ascii="仿宋_GB2312;仿宋" w:hAnsi="仿宋_GB2312;仿宋" w:cs="仿宋_GB2312;仿宋" w:hint="eastAsia" w:eastAsia="仿宋_GB2312;仿宋"/>
          <w:b w:val="false"/>
          <w:bCs w:val="false"/>
          <w:color w:val="000000"/>
          <w:sz w:val="32"/>
          <w:szCs w:val="32"/>
        </w:rPr>
        <w:t>、禁赌禁毒会</w:t>
      </w:r>
      <w:r>
        <w:rPr>
          <w:rStyle w:val="Strong"/>
          <w:rFonts w:ascii="仿宋_GB2312;仿宋" w:hAnsi="仿宋_GB2312;仿宋" w:cs="仿宋_GB2312;仿宋" w:eastAsia="仿宋_GB2312;仿宋"/>
          <w:b w:val="false"/>
          <w:bCs w:val="false"/>
          <w:color w:val="000000"/>
          <w:sz w:val="32"/>
          <w:szCs w:val="32"/>
        </w:rPr>
        <w:t>等群众组织，开展乡风评议，褒扬乡村新风，制止不良行为，推进移风易俗。</w:t>
      </w:r>
    </w:p>
    <w:p>
      <w:pPr>
        <w:pStyle w:val="Style15"/>
        <w:keepNext w:val="false"/>
        <w:keepLines w:val="false"/>
        <w:pageBreakBefore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b/>
          <w:bCs/>
          <w:color w:val="000000"/>
          <w:sz w:val="32"/>
          <w:szCs w:val="32"/>
        </w:rPr>
      </w:pPr>
      <w:r>
        <w:rPr>
          <w:rFonts w:ascii="黑体" w:hAnsi="黑体" w:cs="黑体" w:eastAsia="黑体"/>
          <w:b w:val="false"/>
          <w:bCs w:val="false"/>
          <w:spacing w:val="0"/>
          <w:kern w:val="2"/>
          <w:sz w:val="32"/>
          <w:szCs w:val="32"/>
        </w:rPr>
        <w:t>第</w:t>
      </w:r>
      <w:r>
        <w:rPr>
          <w:rFonts w:ascii="黑体" w:hAnsi="黑体" w:cs="黑体" w:hint="eastAsia" w:eastAsia="黑体"/>
          <w:b w:val="false"/>
          <w:bCs w:val="false"/>
          <w:spacing w:val="0"/>
          <w:kern w:val="2"/>
          <w:sz w:val="32"/>
          <w:szCs w:val="32"/>
        </w:rPr>
        <w:t>二十九</w:t>
      </w:r>
      <w:r>
        <w:rPr>
          <w:rFonts w:ascii="黑体" w:hAnsi="黑体" w:cs="黑体" w:eastAsia="黑体"/>
          <w:b w:val="false"/>
          <w:bCs w:val="false"/>
          <w:spacing w:val="0"/>
          <w:kern w:val="2"/>
          <w:sz w:val="32"/>
          <w:szCs w:val="32"/>
        </w:rPr>
        <w:t>条</w:t>
      </w:r>
      <w:r>
        <w:rPr>
          <w:rStyle w:val="Strong"/>
          <w:rFonts w:ascii="仿宋_GB2312;仿宋" w:hAnsi="仿宋_GB2312;仿宋" w:cs="仿宋_GB2312;仿宋" w:eastAsia="仿宋_GB2312;仿宋"/>
          <w:b w:val="false"/>
          <w:bCs w:val="false"/>
          <w:color w:val="000000"/>
          <w:sz w:val="32"/>
          <w:szCs w:val="32"/>
        </w:rPr>
        <w:t xml:space="preserve"> 有关行政执法部门处罚不文明行为时，可以根据执法需要，依法要求行为人提供姓名或者名称、地址。行为人拒不提供的，执法部门可以提请公安机关予以协助。</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b/>
          <w:bCs/>
          <w:color w:val="000000"/>
          <w:sz w:val="32"/>
          <w:szCs w:val="32"/>
        </w:rPr>
      </w:pPr>
      <w:r>
        <w:rPr>
          <w:rFonts w:ascii="黑体" w:hAnsi="黑体" w:cs="黑体" w:hint="eastAsia" w:eastAsia="黑体"/>
          <w:b w:val="false"/>
          <w:bCs w:val="false"/>
          <w:spacing w:val="0"/>
          <w:kern w:val="2"/>
          <w:sz w:val="32"/>
          <w:szCs w:val="32"/>
        </w:rPr>
        <w:t>第三十条</w:t>
      </w:r>
      <w:r>
        <w:rPr>
          <w:rFonts w:ascii="仿宋_GB2312;仿宋" w:hAnsi="仿宋_GB2312;仿宋" w:hint="eastAsia" w:eastAsia="仿宋_GB2312;仿宋"/>
          <w:color w:val="000000"/>
          <w:sz w:val="32"/>
          <w:szCs w:val="32"/>
        </w:rPr>
        <w:t xml:space="preserve"> </w:t>
      </w:r>
      <w:r>
        <w:rPr>
          <w:rFonts w:ascii="仿宋_GB2312;仿宋" w:hAnsi="仿宋_GB2312;仿宋" w:hint="eastAsia" w:eastAsia="仿宋_GB2312;仿宋"/>
          <w:b w:val="false"/>
          <w:bCs w:val="false"/>
          <w:color w:val="000000"/>
          <w:sz w:val="32"/>
          <w:szCs w:val="32"/>
        </w:rPr>
        <w:t>报纸、广播、电视、网络等媒体应当宣传文明行为促进工作，传播文明行为，曝光不文明现象，刊播公益广告，宣传先进典型，发挥榜样示范引导作用，营造全社会鼓励和促进文明行为的氛围。</w:t>
      </w:r>
      <w:r>
        <w:rPr>
          <w:rFonts w:ascii="仿宋_GB2312;仿宋" w:hAnsi="仿宋_GB2312;仿宋" w:hint="eastAsia" w:eastAsia="仿宋_GB2312;仿宋"/>
          <w:b/>
          <w:bCs/>
          <w:color w:val="000000"/>
          <w:sz w:val="32"/>
          <w:szCs w:val="32"/>
        </w:rPr>
        <w:t xml:space="preserve"> </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hint="eastAsia"/>
          <w:b w:val="false"/>
          <w:bCs w:val="false"/>
          <w:color w:val="000000"/>
          <w:sz w:val="32"/>
          <w:szCs w:val="32"/>
        </w:rPr>
      </w:pPr>
      <w:r>
        <w:rPr>
          <w:rFonts w:ascii="黑体" w:hAnsi="黑体" w:cs="黑体" w:hint="eastAsia" w:eastAsia="黑体"/>
          <w:b w:val="false"/>
          <w:bCs w:val="false"/>
          <w:spacing w:val="0"/>
          <w:kern w:val="2"/>
          <w:sz w:val="32"/>
          <w:szCs w:val="32"/>
        </w:rPr>
        <w:t>第三十一条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b w:val="false"/>
          <w:bCs w:val="false"/>
          <w:color w:val="000000"/>
          <w:sz w:val="32"/>
          <w:szCs w:val="32"/>
        </w:rPr>
        <w:t>市、县（市、区）人民代表大会及其常务委员会应当依法对文明行为促进工作进行监督，组织、邀请人大代表对文明行为促进工作进行视察、检查，听取有关单位文明行为促进工作情况报告。</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200" w:before="0" w:after="0"/>
        <w:ind w:firstLineChars="200" w:startChars="0" w:start="0" w:endChars="0" w:end="0"/>
        <w:jc w:val="both"/>
        <w:textAlignment w:val="auto"/>
        <w:rPr>
          <w:rFonts w:ascii="仿宋_GB2312;仿宋" w:hAnsi="仿宋_GB2312;仿宋" w:eastAsia="仿宋_GB2312;仿宋"/>
          <w:b w:val="false"/>
          <w:bCs w:val="false"/>
          <w:color w:val="000000"/>
          <w:sz w:val="32"/>
          <w:szCs w:val="32"/>
        </w:rPr>
      </w:pPr>
      <w:r>
        <w:rPr>
          <w:rFonts w:eastAsia="仿宋_GB2312;仿宋" w:ascii="仿宋_GB2312;仿宋" w:hAnsi="仿宋_GB2312;仿宋"/>
          <w:b w:val="false"/>
          <w:bCs w:val="false"/>
          <w:color w:val="000000"/>
          <w:sz w:val="32"/>
          <w:szCs w:val="32"/>
        </w:rPr>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100" w:startChars="1100" w:endChars="0" w:end="0"/>
        <w:jc w:val="both"/>
        <w:textAlignment w:val="auto"/>
        <w:rPr>
          <w:rStyle w:val="Strong"/>
          <w:rFonts w:ascii="黑体" w:hAnsi="黑体" w:eastAsia="黑体" w:cs="黑体" w:hint="eastAsia"/>
          <w:b w:val="false"/>
          <w:color w:val="000000"/>
          <w:sz w:val="32"/>
          <w:szCs w:val="32"/>
        </w:rPr>
      </w:pPr>
      <w:r>
        <w:rPr>
          <w:rStyle w:val="Strong"/>
          <w:rFonts w:ascii="黑体" w:hAnsi="黑体" w:cs="黑体" w:hint="eastAsia" w:eastAsia="黑体"/>
          <w:b w:val="false"/>
          <w:color w:val="000000"/>
          <w:sz w:val="32"/>
          <w:szCs w:val="32"/>
        </w:rPr>
        <w:t>第五章  法律责任</w:t>
      </w:r>
    </w:p>
    <w:p>
      <w:pPr>
        <w:pStyle w:val="Default"/>
        <w:keepNext w:val="false"/>
        <w:keepLines w:val="false"/>
        <w:pageBreakBefore w:val="false"/>
        <w:widowControl w:val="false"/>
        <w:numPr>
          <w:ilvl w:val="0"/>
          <w:numId w:val="0"/>
        </w:numPr>
        <w:kinsoku w:val="true"/>
        <w:overflowPunct w:val="true"/>
        <w:autoSpaceDE w:val="false"/>
        <w:bidi w:val="0"/>
        <w:snapToGrid w:val="true"/>
        <w:spacing w:lineRule="exact" w:line="200"/>
        <w:ind w:firstLineChars="0" w:firstLine="0" w:startChars="1100" w:endChars="0" w:end="0"/>
        <w:textAlignment w:val="auto"/>
        <w:rPr>
          <w:rStyle w:val="Strong"/>
          <w:rFonts w:ascii="黑体" w:hAnsi="黑体" w:eastAsia="黑体" w:cs="黑体" w:hint="eastAsia"/>
          <w:b w:val="false"/>
          <w:color w:val="000000"/>
          <w:sz w:val="32"/>
          <w:szCs w:val="32"/>
        </w:rPr>
      </w:pPr>
      <w:r>
        <w:rPr/>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color w:val="000000"/>
          <w:sz w:val="32"/>
          <w:szCs w:val="32"/>
        </w:rPr>
      </w:pPr>
      <w:r>
        <w:rPr>
          <w:rFonts w:ascii="黑体" w:hAnsi="黑体" w:cs="黑体" w:hint="eastAsia" w:eastAsia="黑体"/>
          <w:b w:val="false"/>
          <w:bCs w:val="false"/>
          <w:spacing w:val="0"/>
          <w:kern w:val="2"/>
          <w:sz w:val="32"/>
          <w:szCs w:val="32"/>
        </w:rPr>
        <w:t>第三十二条</w:t>
      </w:r>
      <w:r>
        <w:rPr>
          <w:rFonts w:ascii="仿宋_GB2312;仿宋" w:hAnsi="仿宋_GB2312;仿宋" w:cs="微软雅黑" w:hint="eastAsia" w:eastAsia="仿宋_GB2312;仿宋"/>
          <w:color w:val="000000"/>
          <w:sz w:val="32"/>
          <w:szCs w:val="32"/>
        </w:rPr>
        <w:t xml:space="preserve">  国家机关、企事业单位及其工作人员在文明行为促进工作中有下列行为之一的，由其上级主管部门或者所在单位责令改正，通报批评；情节严重的，对主管人员和责任人依法给予处分；构成犯罪的，依法追究刑事责任：</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color w:val="000000"/>
          <w:sz w:val="32"/>
          <w:szCs w:val="32"/>
        </w:rPr>
      </w:pPr>
      <w:r>
        <w:rPr>
          <w:rFonts w:ascii="仿宋_GB2312;仿宋" w:hAnsi="仿宋_GB2312;仿宋" w:cs="微软雅黑" w:hint="eastAsia" w:eastAsia="仿宋_GB2312;仿宋"/>
          <w:color w:val="000000"/>
          <w:sz w:val="32"/>
          <w:szCs w:val="32"/>
        </w:rPr>
        <w:t>（一）在文明城市、文明村镇、文明单位、文明家庭、文明校园等创建活动中不履行或者不正确履行职责的；</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color w:val="000000"/>
          <w:sz w:val="32"/>
          <w:szCs w:val="32"/>
        </w:rPr>
      </w:pPr>
      <w:r>
        <w:rPr>
          <w:rFonts w:ascii="仿宋_GB2312;仿宋" w:hAnsi="仿宋_GB2312;仿宋" w:cs="微软雅黑" w:hint="eastAsia" w:eastAsia="仿宋_GB2312;仿宋"/>
          <w:color w:val="000000"/>
          <w:sz w:val="32"/>
          <w:szCs w:val="32"/>
        </w:rPr>
        <w:t>（二）对有关设施设备疏于管理、维护，致使该设施设备残缺或者丧失功能的；</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color w:val="000000"/>
          <w:sz w:val="32"/>
          <w:szCs w:val="32"/>
        </w:rPr>
      </w:pPr>
      <w:r>
        <w:rPr>
          <w:rFonts w:ascii="仿宋_GB2312;仿宋" w:hAnsi="仿宋_GB2312;仿宋" w:cs="微软雅黑" w:hint="eastAsia" w:eastAsia="仿宋_GB2312;仿宋"/>
          <w:color w:val="000000"/>
          <w:sz w:val="32"/>
          <w:szCs w:val="32"/>
        </w:rPr>
        <w:t>（三）未依法及时受理投诉或者未及时对投诉事项进行调查、处理，或者泄露投诉人、举报人信息的；</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color w:val="000000"/>
          <w:sz w:val="32"/>
          <w:szCs w:val="32"/>
        </w:rPr>
      </w:pPr>
      <w:r>
        <w:rPr>
          <w:rFonts w:ascii="仿宋_GB2312;仿宋" w:hAnsi="仿宋_GB2312;仿宋" w:cs="微软雅黑" w:hint="eastAsia" w:eastAsia="仿宋_GB2312;仿宋"/>
          <w:color w:val="000000"/>
          <w:sz w:val="32"/>
          <w:szCs w:val="32"/>
        </w:rPr>
        <w:t>（四）未依法实施监督管理的；</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color w:val="000000"/>
          <w:sz w:val="32"/>
          <w:szCs w:val="32"/>
        </w:rPr>
      </w:pPr>
      <w:r>
        <w:rPr>
          <w:rFonts w:ascii="仿宋_GB2312;仿宋" w:hAnsi="仿宋_GB2312;仿宋" w:cs="微软雅黑" w:hint="eastAsia" w:eastAsia="仿宋_GB2312;仿宋"/>
          <w:color w:val="000000"/>
          <w:sz w:val="32"/>
          <w:szCs w:val="32"/>
        </w:rPr>
        <w:t>（五）违反有关规定，弄虚作假、滥用职权、徇私舞弊的；</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color w:val="000000"/>
          <w:sz w:val="32"/>
          <w:szCs w:val="32"/>
        </w:rPr>
      </w:pPr>
      <w:r>
        <w:rPr>
          <w:rFonts w:ascii="仿宋_GB2312;仿宋" w:hAnsi="仿宋_GB2312;仿宋" w:cs="微软雅黑" w:hint="eastAsia" w:eastAsia="仿宋_GB2312;仿宋"/>
          <w:color w:val="000000"/>
          <w:sz w:val="32"/>
          <w:szCs w:val="32"/>
        </w:rPr>
        <w:t>（六）妨碍履行文明行为促进工作职责的其他行为。</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b w:val="false"/>
          <w:bCs w:val="false"/>
          <w:color w:val="000000"/>
          <w:sz w:val="32"/>
          <w:szCs w:val="32"/>
        </w:rPr>
      </w:pPr>
      <w:r>
        <w:rPr>
          <w:rFonts w:ascii="黑体" w:hAnsi="黑体" w:cs="黑体" w:hint="eastAsia" w:eastAsia="黑体"/>
          <w:b w:val="false"/>
          <w:bCs w:val="false"/>
          <w:spacing w:val="0"/>
          <w:kern w:val="2"/>
          <w:sz w:val="32"/>
          <w:szCs w:val="32"/>
        </w:rPr>
        <w:t>第三十三条</w:t>
      </w:r>
      <w:r>
        <w:rPr>
          <w:rFonts w:ascii="仿宋_GB2312;仿宋" w:hAnsi="仿宋_GB2312;仿宋" w:cs="微软雅黑" w:hint="eastAsia" w:eastAsia="仿宋_GB2312;仿宋"/>
          <w:b/>
          <w:bCs/>
          <w:color w:val="000000"/>
          <w:sz w:val="32"/>
          <w:szCs w:val="32"/>
        </w:rPr>
        <w:t xml:space="preserve">  </w:t>
      </w:r>
      <w:r>
        <w:rPr>
          <w:rFonts w:ascii="仿宋_GB2312;仿宋" w:hAnsi="仿宋_GB2312;仿宋" w:cs="微软雅黑" w:hint="eastAsia" w:eastAsia="仿宋_GB2312;仿宋"/>
          <w:b w:val="false"/>
          <w:bCs w:val="false"/>
          <w:color w:val="000000"/>
          <w:sz w:val="32"/>
          <w:szCs w:val="32"/>
        </w:rPr>
        <w:t>违反本条例第七条第（五）项规定，占用、堵塞、封闭疏散通道、安全出口或者有其他妨碍安全疏散行为的；占用、堵塞、封闭消防车通道，妨碍消防车通行的，对单位责令改正，处五千元以上五万元以下罚款，对个人处警告或者五百元以下罚款，经责令改正拒不改正的，强制执行，所需费用由违法行为人承担；</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b w:val="false"/>
          <w:bCs w:val="false"/>
          <w:color w:val="000000"/>
          <w:sz w:val="32"/>
          <w:szCs w:val="32"/>
        </w:rPr>
      </w:pPr>
      <w:r>
        <w:rPr>
          <w:rFonts w:ascii="仿宋_GB2312;仿宋" w:hAnsi="仿宋_GB2312;仿宋" w:cs="微软雅黑" w:hint="eastAsia" w:eastAsia="仿宋_GB2312;仿宋"/>
          <w:b w:val="false"/>
          <w:bCs w:val="false"/>
          <w:color w:val="000000"/>
          <w:sz w:val="32"/>
          <w:szCs w:val="32"/>
        </w:rPr>
        <w:t>违反本条例第七条第（六）项规定，在绿地内搭建建筑物、构筑物、堆放杂物的，由城市管理部门责令停止违法建设，限期改正，并依据有关法律法规予以处罚。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b w:val="false"/>
          <w:bCs w:val="false"/>
          <w:color w:val="000000"/>
          <w:sz w:val="32"/>
          <w:szCs w:val="32"/>
        </w:rPr>
      </w:pPr>
      <w:r>
        <w:rPr>
          <w:rFonts w:ascii="黑体" w:hAnsi="黑体" w:cs="黑体" w:hint="eastAsia" w:eastAsia="黑体"/>
          <w:b w:val="false"/>
          <w:bCs w:val="false"/>
          <w:spacing w:val="0"/>
          <w:kern w:val="2"/>
          <w:sz w:val="32"/>
          <w:szCs w:val="32"/>
        </w:rPr>
        <w:t>第三十四条</w:t>
      </w:r>
      <w:r>
        <w:rPr>
          <w:rFonts w:ascii="仿宋_GB2312;仿宋" w:hAnsi="仿宋_GB2312;仿宋" w:cs="微软雅黑" w:hint="eastAsia" w:eastAsia="仿宋_GB2312;仿宋"/>
          <w:b w:val="false"/>
          <w:bCs w:val="false"/>
          <w:color w:val="000000"/>
          <w:sz w:val="32"/>
          <w:szCs w:val="32"/>
        </w:rPr>
        <w:t xml:space="preserve">  违反本条例第八条第（一）项规定，随地吐痰、便溺，乱扔口香糖、果皮、纸屑、烟头等废弃物，责令改正，并处二十元以上五十元以下罚款；单位随意倾倒、抛洒、堆放或者焚烧生活垃圾的，责令改正，没收违法所得，处五万元以上五十万元以下罚款，个人随意倾倒、抛洒、堆放或者焚烧生活垃圾的，责令改正，处一百元以上五百元以下罚款；</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b w:val="false"/>
          <w:bCs w:val="false"/>
          <w:color w:val="000000"/>
          <w:sz w:val="32"/>
          <w:szCs w:val="32"/>
        </w:rPr>
      </w:pPr>
      <w:r>
        <w:rPr>
          <w:rFonts w:ascii="仿宋_GB2312;仿宋" w:hAnsi="仿宋_GB2312;仿宋" w:cs="微软雅黑" w:hint="eastAsia" w:eastAsia="仿宋_GB2312;仿宋"/>
          <w:b w:val="false"/>
          <w:bCs w:val="false"/>
          <w:color w:val="000000"/>
          <w:sz w:val="32"/>
          <w:szCs w:val="32"/>
        </w:rPr>
        <w:t>违反本条例第八条第（二）项规定，乱发广告、传单的，责令改正；拒不改正的，处二百元以上五百元以下罚款，情节严重的，处五百元以上一千元以下罚款；</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b w:val="false"/>
          <w:bCs w:val="false"/>
          <w:color w:val="000000"/>
          <w:sz w:val="32"/>
          <w:szCs w:val="32"/>
        </w:rPr>
      </w:pPr>
      <w:r>
        <w:rPr>
          <w:rFonts w:ascii="仿宋_GB2312;仿宋" w:hAnsi="仿宋_GB2312;仿宋" w:cs="微软雅黑" w:hint="eastAsia" w:eastAsia="仿宋_GB2312;仿宋"/>
          <w:b w:val="false"/>
          <w:bCs w:val="false"/>
          <w:color w:val="000000"/>
          <w:sz w:val="32"/>
          <w:szCs w:val="32"/>
        </w:rPr>
        <w:t>违反本条例第八条第（七）项规定，随意在城区道路抛撒、焚烧丧葬祭奠物品的，责令改正，并处警告或者六十元以上二百元以下罚款。</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b/>
          <w:bCs/>
          <w:color w:val="000000"/>
          <w:sz w:val="32"/>
          <w:szCs w:val="32"/>
        </w:rPr>
      </w:pPr>
      <w:r>
        <w:rPr>
          <w:rFonts w:ascii="黑体" w:hAnsi="黑体" w:cs="黑体" w:hint="eastAsia" w:eastAsia="黑体"/>
          <w:b w:val="false"/>
          <w:bCs w:val="false"/>
          <w:spacing w:val="0"/>
          <w:kern w:val="2"/>
          <w:sz w:val="32"/>
          <w:szCs w:val="32"/>
        </w:rPr>
        <w:t>第三十五条</w:t>
      </w:r>
      <w:r>
        <w:rPr>
          <w:rFonts w:ascii="仿宋_GB2312;仿宋" w:hAnsi="仿宋_GB2312;仿宋" w:cs="微软雅黑" w:hint="eastAsia" w:eastAsia="仿宋_GB2312;仿宋"/>
          <w:b/>
          <w:bCs/>
          <w:color w:val="000000"/>
          <w:sz w:val="32"/>
          <w:szCs w:val="32"/>
        </w:rPr>
        <w:t xml:space="preserve"> </w:t>
      </w:r>
      <w:r>
        <w:rPr>
          <w:rFonts w:ascii="仿宋_GB2312;仿宋" w:hAnsi="仿宋_GB2312;仿宋" w:cs="微软雅黑" w:hint="eastAsia" w:eastAsia="仿宋_GB2312;仿宋"/>
          <w:b w:val="false"/>
          <w:bCs w:val="false"/>
          <w:color w:val="000000"/>
          <w:sz w:val="32"/>
          <w:szCs w:val="32"/>
        </w:rPr>
        <w:t xml:space="preserve"> 违反本条例第九条第（五）项规定，携犬出户不束犬链，携带导盲犬以外的犬只进入公共场所或乘坐公共交通工具的，由公安机关或者县级以上人民政府确定的其他行政主管部门处警告，并处五十元以上二百元以下罚款；携犬出户未及时清理犬只粪便的，责令改正，拒不改正的，处五十元以上二百元以下罚款；</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b w:val="false"/>
          <w:bCs w:val="false"/>
          <w:color w:val="000000"/>
          <w:sz w:val="32"/>
          <w:szCs w:val="32"/>
        </w:rPr>
      </w:pPr>
      <w:r>
        <w:rPr>
          <w:rFonts w:ascii="仿宋_GB2312;仿宋" w:hAnsi="仿宋_GB2312;仿宋" w:cs="微软雅黑" w:hint="eastAsia" w:eastAsia="仿宋_GB2312;仿宋"/>
          <w:b w:val="false"/>
          <w:bCs w:val="false"/>
          <w:color w:val="000000"/>
          <w:sz w:val="32"/>
          <w:szCs w:val="32"/>
        </w:rPr>
        <w:t>违反本条例第九条第（六）项规定，在居民区楼道内堆放物料及其他物品，影响他人生活的，由县级以上人民政府确定的行政主管部门责令改正，拒不改正的，处五十元以上二百元以下罚款；</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b w:val="false"/>
          <w:bCs w:val="false"/>
          <w:color w:val="000000"/>
          <w:sz w:val="32"/>
          <w:szCs w:val="32"/>
        </w:rPr>
      </w:pPr>
      <w:r>
        <w:rPr>
          <w:rFonts w:ascii="仿宋_GB2312;仿宋" w:hAnsi="仿宋_GB2312;仿宋" w:cs="微软雅黑" w:hint="eastAsia" w:eastAsia="仿宋_GB2312;仿宋"/>
          <w:b w:val="false"/>
          <w:bCs w:val="false"/>
          <w:color w:val="000000"/>
          <w:sz w:val="32"/>
          <w:szCs w:val="32"/>
        </w:rPr>
        <w:t xml:space="preserve">违反本条例第九条第（七）项规定，从建筑物、构筑物内向城市公共管理空间抛掷物品的，由城市管理或者县级以上人民政府确定的其他行政主管部门责令改正，并处五十元以上二百元以下罚款。 </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color w:val="000000"/>
          <w:sz w:val="32"/>
          <w:szCs w:val="32"/>
        </w:rPr>
      </w:pPr>
      <w:r>
        <w:rPr>
          <w:rFonts w:ascii="黑体" w:hAnsi="黑体" w:cs="黑体" w:hint="eastAsia" w:eastAsia="黑体"/>
          <w:b w:val="false"/>
          <w:bCs w:val="false"/>
          <w:spacing w:val="0"/>
          <w:kern w:val="2"/>
          <w:sz w:val="32"/>
          <w:szCs w:val="32"/>
        </w:rPr>
        <w:t>第三十六条</w:t>
      </w:r>
      <w:r>
        <w:rPr>
          <w:rFonts w:ascii="仿宋_GB2312;仿宋" w:hAnsi="仿宋_GB2312;仿宋" w:cs="微软雅黑" w:hint="eastAsia" w:eastAsia="仿宋_GB2312;仿宋"/>
          <w:b/>
          <w:bCs/>
          <w:color w:val="000000"/>
          <w:sz w:val="32"/>
          <w:szCs w:val="32"/>
        </w:rPr>
        <w:t xml:space="preserve">  </w:t>
      </w:r>
      <w:r>
        <w:rPr>
          <w:rFonts w:ascii="仿宋_GB2312;仿宋" w:hAnsi="仿宋_GB2312;仿宋" w:cs="微软雅黑" w:hint="eastAsia" w:eastAsia="仿宋_GB2312;仿宋"/>
          <w:color w:val="000000"/>
          <w:sz w:val="32"/>
          <w:szCs w:val="32"/>
        </w:rPr>
        <w:t>违反本条例规定，在禁止吸烟的场所（区域）吸烟的，由卫生健康行政主管部门责令改正，并处五十元以上一百元以下罚款；拒不改正的，处一百元以上二百元以下罚款。</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b w:val="false"/>
          <w:bCs w:val="false"/>
          <w:color w:val="000000"/>
          <w:sz w:val="32"/>
          <w:szCs w:val="32"/>
        </w:rPr>
      </w:pPr>
      <w:r>
        <w:rPr>
          <w:rFonts w:ascii="黑体" w:hAnsi="黑体" w:cs="黑体" w:hint="eastAsia" w:eastAsia="黑体"/>
          <w:b w:val="false"/>
          <w:bCs w:val="false"/>
          <w:spacing w:val="0"/>
          <w:kern w:val="2"/>
          <w:sz w:val="32"/>
          <w:szCs w:val="32"/>
        </w:rPr>
        <w:t>第三十七条</w:t>
      </w:r>
      <w:r>
        <w:rPr>
          <w:rFonts w:ascii="仿宋_GB2312;仿宋" w:hAnsi="仿宋_GB2312;仿宋" w:cs="微软雅黑" w:hint="eastAsia" w:eastAsia="仿宋_GB2312;仿宋"/>
          <w:b/>
          <w:bCs/>
          <w:color w:val="000000"/>
          <w:sz w:val="32"/>
          <w:szCs w:val="32"/>
        </w:rPr>
        <w:t xml:space="preserve">  </w:t>
      </w:r>
      <w:r>
        <w:rPr>
          <w:rFonts w:ascii="仿宋_GB2312;仿宋" w:hAnsi="仿宋_GB2312;仿宋" w:cs="微软雅黑" w:hint="eastAsia" w:eastAsia="仿宋_GB2312;仿宋"/>
          <w:b w:val="false"/>
          <w:bCs w:val="false"/>
          <w:color w:val="000000"/>
          <w:sz w:val="32"/>
          <w:szCs w:val="32"/>
        </w:rPr>
        <w:t>违反本条例规定，采取威胁、侮辱等方式打击报复劝阻人、投诉人和举报人的，按照相关法律法规进行处罚。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b w:val="false"/>
          <w:bCs w:val="false"/>
          <w:color w:val="000000"/>
          <w:sz w:val="32"/>
          <w:szCs w:val="32"/>
        </w:rPr>
      </w:pPr>
      <w:r>
        <w:rPr>
          <w:rFonts w:ascii="仿宋_GB2312;仿宋" w:hAnsi="仿宋_GB2312;仿宋" w:cs="微软雅黑" w:hint="eastAsia" w:eastAsia="仿宋_GB2312;仿宋"/>
          <w:b w:val="false"/>
          <w:bCs w:val="false"/>
          <w:color w:val="000000"/>
          <w:sz w:val="32"/>
          <w:szCs w:val="32"/>
        </w:rPr>
        <w:t>公民实施见义勇为、紧急现场救护扶助等行为，被救助人及其近亲属故意隐瞒真相、捏造事实，企图牟取不正当利益，构成违反社会治安管理规定行为的，由公安机关依法处理。</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color w:val="000000"/>
          <w:sz w:val="32"/>
          <w:szCs w:val="32"/>
        </w:rPr>
      </w:pPr>
      <w:r>
        <w:rPr>
          <w:rFonts w:ascii="黑体" w:hAnsi="黑体" w:cs="黑体" w:hint="eastAsia" w:eastAsia="黑体"/>
          <w:b w:val="false"/>
          <w:bCs w:val="false"/>
          <w:spacing w:val="0"/>
          <w:kern w:val="2"/>
          <w:sz w:val="32"/>
          <w:szCs w:val="32"/>
        </w:rPr>
        <w:t>第三十八条</w:t>
      </w:r>
      <w:r>
        <w:rPr>
          <w:rFonts w:ascii="仿宋_GB2312;仿宋" w:hAnsi="仿宋_GB2312;仿宋" w:cs="微软雅黑" w:hint="eastAsia" w:eastAsia="仿宋_GB2312;仿宋"/>
          <w:b/>
          <w:bCs/>
          <w:color w:val="000000"/>
          <w:sz w:val="32"/>
          <w:szCs w:val="32"/>
        </w:rPr>
        <w:t xml:space="preserve">  </w:t>
      </w:r>
      <w:r>
        <w:rPr>
          <w:rFonts w:ascii="仿宋_GB2312;仿宋" w:hAnsi="仿宋_GB2312;仿宋" w:cs="微软雅黑" w:hint="eastAsia" w:eastAsia="仿宋_GB2312;仿宋"/>
          <w:color w:val="000000"/>
          <w:sz w:val="32"/>
          <w:szCs w:val="32"/>
        </w:rPr>
        <w:t>违反本条例规定，构成违反治安管理行为的，依照有关法律法规予以处罚；造成损害的，依法承担民事责任；构成犯罪的，依法追究刑事责任。</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color w:val="000000"/>
          <w:sz w:val="32"/>
          <w:szCs w:val="32"/>
        </w:rPr>
      </w:pPr>
      <w:r>
        <w:rPr>
          <w:rFonts w:ascii="黑体" w:hAnsi="黑体" w:cs="黑体" w:hint="eastAsia" w:eastAsia="黑体"/>
          <w:b w:val="false"/>
          <w:bCs w:val="false"/>
          <w:spacing w:val="0"/>
          <w:kern w:val="2"/>
          <w:sz w:val="32"/>
          <w:szCs w:val="32"/>
        </w:rPr>
        <w:t>第三十九条</w:t>
      </w:r>
      <w:r>
        <w:rPr>
          <w:rFonts w:ascii="仿宋_GB2312;仿宋" w:hAnsi="仿宋_GB2312;仿宋" w:cs="微软雅黑" w:hint="eastAsia" w:eastAsia="仿宋_GB2312;仿宋"/>
          <w:b/>
          <w:bCs/>
          <w:color w:val="000000"/>
          <w:sz w:val="32"/>
          <w:szCs w:val="32"/>
        </w:rPr>
        <w:t xml:space="preserve"> </w:t>
      </w:r>
      <w:r>
        <w:rPr>
          <w:rFonts w:ascii="仿宋_GB2312;仿宋" w:hAnsi="仿宋_GB2312;仿宋" w:cs="微软雅黑" w:hint="eastAsia" w:eastAsia="仿宋_GB2312;仿宋"/>
          <w:color w:val="000000"/>
          <w:sz w:val="32"/>
          <w:szCs w:val="32"/>
        </w:rPr>
        <w:t>违反本条例规定的其他行为，法律、法规和本省地方性法规已有规定的，从其规定。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200" w:before="0" w:after="0"/>
        <w:ind w:firstLineChars="200" w:startChars="0" w:start="0" w:endChars="0" w:end="0"/>
        <w:jc w:val="both"/>
        <w:textAlignment w:val="auto"/>
        <w:rPr>
          <w:rFonts w:ascii="仿宋_GB2312;仿宋" w:hAnsi="仿宋_GB2312;仿宋" w:eastAsia="仿宋_GB2312;仿宋" w:cs="微软雅黑" w:hint="eastAsia"/>
          <w:color w:val="000000"/>
          <w:sz w:val="32"/>
          <w:szCs w:val="32"/>
        </w:rPr>
      </w:pPr>
      <w:r>
        <w:rPr>
          <w:rFonts w:eastAsia="仿宋_GB2312;仿宋" w:cs="微软雅黑" w:hint="eastAsia" w:ascii="仿宋_GB2312;仿宋" w:hAnsi="仿宋_GB2312;仿宋"/>
          <w:color w:val="000000"/>
          <w:sz w:val="32"/>
          <w:szCs w:val="32"/>
        </w:rPr>
      </w:r>
    </w:p>
    <w:p>
      <w:pPr>
        <w:pStyle w:val="Normal"/>
        <w:keepNext w:val="false"/>
        <w:keepLines w:val="false"/>
        <w:pageBreakBefore w:val="false"/>
        <w:widowControl/>
        <w:numPr>
          <w:ilvl w:val="0"/>
          <w:numId w:val="0"/>
        </w:numPr>
        <w:kinsoku w:val="true"/>
        <w:overflowPunct w:val="true"/>
        <w:autoSpaceDE w:val="true"/>
        <w:bidi w:val="0"/>
        <w:snapToGrid w:val="false"/>
        <w:spacing w:lineRule="exact" w:line="560" w:before="0" w:after="0"/>
        <w:ind w:firstLineChars="200" w:startChars="1100" w:endChars="0" w:end="0"/>
        <w:jc w:val="both"/>
        <w:textAlignment w:val="auto"/>
        <w:rPr>
          <w:rStyle w:val="Strong"/>
          <w:rFonts w:ascii="黑体" w:hAnsi="黑体" w:eastAsia="黑体" w:cs="黑体" w:hint="eastAsia"/>
          <w:b w:val="false"/>
          <w:bCs/>
          <w:color w:val="000000"/>
          <w:sz w:val="32"/>
          <w:szCs w:val="32"/>
        </w:rPr>
      </w:pPr>
      <w:r>
        <w:rPr>
          <w:rStyle w:val="Strong"/>
          <w:rFonts w:ascii="黑体" w:hAnsi="黑体" w:cs="黑体" w:hint="eastAsia" w:eastAsia="黑体"/>
          <w:b w:val="false"/>
          <w:bCs/>
          <w:color w:val="000000"/>
          <w:sz w:val="32"/>
          <w:szCs w:val="32"/>
        </w:rPr>
        <w:t>第五章  附 则</w:t>
      </w:r>
    </w:p>
    <w:p>
      <w:pPr>
        <w:pStyle w:val="Default"/>
        <w:keepNext w:val="false"/>
        <w:keepLines w:val="false"/>
        <w:pageBreakBefore w:val="false"/>
        <w:widowControl w:val="false"/>
        <w:numPr>
          <w:ilvl w:val="0"/>
          <w:numId w:val="0"/>
        </w:numPr>
        <w:kinsoku w:val="true"/>
        <w:overflowPunct w:val="true"/>
        <w:autoSpaceDE w:val="false"/>
        <w:bidi w:val="0"/>
        <w:snapToGrid w:val="true"/>
        <w:spacing w:lineRule="exact" w:line="200"/>
        <w:ind w:firstLineChars="0" w:firstLine="0" w:startChars="1100" w:endChars="0" w:end="0"/>
        <w:textAlignment w:val="auto"/>
        <w:rPr>
          <w:rStyle w:val="Strong"/>
          <w:rFonts w:ascii="黑体" w:hAnsi="黑体" w:eastAsia="黑体" w:cs="黑体" w:hint="eastAsia"/>
          <w:b w:val="false"/>
          <w:bCs/>
          <w:color w:val="000000"/>
          <w:sz w:val="32"/>
          <w:szCs w:val="32"/>
        </w:rPr>
      </w:pPr>
      <w:r>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微软雅黑" w:hint="eastAsia"/>
          <w:color w:val="000000"/>
          <w:sz w:val="32"/>
          <w:szCs w:val="32"/>
        </w:rPr>
      </w:pPr>
      <w:r>
        <w:rPr>
          <w:rFonts w:ascii="黑体" w:hAnsi="黑体" w:cs="黑体" w:hint="eastAsia" w:eastAsia="黑体"/>
          <w:b w:val="false"/>
          <w:bCs w:val="false"/>
          <w:spacing w:val="0"/>
          <w:kern w:val="2"/>
          <w:sz w:val="32"/>
          <w:szCs w:val="32"/>
        </w:rPr>
        <w:t>第四十条</w:t>
      </w:r>
      <w:r>
        <w:rPr>
          <w:rFonts w:ascii="仿宋_GB2312;仿宋" w:hAnsi="仿宋_GB2312;仿宋" w:cs="微软雅黑" w:hint="eastAsia" w:eastAsia="仿宋_GB2312;仿宋"/>
          <w:b/>
          <w:bCs/>
          <w:color w:val="000000"/>
          <w:sz w:val="32"/>
          <w:szCs w:val="32"/>
        </w:rPr>
        <w:t xml:space="preserve">  </w:t>
      </w:r>
      <w:r>
        <w:rPr>
          <w:rFonts w:ascii="仿宋_GB2312;仿宋" w:hAnsi="仿宋_GB2312;仿宋" w:cs="微软雅黑" w:hint="eastAsia" w:eastAsia="仿宋_GB2312;仿宋"/>
          <w:color w:val="000000"/>
          <w:sz w:val="32"/>
          <w:szCs w:val="32"/>
        </w:rPr>
        <w:t>本条例自</w:t>
      </w:r>
      <w:r>
        <w:rPr>
          <w:rFonts w:eastAsia="仿宋_GB2312;仿宋" w:cs="微软雅黑" w:hint="eastAsia" w:ascii="仿宋_GB2312;仿宋" w:hAnsi="仿宋_GB2312;仿宋"/>
          <w:color w:val="000000"/>
          <w:sz w:val="32"/>
          <w:szCs w:val="32"/>
        </w:rPr>
        <w:t>2022</w:t>
      </w:r>
      <w:r>
        <w:rPr>
          <w:rFonts w:ascii="仿宋_GB2312;仿宋" w:hAnsi="仿宋_GB2312;仿宋" w:cs="微软雅黑" w:hint="eastAsia" w:eastAsia="仿宋_GB2312;仿宋"/>
          <w:color w:val="000000"/>
          <w:sz w:val="32"/>
          <w:szCs w:val="32"/>
        </w:rPr>
        <w:t>年</w:t>
      </w:r>
      <w:r>
        <w:rPr>
          <w:rFonts w:eastAsia="仿宋_GB2312;仿宋" w:cs="微软雅黑" w:hint="eastAsia" w:ascii="仿宋_GB2312;仿宋" w:hAnsi="仿宋_GB2312;仿宋"/>
          <w:color w:val="000000"/>
          <w:sz w:val="32"/>
          <w:szCs w:val="32"/>
        </w:rPr>
        <w:t>1</w:t>
      </w:r>
      <w:r>
        <w:rPr>
          <w:rFonts w:ascii="仿宋_GB2312;仿宋" w:hAnsi="仿宋_GB2312;仿宋" w:cs="微软雅黑" w:hint="eastAsia" w:eastAsia="仿宋_GB2312;仿宋"/>
          <w:color w:val="000000"/>
          <w:sz w:val="32"/>
          <w:szCs w:val="32"/>
        </w:rPr>
        <w:t>月</w:t>
      </w:r>
      <w:r>
        <w:rPr>
          <w:rFonts w:eastAsia="仿宋_GB2312;仿宋" w:cs="微软雅黑" w:hint="eastAsia" w:ascii="仿宋_GB2312;仿宋" w:hAnsi="仿宋_GB2312;仿宋"/>
          <w:color w:val="000000"/>
          <w:sz w:val="32"/>
          <w:szCs w:val="32"/>
        </w:rPr>
        <w:t>1</w:t>
      </w:r>
      <w:r>
        <w:rPr>
          <w:rFonts w:ascii="仿宋_GB2312;仿宋" w:hAnsi="仿宋_GB2312;仿宋" w:cs="微软雅黑" w:hint="eastAsia" w:eastAsia="仿宋_GB2312;仿宋"/>
          <w:color w:val="000000"/>
          <w:sz w:val="32"/>
          <w:szCs w:val="32"/>
        </w:rPr>
        <w:t>日起施行。</w:t>
      </w:r>
    </w:p>
    <w:p>
      <w:pPr>
        <w:pStyle w:val="Normal"/>
        <w:rPr>
          <w:rFonts w:ascii="仿宋_GB2312;仿宋" w:hAnsi="仿宋_GB2312;仿宋" w:eastAsia="仿宋_GB2312;仿宋" w:cs="微软雅黑" w:hint="eastAsia"/>
          <w:color w:val="000000"/>
          <w:sz w:val="32"/>
          <w:szCs w:val="32"/>
        </w:rPr>
      </w:pPr>
      <w:r>
        <w:rPr>
          <w:rFonts w:eastAsia="仿宋_GB2312;仿宋" w:cs="微软雅黑" w:hint="eastAsia" w:ascii="仿宋_GB2312;仿宋" w:hAnsi="仿宋_GB2312;仿宋"/>
          <w:color w:val="000000"/>
          <w:sz w:val="32"/>
          <w:szCs w:val="32"/>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sectPr>
      <w:type w:val="nextPage"/>
      <w:pgSz w:w="11906" w:h="16838"/>
      <w:pgMar w:left="1984" w:right="2098" w:gutter="0" w:header="0" w:top="1587" w:footer="0"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CBCDEE+E-BZ">
    <w:altName w:val="宋体"/>
    <w:charset w:val="86"/>
    <w:family w:val="swiss"/>
    <w:pitch w:val="default"/>
  </w:font>
  <w:font w:name="Tahoma">
    <w:charset w:val="00" w:characterSet="windows-1252"/>
    <w:family w:val="swiss"/>
    <w:pitch w:val="default"/>
  </w:font>
  <w:font w:name="楷体_GB2312">
    <w:altName w:val="楷体"/>
    <w:charset w:val="86"/>
    <w:family w:val="auto"/>
    <w:pitch w:val="default"/>
  </w:font>
  <w:font w:name="仿宋_GB2312">
    <w:altName w:val="仿宋"/>
    <w:charset w:val="86"/>
    <w:family w:val="modern"/>
    <w:pitch w:val="default"/>
  </w:font>
  <w:font w:name="黑体">
    <w:charset w:val="86"/>
    <w:family w:val="auto"/>
    <w:pitch w:val="default"/>
  </w:font>
  <w:font w:name="微软雅黑">
    <w:charset w:val="86"/>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suff w:val="space"/>
      <w:lvlText w:val="第%1章"/>
      <w:lvlJc w:val="start"/>
      <w:pPr>
        <w:tabs>
          <w:tab w:val="num" w:pos="0"/>
        </w:tabs>
        <w:ind w:start="0" w:hanging="0"/>
      </w:pPr>
      <w:rPr>
        <w:rFonts w:hint="eastAsia"/>
      </w:r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Calibri" w:hAnsi="Calibri" w:eastAsia="宋体" w:cs="Times New Roman"/>
      <w:color w:val="auto"/>
      <w:kern w:val="2"/>
      <w:sz w:val="21"/>
      <w:szCs w:val="22"/>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Strong">
    <w:name w:val="Strong"/>
    <w:basedOn w:val="Style14"/>
    <w:qFormat/>
    <w:rPr>
      <w:rFonts w:ascii="Times New Roman" w:hAnsi="Times New Roman" w:eastAsia="宋体"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ind w:hanging="0" w:start="395" w:end="0"/>
    </w:pPr>
    <w:rPr>
      <w:rFonts w:ascii="宋体" w:hAnsi="宋体" w:eastAsia="宋体" w:cs="宋体"/>
      <w:sz w:val="28"/>
      <w:szCs w:val="28"/>
      <w:lang w:val="zh-CN" w:bidi="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spacing w:before="0" w:after="0"/>
    </w:pPr>
    <w:rPr>
      <w:rFonts w:ascii="CBCDEE+E-BZ;宋体" w:hAnsi="CBCDEE+E-BZ;宋体" w:eastAsia="CBCDEE+E-BZ;宋体" w:cs="Times New Roman"/>
      <w:color w:val="000000"/>
      <w:sz w:val="24"/>
      <w:szCs w:val="2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napToGrid w:val="false"/>
      <w:spacing w:lineRule="auto" w:line="480" w:before="100" w:after="100"/>
      <w:ind w:hanging="0" w:start="0" w:end="0"/>
      <w:jc w:val="start"/>
    </w:pPr>
    <w:rPr>
      <w:rFonts w:ascii="Tahoma" w:hAnsi="Tahoma" w:eastAsia="宋体" w:cs="宋体"/>
      <w:kern w:val="0"/>
      <w:sz w:val="18"/>
      <w:szCs w:val="18"/>
    </w:rPr>
  </w:style>
  <w:style w:type="paragraph" w:styleId="Style16">
    <w:name w:val="正文首行缩进"/>
    <w:basedOn w:val="BodyText"/>
    <w:qFormat/>
    <w:pPr>
      <w:ind w:firstLineChars="100" w:startChars="0" w:start="0" w:endChars="0" w:end="0"/>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PC400</cp:lastModifiedBy>
  <dcterms:modified xsi:type="dcterms:W3CDTF">2022-01-14T17:23:46Z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5D0EC3940FFD417991EE76FA5A6DFD03</vt:lpwstr>
  </property>
  <property fmtid="{D5CDD505-2E9C-101B-9397-08002B2CF9AE}" pid="3" name="KSOProductBuildVer">
    <vt:lpwstr>2052-11.1.0.11194</vt:lpwstr>
  </property>
</Properties>
</file>