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napToGrid w:val="false"/>
        <w:spacing w:lineRule="exact" w:line="570" w:before="0" w:after="0"/>
        <w:rPr>
          <w:rFonts w:ascii="宋体;SimSun" w:hAnsi="宋体;SimSun" w:cs="宋体;SimSun"/>
          <w:b w:val="false"/>
          <w:sz w:val="44"/>
          <w:szCs w:val="44"/>
        </w:rPr>
      </w:pPr>
      <w:r>
        <w:rPr>
          <w:rFonts w:ascii="宋体;SimSun" w:hAnsi="宋体;SimSun" w:cs="宋体;SimSun" w:hint="eastAsia"/>
          <w:b w:val="false"/>
          <w:sz w:val="44"/>
          <w:szCs w:val="44"/>
        </w:rPr>
        <w:t>廊坊市文明行为促进条例</w:t>
      </w:r>
    </w:p>
    <w:p>
      <w:pPr>
        <w:pStyle w:val="Normal"/>
        <w:spacing w:lineRule="exact" w:line="570"/>
        <w:jc w:val="center"/>
        <w:rPr>
          <w:rFonts w:ascii="方正小标宋简体" w:hAnsi="方正小标宋简体" w:eastAsia="方正小标宋简体"/>
          <w:sz w:val="44"/>
          <w:szCs w:val="44"/>
        </w:rPr>
      </w:pPr>
      <w:r>
        <w:rPr>
          <w:rFonts w:eastAsia="楷体_GB2312"/>
          <w:kern w:val="0"/>
          <w:szCs w:val="21"/>
        </w:rPr>
        <w:t>（</w:t>
      </w:r>
      <w:r>
        <w:rPr>
          <w:rFonts w:eastAsia="楷体_GB2312" w:hint="eastAsia"/>
          <w:spacing w:val="-11"/>
          <w:szCs w:val="32"/>
        </w:rPr>
        <w:t>2019</w:t>
      </w:r>
      <w:r>
        <w:rPr>
          <w:rFonts w:hint="eastAsia" w:eastAsia="楷体_GB2312"/>
          <w:spacing w:val="-11"/>
          <w:szCs w:val="32"/>
        </w:rPr>
        <w:t>年</w:t>
      </w:r>
      <w:r>
        <w:rPr>
          <w:rFonts w:eastAsia="楷体_GB2312" w:hint="eastAsia"/>
          <w:spacing w:val="-11"/>
          <w:szCs w:val="32"/>
        </w:rPr>
        <w:t>5</w:t>
      </w:r>
      <w:r>
        <w:rPr>
          <w:rFonts w:hint="eastAsia" w:eastAsia="楷体_GB2312"/>
          <w:spacing w:val="-11"/>
          <w:szCs w:val="32"/>
        </w:rPr>
        <w:t>月</w:t>
      </w:r>
      <w:r>
        <w:rPr>
          <w:rFonts w:eastAsia="楷体_GB2312" w:hint="eastAsia"/>
          <w:spacing w:val="-11"/>
          <w:szCs w:val="32"/>
        </w:rPr>
        <w:t>31</w:t>
      </w:r>
      <w:r>
        <w:rPr>
          <w:rFonts w:hint="eastAsia" w:eastAsia="楷体_GB2312"/>
          <w:spacing w:val="-11"/>
          <w:szCs w:val="32"/>
        </w:rPr>
        <w:t xml:space="preserve">日廊坊市第七届人民代表大会常务委员会第十五次会议通过  </w:t>
      </w:r>
      <w:r>
        <w:rPr>
          <w:rFonts w:eastAsia="楷体_GB2312" w:hint="eastAsia"/>
          <w:spacing w:val="-11"/>
          <w:szCs w:val="32"/>
        </w:rPr>
        <w:t xml:space="preserve">2019 </w:t>
      </w:r>
      <w:r>
        <w:rPr>
          <w:rFonts w:hint="eastAsia" w:eastAsia="楷体_GB2312"/>
          <w:spacing w:val="-11"/>
          <w:szCs w:val="32"/>
        </w:rPr>
        <w:t>年</w:t>
      </w:r>
      <w:r>
        <w:rPr>
          <w:rFonts w:eastAsia="楷体_GB2312" w:hint="eastAsia"/>
          <w:spacing w:val="-11"/>
          <w:szCs w:val="32"/>
        </w:rPr>
        <w:t>7</w:t>
      </w:r>
      <w:r>
        <w:rPr>
          <w:rFonts w:hint="eastAsia" w:eastAsia="楷体_GB2312"/>
          <w:spacing w:val="-11"/>
          <w:szCs w:val="32"/>
        </w:rPr>
        <w:t>月</w:t>
      </w:r>
      <w:r>
        <w:rPr>
          <w:rFonts w:eastAsia="楷体_GB2312" w:hint="eastAsia"/>
          <w:spacing w:val="-11"/>
          <w:szCs w:val="32"/>
        </w:rPr>
        <w:t>25</w:t>
      </w:r>
      <w:r>
        <w:rPr>
          <w:rFonts w:hint="eastAsia" w:eastAsia="楷体_GB2312"/>
          <w:spacing w:val="-11"/>
          <w:szCs w:val="32"/>
        </w:rPr>
        <w:t>日河北省第十三届人民代表大会常务委员会第十一次会议批准</w:t>
      </w:r>
      <w:r>
        <w:rPr>
          <w:rFonts w:eastAsia="楷体_GB2312"/>
          <w:kern w:val="0"/>
          <w:szCs w:val="21"/>
        </w:rPr>
        <w:t>）</w:t>
      </w:r>
    </w:p>
    <w:p>
      <w:pPr>
        <w:pStyle w:val="Normal"/>
        <w:snapToGrid w:val="false"/>
        <w:spacing w:lineRule="exact" w:line="570"/>
        <w:rPr>
          <w:rFonts w:ascii="方正小标宋简体" w:hAnsi="方正小标宋简体" w:eastAsia="方正小标宋简体"/>
          <w:sz w:val="44"/>
          <w:szCs w:val="32"/>
        </w:rPr>
      </w:pPr>
      <w:r>
        <w:rPr>
          <w:rFonts w:eastAsia="方正小标宋简体" w:ascii="方正小标宋简体" w:hAnsi="方正小标宋简体"/>
          <w:sz w:val="44"/>
          <w:szCs w:val="32"/>
        </w:rPr>
      </w:r>
    </w:p>
    <w:p>
      <w:pPr>
        <w:pStyle w:val="Normal"/>
        <w:snapToGrid w:val="false"/>
        <w:spacing w:lineRule="exact" w:line="570"/>
        <w:jc w:val="center"/>
        <w:rPr>
          <w:rFonts w:ascii="黑体;SimHei" w:hAnsi="黑体;SimHei" w:eastAsia="黑体;SimHei" w:cs="黑体;SimHei"/>
          <w:szCs w:val="32"/>
        </w:rPr>
      </w:pPr>
      <w:r>
        <w:rPr>
          <w:rFonts w:ascii="黑体;SimHei" w:hAnsi="黑体;SimHei" w:cs="黑体;SimHei" w:eastAsia="黑体;SimHei"/>
          <w:szCs w:val="32"/>
        </w:rPr>
        <w:t>第一章  总  则</w:t>
      </w:r>
    </w:p>
    <w:p>
      <w:pPr>
        <w:pStyle w:val="Normal"/>
        <w:snapToGrid w:val="false"/>
        <w:spacing w:lineRule="exact" w:line="570"/>
        <w:rPr>
          <w:rFonts w:ascii="黑体;SimHei" w:hAnsi="黑体;SimHei" w:eastAsia="黑体;SimHei" w:cs="黑体;SimHei"/>
          <w:szCs w:val="32"/>
        </w:rPr>
      </w:pPr>
      <w:r>
        <w:rPr>
          <w:rFonts w:eastAsia="黑体;SimHei" w:cs="黑体;SimHei" w:ascii="黑体;SimHei" w:hAnsi="黑体;SimHei"/>
          <w:szCs w:val="32"/>
        </w:rPr>
      </w:r>
    </w:p>
    <w:p>
      <w:pPr>
        <w:pStyle w:val="Normal"/>
        <w:snapToGrid w:val="false"/>
        <w:spacing w:lineRule="exact" w:line="570"/>
        <w:ind w:firstLineChars="200" w:startChars="0" w:start="0" w:endChars="0" w:end="0"/>
        <w:rPr/>
      </w:pPr>
      <w:r>
        <w:rPr>
          <w:rFonts w:ascii="黑体;SimHei" w:hAnsi="黑体;SimHei" w:cs="黑体;SimHei" w:eastAsia="黑体;SimHei"/>
          <w:szCs w:val="32"/>
        </w:rPr>
        <w:t>第一条</w:t>
      </w:r>
      <w:r>
        <w:rPr>
          <w:szCs w:val="32"/>
        </w:rPr>
        <w:t xml:space="preserve"> 为了培育和践行社会主义核心价值观，弘扬中华传统美德，提升公民道德素质和社会文明水平，推进城乡文明建设，根据有关法律、法规，结合本市实际，制定本条例。</w:t>
      </w:r>
    </w:p>
    <w:p>
      <w:pPr>
        <w:pStyle w:val="Normal"/>
        <w:snapToGrid w:val="false"/>
        <w:spacing w:lineRule="exact" w:line="570"/>
        <w:ind w:firstLineChars="200" w:startChars="0" w:start="0" w:endChars="0" w:end="0"/>
        <w:rPr/>
      </w:pPr>
      <w:r>
        <w:rPr>
          <w:rFonts w:ascii="黑体;SimHei" w:hAnsi="黑体;SimHei" w:cs="黑体;SimHei" w:eastAsia="黑体;SimHei"/>
          <w:szCs w:val="32"/>
        </w:rPr>
        <w:t>第二条</w:t>
      </w:r>
      <w:r>
        <w:rPr>
          <w:szCs w:val="32"/>
        </w:rPr>
        <w:t xml:space="preserve"> 本条例适用于本市行政区域内的文明行为促进工作。</w:t>
      </w:r>
    </w:p>
    <w:p>
      <w:pPr>
        <w:pStyle w:val="Normal"/>
        <w:spacing w:lineRule="exact" w:line="570"/>
        <w:ind w:firstLineChars="200" w:startChars="0" w:start="0" w:endChars="0" w:end="0"/>
        <w:rPr/>
      </w:pPr>
      <w:r>
        <w:rPr>
          <w:rFonts w:ascii="黑体;SimHei" w:hAnsi="黑体;SimHei" w:cs="黑体;SimHei" w:eastAsia="黑体;SimHei"/>
          <w:szCs w:val="32"/>
        </w:rPr>
        <w:t>第三条</w:t>
      </w:r>
      <w:r>
        <w:rPr>
          <w:szCs w:val="32"/>
        </w:rPr>
        <w:t xml:space="preserve"> 本条例所称文明行为，是指遵守宪法和法律、法规规定，体现社会主义核心价值观，符合社会主义道德要求，维护公序良俗、弘扬时代新风、推动社会文明进步的行为。</w:t>
      </w:r>
    </w:p>
    <w:p>
      <w:pPr>
        <w:pStyle w:val="Normal"/>
        <w:snapToGrid w:val="false"/>
        <w:spacing w:lineRule="exact" w:line="570"/>
        <w:ind w:firstLineChars="200" w:startChars="0" w:start="0" w:endChars="0" w:end="0"/>
        <w:rPr/>
      </w:pPr>
      <w:r>
        <w:rPr>
          <w:rFonts w:ascii="黑体;SimHei" w:hAnsi="黑体;SimHei" w:cs="黑体;SimHei" w:eastAsia="黑体;SimHei"/>
          <w:szCs w:val="32"/>
        </w:rPr>
        <w:t>第四条</w:t>
      </w:r>
      <w:r>
        <w:rPr>
          <w:szCs w:val="32"/>
        </w:rPr>
        <w:t xml:space="preserve"> 文明行为促进工作坚持政府主导、公众参与、奖惩结合、系统推进的原则，形成共建、共治、共享文明建设长效机制。</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szCs w:val="32"/>
        </w:rPr>
        <w:t>第五条</w:t>
      </w:r>
      <w:r>
        <w:rPr>
          <w:szCs w:val="32"/>
        </w:rPr>
        <w:t xml:space="preserve"> 市、县（市、区）精神文明建设委员会统筹本行政区域内文明行为促进工作。建立文明行为促进工作联席会议制度，研究、制定文明行为促进工作相关规定，明确任务分工，协调解决有关重大问题。</w:t>
      </w:r>
    </w:p>
    <w:p>
      <w:pPr>
        <w:pStyle w:val="Normal"/>
        <w:snapToGrid w:val="false"/>
        <w:spacing w:lineRule="exact" w:line="570"/>
        <w:rPr>
          <w:szCs w:val="32"/>
        </w:rPr>
      </w:pPr>
      <w:r>
        <w:rPr>
          <w:szCs w:val="32"/>
        </w:rPr>
        <w:t>　　市、县（市、区）精神文明建设工作机构具体负责本行政区域内文明行为促进工作的规划、指导、协调、监督、测评。</w:t>
      </w:r>
    </w:p>
    <w:p>
      <w:pPr>
        <w:pStyle w:val="Normal"/>
        <w:shd w:fill="FFFFFF" w:val="clear"/>
        <w:snapToGrid w:val="false"/>
        <w:spacing w:lineRule="exact" w:line="570"/>
        <w:ind w:firstLineChars="200" w:startChars="0" w:start="0" w:endChars="0" w:end="0"/>
        <w:rPr>
          <w:szCs w:val="32"/>
        </w:rPr>
      </w:pPr>
      <w:r>
        <w:rPr>
          <w:szCs w:val="32"/>
        </w:rPr>
        <w:t>市、县（市、区）人民政府相关主管部门、乡（镇）人民政府、街道办事处应当按照各自职责，加强协作配合，共同做好文明行为促进工作。</w:t>
      </w:r>
    </w:p>
    <w:p>
      <w:pPr>
        <w:pStyle w:val="Normal"/>
        <w:shd w:fill="FFFFFF" w:val="clear"/>
        <w:snapToGrid w:val="false"/>
        <w:spacing w:lineRule="exact" w:line="570"/>
        <w:ind w:firstLineChars="200" w:startChars="0" w:start="0" w:endChars="0" w:end="0"/>
        <w:rPr>
          <w:szCs w:val="32"/>
        </w:rPr>
      </w:pPr>
      <w:r>
        <w:rPr>
          <w:szCs w:val="32"/>
        </w:rPr>
        <w:t xml:space="preserve">村（居）民委员会应当加强文明行为的宣传引导，协助做好本辖区文明行为促进工作。 </w:t>
      </w:r>
    </w:p>
    <w:p>
      <w:pPr>
        <w:pStyle w:val="Normal"/>
        <w:snapToGrid w:val="false"/>
        <w:spacing w:lineRule="exact" w:line="570"/>
        <w:ind w:firstLineChars="200" w:startChars="0" w:start="0" w:endChars="0" w:end="0"/>
        <w:rPr/>
      </w:pPr>
      <w:r>
        <w:rPr>
          <w:rFonts w:ascii="黑体;SimHei" w:hAnsi="黑体;SimHei" w:cs="黑体;SimHei" w:eastAsia="黑体;SimHei"/>
          <w:szCs w:val="32"/>
        </w:rPr>
        <w:t>第六条</w:t>
      </w:r>
      <w:r>
        <w:rPr>
          <w:szCs w:val="32"/>
        </w:rPr>
        <w:t xml:space="preserve"> 市、县（市、区）人民政府应当将文明行为促进工作纳入国民经济和社会发展规划及年度计划，对属于公共财政支出范围的文明行为促进工作应当予以保障。</w:t>
      </w:r>
    </w:p>
    <w:p>
      <w:pPr>
        <w:pStyle w:val="Normal"/>
        <w:snapToGrid w:val="false"/>
        <w:spacing w:lineRule="exact" w:line="570"/>
        <w:ind w:firstLineChars="200" w:startChars="0" w:start="0" w:endChars="0" w:end="0"/>
        <w:rPr/>
      </w:pPr>
      <w:r>
        <w:rPr>
          <w:rFonts w:ascii="黑体;SimHei" w:hAnsi="黑体;SimHei" w:cs="黑体;SimHei" w:eastAsia="黑体;SimHei"/>
          <w:szCs w:val="32"/>
        </w:rPr>
        <w:t>第七条</w:t>
      </w:r>
      <w:r>
        <w:rPr>
          <w:szCs w:val="32"/>
        </w:rPr>
        <w:t xml:space="preserve"> 国家机关、企业事业单位、人民团体、社会组织应当结合自身实际，积极支持、参与文明行为促进工作。</w:t>
      </w:r>
    </w:p>
    <w:p>
      <w:pPr>
        <w:pStyle w:val="Normal"/>
        <w:snapToGrid w:val="false"/>
        <w:spacing w:lineRule="exact" w:line="570"/>
        <w:ind w:firstLine="660" w:end="0"/>
        <w:rPr>
          <w:szCs w:val="32"/>
        </w:rPr>
      </w:pPr>
      <w:r>
        <w:rPr>
          <w:szCs w:val="32"/>
        </w:rPr>
        <w:t>公民应当自觉遵守市民文明公约、社区居民文明公约、村规民约、学生守则以及行业规范等，遵循公序良俗，积极参与文明行为促进工作。</w:t>
      </w:r>
    </w:p>
    <w:p>
      <w:pPr>
        <w:pStyle w:val="Normal"/>
        <w:snapToGrid w:val="false"/>
        <w:spacing w:lineRule="exact" w:line="570"/>
        <w:ind w:firstLine="660" w:end="0"/>
        <w:rPr>
          <w:szCs w:val="32"/>
        </w:rPr>
      </w:pPr>
      <w:r>
        <w:rPr>
          <w:szCs w:val="32"/>
        </w:rPr>
        <w:t>国家工作人员、社会公众人物应当在文明行为促进工作中发挥表率作用。</w:t>
      </w:r>
    </w:p>
    <w:p>
      <w:pPr>
        <w:pStyle w:val="Normal"/>
        <w:snapToGrid w:val="false"/>
        <w:spacing w:lineRule="exact" w:line="570"/>
        <w:ind w:firstLineChars="200" w:startChars="0" w:start="0" w:endChars="0" w:end="0"/>
        <w:rPr/>
      </w:pPr>
      <w:r>
        <w:rPr>
          <w:rStyle w:val="bjh-p"/>
          <w:rFonts w:ascii="黑体;SimHei" w:hAnsi="黑体;SimHei" w:cs="黑体;SimHei" w:eastAsia="黑体;SimHei"/>
          <w:color w:val="333333"/>
          <w:kern w:val="0"/>
          <w:szCs w:val="32"/>
        </w:rPr>
        <w:t>第八条</w:t>
      </w:r>
      <w:r>
        <w:rPr>
          <w:szCs w:val="32"/>
        </w:rPr>
        <w:t xml:space="preserve"> </w:t>
      </w:r>
      <w:r>
        <w:rPr>
          <w:rStyle w:val="bjh-p"/>
          <w:color w:val="333333"/>
          <w:kern w:val="0"/>
          <w:szCs w:val="32"/>
        </w:rPr>
        <w:t>报刊杂志、广播电视、网络平台等大众传播媒介应当加强正面引导，开展文明建设宣传和舆论监督。</w:t>
      </w:r>
    </w:p>
    <w:p>
      <w:pPr>
        <w:pStyle w:val="Normal"/>
        <w:snapToGrid w:val="false"/>
        <w:spacing w:lineRule="exact" w:line="570"/>
        <w:jc w:val="center"/>
        <w:rPr>
          <w:rStyle w:val="bjh-p"/>
          <w:rFonts w:hint="eastAsia"/>
          <w:color w:val="333333"/>
          <w:kern w:val="0"/>
          <w:szCs w:val="32"/>
        </w:rPr>
      </w:pPr>
      <w:r>
        <w:rPr/>
      </w:r>
    </w:p>
    <w:p>
      <w:pPr>
        <w:pStyle w:val="Normal"/>
        <w:snapToGrid w:val="false"/>
        <w:spacing w:lineRule="exact" w:line="570"/>
        <w:jc w:val="center"/>
        <w:rPr>
          <w:rFonts w:ascii="黑体;SimHei" w:hAnsi="黑体;SimHei" w:eastAsia="黑体;SimHei" w:cs="黑体;SimHei"/>
          <w:szCs w:val="32"/>
        </w:rPr>
      </w:pPr>
      <w:r>
        <w:rPr>
          <w:rFonts w:ascii="黑体;SimHei" w:hAnsi="黑体;SimHei" w:cs="黑体;SimHei" w:eastAsia="黑体;SimHei"/>
          <w:szCs w:val="32"/>
        </w:rPr>
        <w:t>第二章  规范与倡导</w:t>
      </w:r>
    </w:p>
    <w:p>
      <w:pPr>
        <w:pStyle w:val="Normal"/>
        <w:snapToGrid w:val="false"/>
        <w:spacing w:lineRule="exact" w:line="570"/>
        <w:rPr>
          <w:rFonts w:ascii="黑体;SimHei" w:hAnsi="黑体;SimHei" w:eastAsia="黑体;SimHei" w:cs="黑体;SimHei"/>
          <w:szCs w:val="32"/>
        </w:rPr>
      </w:pPr>
      <w:r>
        <w:rPr>
          <w:rFonts w:eastAsia="黑体;SimHei" w:cs="黑体;SimHei" w:ascii="黑体;SimHei" w:hAnsi="黑体;SimHei"/>
          <w:szCs w:val="32"/>
        </w:rPr>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黑体;SimHei" w:hAnsi="黑体;SimHei" w:cs="黑体;SimHei" w:eastAsia="黑体;SimHei"/>
          <w:color w:val="333333"/>
          <w:sz w:val="32"/>
          <w:szCs w:val="32"/>
        </w:rPr>
        <w:t>第九条</w:t>
      </w:r>
      <w:r>
        <w:rPr>
          <w:rFonts w:ascii="Times New Roman" w:hAnsi="Times New Roman" w:cs="Times New Roman" w:eastAsia="仿宋_GB2312"/>
          <w:sz w:val="32"/>
          <w:szCs w:val="32"/>
        </w:rPr>
        <w:t xml:space="preserve"> </w:t>
      </w:r>
      <w:r>
        <w:rPr>
          <w:rStyle w:val="bjh-p"/>
          <w:rFonts w:ascii="Times New Roman" w:hAnsi="Times New Roman" w:cs="Times New Roman" w:eastAsia="仿宋_GB2312"/>
          <w:color w:val="333333"/>
          <w:sz w:val="32"/>
          <w:szCs w:val="32"/>
        </w:rPr>
        <w:t>公民应当爱国守法、明礼诚信、团结友善、勤俭自强、敬业奉献。</w:t>
      </w:r>
    </w:p>
    <w:p>
      <w:pPr>
        <w:pStyle w:val="Normal"/>
        <w:snapToGrid w:val="false"/>
        <w:spacing w:lineRule="exact" w:line="570"/>
        <w:ind w:firstLineChars="200" w:startChars="0" w:start="0" w:endChars="0" w:end="0"/>
        <w:rPr/>
      </w:pPr>
      <w:r>
        <w:rPr>
          <w:rStyle w:val="bjh-p"/>
          <w:rFonts w:ascii="黑体;SimHei" w:hAnsi="黑体;SimHei" w:cs="黑体;SimHei" w:eastAsia="黑体;SimHei"/>
          <w:color w:val="333333"/>
          <w:szCs w:val="32"/>
        </w:rPr>
        <w:t>第十条</w:t>
      </w:r>
      <w:r>
        <w:rPr>
          <w:rStyle w:val="bjh-p"/>
          <w:color w:val="333333"/>
          <w:szCs w:val="32"/>
        </w:rPr>
        <w:t xml:space="preserve"> </w:t>
      </w:r>
      <w:r>
        <w:rPr>
          <w:rStyle w:val="bjh-p"/>
          <w:color w:val="333333"/>
          <w:kern w:val="0"/>
          <w:szCs w:val="32"/>
        </w:rPr>
        <w:t>公民应当自觉践行下列文明行为：</w:t>
      </w:r>
    </w:p>
    <w:p>
      <w:pPr>
        <w:pStyle w:val="Normal"/>
        <w:snapToGrid w:val="false"/>
        <w:spacing w:lineRule="exact" w:line="570"/>
        <w:ind w:firstLineChars="200" w:startChars="0" w:start="0" w:endChars="0" w:end="0"/>
        <w:rPr/>
      </w:pPr>
      <w:r>
        <w:rPr>
          <w:rStyle w:val="bjh-p"/>
          <w:color w:val="333333"/>
          <w:szCs w:val="32"/>
        </w:rPr>
        <w:t>（一）在公共场所着装整洁得体，言行举止文明；</w:t>
      </w:r>
    </w:p>
    <w:p>
      <w:pPr>
        <w:pStyle w:val="Normal"/>
        <w:snapToGrid w:val="false"/>
        <w:spacing w:lineRule="exact" w:line="570"/>
        <w:ind w:firstLineChars="200" w:startChars="0" w:start="0" w:endChars="0" w:end="0"/>
        <w:rPr/>
      </w:pPr>
      <w:r>
        <w:rPr>
          <w:rStyle w:val="bjh-p"/>
          <w:color w:val="333333"/>
          <w:szCs w:val="32"/>
        </w:rPr>
        <w:t>（二）等候服务依次排队，</w:t>
      </w:r>
      <w:r>
        <w:rPr>
          <w:color w:val="333333"/>
          <w:szCs w:val="32"/>
          <w:shd w:fill="FFFFFF" w:val="clear"/>
        </w:rPr>
        <w:t>乘坐电梯先出后进，上下楼梯靠右行走</w:t>
      </w:r>
      <w:r>
        <w:rPr>
          <w:rStyle w:val="bjh-p"/>
          <w:color w:val="333333"/>
          <w:szCs w:val="32"/>
        </w:rPr>
        <w:t>；</w:t>
      </w:r>
    </w:p>
    <w:p>
      <w:pPr>
        <w:pStyle w:val="Normal"/>
        <w:snapToGrid w:val="false"/>
        <w:spacing w:lineRule="exact" w:line="570"/>
        <w:ind w:firstLineChars="200" w:startChars="0" w:start="0" w:endChars="0" w:end="0"/>
        <w:rPr/>
      </w:pPr>
      <w:r>
        <w:rPr>
          <w:rStyle w:val="bjh-p"/>
          <w:color w:val="333333"/>
          <w:szCs w:val="32"/>
        </w:rPr>
        <w:t>（三）文明开展文体娱乐活动，合理使用场地及设施设备；</w:t>
      </w:r>
    </w:p>
    <w:p>
      <w:pPr>
        <w:pStyle w:val="Normal"/>
        <w:snapToGrid w:val="false"/>
        <w:spacing w:lineRule="exact" w:line="570"/>
        <w:ind w:firstLineChars="200" w:startChars="0" w:start="0" w:endChars="0" w:end="0"/>
        <w:rPr/>
      </w:pPr>
      <w:r>
        <w:rPr>
          <w:rStyle w:val="bjh-p"/>
          <w:color w:val="333333"/>
          <w:szCs w:val="32"/>
        </w:rPr>
        <w:t>（四）参加集会、观看演出和赛事，服从现场管理，保持现场整洁；</w:t>
      </w:r>
    </w:p>
    <w:p>
      <w:pPr>
        <w:pStyle w:val="Normal"/>
        <w:snapToGrid w:val="false"/>
        <w:spacing w:lineRule="exact" w:line="570"/>
        <w:ind w:firstLineChars="200" w:startChars="0" w:start="0" w:endChars="0" w:end="0"/>
        <w:rPr/>
      </w:pPr>
      <w:r>
        <w:rPr>
          <w:rStyle w:val="bjh-p"/>
          <w:color w:val="333333"/>
          <w:szCs w:val="32"/>
        </w:rPr>
        <w:t>（五）履行环境保护义务，参与生态文明建设，保护大气、水、土壤等环境；</w:t>
      </w:r>
    </w:p>
    <w:p>
      <w:pPr>
        <w:pStyle w:val="Normal"/>
        <w:snapToGrid w:val="false"/>
        <w:spacing w:lineRule="exact" w:line="570"/>
        <w:ind w:firstLineChars="200" w:startChars="0" w:start="0" w:endChars="0" w:end="0"/>
        <w:rPr/>
      </w:pPr>
      <w:r>
        <w:rPr>
          <w:rStyle w:val="bjh-p"/>
          <w:color w:val="333333"/>
          <w:szCs w:val="32"/>
        </w:rPr>
        <w:t>（六）维护公共环境卫生，爱护公共设施，保护绿地和花草树木；</w:t>
      </w:r>
    </w:p>
    <w:p>
      <w:pPr>
        <w:pStyle w:val="Normal"/>
        <w:snapToGrid w:val="false"/>
        <w:spacing w:lineRule="exact" w:line="570"/>
        <w:ind w:firstLineChars="200" w:startChars="0" w:start="0" w:endChars="0" w:end="0"/>
        <w:rPr/>
      </w:pPr>
      <w:r>
        <w:rPr>
          <w:rStyle w:val="bjh-p"/>
          <w:color w:val="333333"/>
          <w:szCs w:val="32"/>
        </w:rPr>
        <w:t>（七）践行低碳、环保、绿色生活方式，合理消费，优先选择公共交通工具、自行车、步行等低碳方式出行，分类投放生活垃圾，节约水、电、油、气等资源；</w:t>
      </w:r>
    </w:p>
    <w:p>
      <w:pPr>
        <w:pStyle w:val="Normal"/>
        <w:snapToGrid w:val="false"/>
        <w:spacing w:lineRule="exact" w:line="570"/>
        <w:ind w:firstLineChars="200" w:startChars="0" w:start="0" w:endChars="0" w:end="0"/>
        <w:rPr/>
      </w:pPr>
      <w:r>
        <w:rPr>
          <w:rStyle w:val="bjh-p"/>
          <w:color w:val="333333"/>
          <w:szCs w:val="32"/>
        </w:rPr>
        <w:t>（八）树立新风，破除陋习，文明节俭办理婚丧喜庆事宜；</w:t>
      </w:r>
    </w:p>
    <w:p>
      <w:pPr>
        <w:pStyle w:val="Normal"/>
        <w:snapToGrid w:val="false"/>
        <w:spacing w:lineRule="exact" w:line="570"/>
        <w:ind w:firstLineChars="200" w:startChars="0" w:start="0" w:endChars="0" w:end="0"/>
        <w:rPr/>
      </w:pPr>
      <w:r>
        <w:rPr>
          <w:rStyle w:val="bjh-p"/>
          <w:color w:val="333333"/>
          <w:szCs w:val="32"/>
        </w:rPr>
        <w:t>（九）遵守交通规则，机动车、非机动车、行人应当按照交通信号或者交通警察的指挥通行；</w:t>
      </w:r>
    </w:p>
    <w:p>
      <w:pPr>
        <w:pStyle w:val="Normal"/>
        <w:snapToGrid w:val="false"/>
        <w:spacing w:lineRule="exact" w:line="570"/>
        <w:ind w:firstLineChars="200" w:startChars="0" w:start="0" w:endChars="0" w:end="0"/>
        <w:rPr/>
      </w:pPr>
      <w:r>
        <w:rPr>
          <w:rStyle w:val="bjh-p"/>
          <w:szCs w:val="32"/>
        </w:rPr>
        <w:t>（十）乘坐公共交通工具文明等候，主动为老、幼、病、残、孕及携带婴儿的乘客让座；</w:t>
      </w:r>
    </w:p>
    <w:p>
      <w:pPr>
        <w:pStyle w:val="Normal"/>
        <w:snapToGrid w:val="false"/>
        <w:spacing w:lineRule="exact" w:line="570"/>
        <w:ind w:firstLineChars="200" w:startChars="0" w:start="0" w:endChars="0" w:end="0"/>
        <w:rPr/>
      </w:pPr>
      <w:r>
        <w:rPr>
          <w:rStyle w:val="bjh-p"/>
          <w:color w:val="333333"/>
          <w:szCs w:val="32"/>
        </w:rPr>
        <w:t>（十一）遵守旅游管理规范，尊重当地民俗习惯，爱护文物古迹和旅游设施；</w:t>
      </w:r>
    </w:p>
    <w:p>
      <w:pPr>
        <w:pStyle w:val="Normal"/>
        <w:snapToGrid w:val="false"/>
        <w:spacing w:lineRule="exact" w:line="570"/>
        <w:ind w:firstLineChars="200" w:startChars="0" w:start="0" w:endChars="0" w:end="0"/>
        <w:rPr/>
      </w:pPr>
      <w:r>
        <w:rPr>
          <w:rStyle w:val="bjh-p"/>
          <w:color w:val="333333"/>
          <w:szCs w:val="32"/>
        </w:rPr>
        <w:t>（十二）培育良好家风，尊老爱幼，家庭和睦，邻里团结，重礼谦让；</w:t>
      </w:r>
    </w:p>
    <w:p>
      <w:pPr>
        <w:pStyle w:val="Normal"/>
        <w:snapToGrid w:val="false"/>
        <w:spacing w:lineRule="exact" w:line="570"/>
        <w:ind w:firstLineChars="200" w:startChars="0" w:start="0" w:endChars="0" w:end="0"/>
        <w:rPr/>
      </w:pPr>
      <w:r>
        <w:rPr>
          <w:rStyle w:val="bjh-p"/>
          <w:color w:val="333333"/>
          <w:szCs w:val="32"/>
        </w:rPr>
        <w:t>（十三）遵守网络文明公约，文明上网，培育积极健康、向上向善的网络文化，营造健康的网络空间；</w:t>
      </w:r>
    </w:p>
    <w:p>
      <w:pPr>
        <w:pStyle w:val="Normal"/>
        <w:snapToGrid w:val="false"/>
        <w:spacing w:lineRule="exact" w:line="570"/>
        <w:ind w:firstLineChars="200" w:startChars="0" w:start="0" w:endChars="0" w:end="0"/>
        <w:rPr>
          <w:szCs w:val="32"/>
        </w:rPr>
      </w:pPr>
      <w:r>
        <w:rPr>
          <w:rStyle w:val="bjh-p"/>
          <w:color w:val="333333"/>
          <w:szCs w:val="32"/>
        </w:rPr>
        <w:t>（十四）其他有益于社会文明和进步的行为。</w:t>
      </w:r>
    </w:p>
    <w:p>
      <w:pPr>
        <w:pStyle w:val="Style16"/>
        <w:widowControl w:val="false"/>
        <w:shd w:fill="FFFFFF" w:val="clear"/>
        <w:snapToGrid w:val="false"/>
        <w:spacing w:lineRule="exact" w:line="570" w:before="0" w:after="0"/>
        <w:ind w:firstLineChars="200" w:startChars="0" w:start="0" w:endChars="0" w:end="0"/>
        <w:jc w:val="both"/>
        <w:rPr/>
      </w:pPr>
      <w:r>
        <w:rPr>
          <w:rFonts w:ascii="黑体;SimHei" w:hAnsi="黑体;SimHei" w:cs="Times New Roman" w:eastAsia="黑体;SimHei"/>
          <w:color w:val="333333"/>
          <w:sz w:val="32"/>
          <w:szCs w:val="32"/>
        </w:rPr>
        <w:t>第</w:t>
      </w:r>
      <w:r>
        <w:rPr>
          <w:rStyle w:val="bjh-p"/>
          <w:rFonts w:ascii="黑体;SimHei" w:hAnsi="黑体;SimHei" w:cs="黑体;SimHei" w:eastAsia="黑体;SimHei"/>
          <w:color w:val="333333"/>
          <w:sz w:val="32"/>
          <w:szCs w:val="32"/>
        </w:rPr>
        <w:t>十一</w:t>
      </w:r>
      <w:r>
        <w:rPr>
          <w:rFonts w:ascii="黑体;SimHei" w:hAnsi="黑体;SimHei" w:cs="Times New Roman" w:eastAsia="黑体;SimHei"/>
          <w:color w:val="333333"/>
          <w:sz w:val="32"/>
          <w:szCs w:val="32"/>
        </w:rPr>
        <w:t>条</w:t>
      </w:r>
      <w:r>
        <w:rPr>
          <w:rFonts w:ascii="Times New Roman" w:hAnsi="Times New Roman" w:cs="Times New Roman" w:eastAsia="仿宋_GB2312"/>
          <w:sz w:val="32"/>
          <w:szCs w:val="32"/>
        </w:rPr>
        <w:t xml:space="preserve"> </w:t>
      </w:r>
      <w:r>
        <w:rPr>
          <w:rStyle w:val="bjh-p"/>
          <w:rFonts w:ascii="Times New Roman" w:hAnsi="Times New Roman" w:cs="Times New Roman" w:eastAsia="仿宋_GB2312"/>
          <w:color w:val="333333"/>
          <w:sz w:val="32"/>
          <w:szCs w:val="32"/>
        </w:rPr>
        <w:t>公民应当维护公共秩序，不得实施下列行为：</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（一）在公共场所任意堆放杂物，私搭乱建，私占、损坏绿地和公共设施；</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（二）从建筑物、构筑物内向外抛掷物品；</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（三）违规占道经营、沿街摆放；</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 xml:space="preserve">（四）携带犬只（导盲犬、警用犬等特殊用途的除外）以及其它宠物、动物进入公园、广场、商场、医院、学校、幼儿园等公共场所、乘坐公共交通工具，不及时清除在公共场所产生的排泄物，携犬出户不束犬链； </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（五）在互联网等媒体上编造、发布和传播虚假、低俗淫秽信息以及损害他人合法权益等违反法律法规、违背公序良俗的信息；</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（六）在医院、学校聚众闹事、侮辱、谩骂、威胁、殴打医务人员和教职工；</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（七）酗酒滋事、聚众赌博；</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（八）其他危害公共秩序的不文明行为。</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黑体;SimHei" w:hAnsi="黑体;SimHei" w:cs="黑体;SimHei" w:eastAsia="黑体;SimHei"/>
          <w:color w:val="333333"/>
          <w:sz w:val="32"/>
          <w:szCs w:val="32"/>
        </w:rPr>
        <w:t>第十二条</w:t>
      </w:r>
      <w:r>
        <w:rPr>
          <w:rFonts w:ascii="Times New Roman" w:hAnsi="Times New Roman" w:cs="Times New Roman" w:eastAsia="仿宋_GB2312"/>
          <w:sz w:val="32"/>
          <w:szCs w:val="32"/>
        </w:rPr>
        <w:t xml:space="preserve"> </w:t>
      </w:r>
      <w:r>
        <w:rPr>
          <w:rStyle w:val="bjh-p"/>
          <w:rFonts w:ascii="Times New Roman" w:hAnsi="Times New Roman" w:cs="Times New Roman" w:eastAsia="仿宋_GB2312"/>
          <w:color w:val="333333"/>
          <w:sz w:val="32"/>
          <w:szCs w:val="32"/>
        </w:rPr>
        <w:t>公民应当爱护环境卫生，不得实施下列行为：</w:t>
      </w:r>
    </w:p>
    <w:p>
      <w:pPr>
        <w:pStyle w:val="Style18"/>
        <w:spacing w:lineRule="exact" w:line="570"/>
        <w:ind w:firstLineChars="200" w:startChars="0" w:start="0" w:endChars="0" w:end="0"/>
        <w:rPr>
          <w:rFonts w:ascii="Times New Roman" w:hAnsi="Times New Roman" w:eastAsia="仿宋_GB2312" w:cs="Times New Roman"/>
          <w:color w:val="333333"/>
          <w:kern w:val="0"/>
          <w:sz w:val="32"/>
          <w:szCs w:val="32"/>
        </w:rPr>
      </w:pPr>
      <w:r>
        <w:rPr>
          <w:rStyle w:val="bjh-p"/>
          <w:rFonts w:ascii="Times New Roman" w:hAnsi="Times New Roman" w:cs="Times New Roman" w:eastAsia="仿宋_GB2312"/>
          <w:color w:val="333333"/>
          <w:sz w:val="32"/>
          <w:szCs w:val="32"/>
        </w:rPr>
        <w:t>（一）</w:t>
      </w:r>
      <w:r>
        <w:rPr>
          <w:rStyle w:val="bjh-p"/>
          <w:rFonts w:ascii="Times New Roman" w:hAnsi="Times New Roman" w:cs="Times New Roman" w:eastAsia="仿宋_GB2312"/>
          <w:color w:val="333333"/>
          <w:kern w:val="0"/>
          <w:sz w:val="32"/>
          <w:szCs w:val="32"/>
        </w:rPr>
        <w:t>在学校、医院、超市、影剧院和有禁烟标志公共场所吸烟；</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（二）随地吐痰、便溺，乱扔塑料袋、烟蒂、纸屑、饮料罐、口香糖、果皮等废弃物，乱倒垃圾、污水；</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（三）在公共场所、市政公用设施、树木等非法张贴、涂写、刻画及挂置宣传物品，发放小广告；</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（四）露天烧烤</w:t>
      </w:r>
      <w:r>
        <w:rPr>
          <w:rFonts w:ascii="Times New Roman" w:hAnsi="Times New Roman" w:cs="Times New Roman" w:eastAsia="仿宋_GB2312"/>
          <w:color w:val="333333"/>
          <w:sz w:val="32"/>
          <w:szCs w:val="32"/>
          <w:shd w:fill="FFFFFF" w:val="clear"/>
        </w:rPr>
        <w:t>，违反规定燃放烟花爆竹</w:t>
      </w:r>
      <w:r>
        <w:rPr>
          <w:rStyle w:val="bjh-p"/>
          <w:rFonts w:ascii="Times New Roman" w:hAnsi="Times New Roman" w:cs="Times New Roman" w:eastAsia="仿宋_GB2312"/>
          <w:color w:val="333333"/>
          <w:sz w:val="32"/>
          <w:szCs w:val="32"/>
        </w:rPr>
        <w:t>，焚烧生产、生活垃圾，焚烧祭祀用品；</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（五）在公园、广场、街道等公共场所大声喧哗、音响器材音量超标，干扰周围环境；</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sz w:val="32"/>
          <w:szCs w:val="32"/>
        </w:rPr>
        <w:t>（六）其他破坏公</w:t>
      </w:r>
      <w:r>
        <w:rPr>
          <w:rStyle w:val="bjh-p"/>
          <w:rFonts w:ascii="Times New Roman" w:hAnsi="Times New Roman" w:cs="Times New Roman" w:eastAsia="仿宋_GB2312"/>
          <w:color w:val="333333"/>
          <w:sz w:val="32"/>
          <w:szCs w:val="32"/>
        </w:rPr>
        <w:t>共环境的不文明行为。</w:t>
      </w:r>
    </w:p>
    <w:p>
      <w:pPr>
        <w:pStyle w:val="Style16"/>
        <w:widowControl w:val="false"/>
        <w:shd w:fill="FFFFFF" w:val="clear"/>
        <w:snapToGrid w:val="false"/>
        <w:spacing w:lineRule="exact" w:line="570" w:before="0" w:after="0"/>
        <w:ind w:firstLineChars="200" w:startChars="0" w:start="0" w:endChars="0" w:end="0"/>
        <w:jc w:val="both"/>
        <w:rPr/>
      </w:pPr>
      <w:r>
        <w:rPr>
          <w:rFonts w:ascii="黑体;SimHei" w:hAnsi="黑体;SimHei" w:cs="Times New Roman" w:eastAsia="黑体;SimHei"/>
          <w:color w:val="333333"/>
          <w:sz w:val="32"/>
          <w:szCs w:val="32"/>
        </w:rPr>
        <w:t>第十三条</w:t>
      </w:r>
      <w:r>
        <w:rPr>
          <w:rFonts w:ascii="Times New Roman" w:hAnsi="Times New Roman" w:cs="Times New Roman" w:eastAsia="仿宋_GB2312"/>
          <w:sz w:val="32"/>
          <w:szCs w:val="32"/>
        </w:rPr>
        <w:t xml:space="preserve"> </w:t>
      </w:r>
      <w:r>
        <w:rPr>
          <w:rStyle w:val="bjh-p"/>
          <w:rFonts w:ascii="Times New Roman" w:hAnsi="Times New Roman" w:cs="Times New Roman" w:eastAsia="仿宋_GB2312"/>
          <w:color w:val="333333"/>
          <w:sz w:val="32"/>
          <w:szCs w:val="32"/>
        </w:rPr>
        <w:t>公民应当遵守交通规则，不得实施下列行为：</w:t>
      </w:r>
    </w:p>
    <w:p>
      <w:pPr>
        <w:pStyle w:val="Normal"/>
        <w:snapToGrid w:val="false"/>
        <w:spacing w:lineRule="exact" w:line="570"/>
        <w:ind w:firstLineChars="200" w:startChars="0" w:start="0" w:endChars="0" w:end="0"/>
        <w:rPr/>
      </w:pPr>
      <w:r>
        <w:rPr>
          <w:rStyle w:val="bjh-p"/>
          <w:color w:val="333333"/>
          <w:kern w:val="0"/>
          <w:szCs w:val="32"/>
        </w:rPr>
        <w:t>（一）行人闯红灯，不走人行横道或者过街设施，在机动车道上行走，随意横穿马路，跨越交通护栏；</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（二）驾驶和乘坐机动车、非机动车向车外抛撒物品；</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（三）驾驶机动车行经人行横道不减速行驶，遇行人正在通过人行横道时不停车让行；</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（四）驾驶机动车接打电话，浏览电子设备，违反规定使用远光灯、鸣笛、变更车道、超速行驶、追逐竞驶；违反规定停放车辆和占用非机动车道、人行道；</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（五）擅自在公共道路设置车档、地桩、地锁等障碍物占用</w:t>
      </w:r>
      <w:r>
        <w:rPr>
          <w:rFonts w:ascii="Times New Roman" w:hAnsi="Times New Roman" w:cs="Times New Roman" w:eastAsia="仿宋_GB2312"/>
          <w:sz w:val="32"/>
          <w:szCs w:val="32"/>
        </w:rPr>
        <w:t>公共</w:t>
      </w:r>
      <w:r>
        <w:rPr>
          <w:rStyle w:val="bjh-p"/>
          <w:rFonts w:ascii="Times New Roman" w:hAnsi="Times New Roman" w:cs="Times New Roman" w:eastAsia="仿宋_GB2312"/>
          <w:color w:val="333333"/>
          <w:sz w:val="32"/>
          <w:szCs w:val="32"/>
        </w:rPr>
        <w:t xml:space="preserve">停车泊位； </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（六）驾驶电动自行车超速行驶、逆向行驶；</w:t>
      </w:r>
    </w:p>
    <w:p>
      <w:pPr>
        <w:pStyle w:val="Style16"/>
        <w:widowControl w:val="false"/>
        <w:shd w:fill="FFFFFF" w:val="clear"/>
        <w:snapToGrid w:val="false"/>
        <w:spacing w:lineRule="exact" w:line="570" w:before="0" w:after="0"/>
        <w:ind w:firstLineChars="200" w:startChars="0" w:start="0" w:endChars="0" w:end="0"/>
        <w:jc w:val="both"/>
        <w:rPr/>
      </w:pPr>
      <w:r>
        <w:rPr>
          <w:rStyle w:val="bjh-p"/>
          <w:rFonts w:ascii="Times New Roman" w:hAnsi="Times New Roman" w:cs="Times New Roman" w:eastAsia="仿宋_GB2312"/>
          <w:color w:val="333333"/>
          <w:sz w:val="32"/>
          <w:szCs w:val="32"/>
        </w:rPr>
        <w:t>（七）驾驶机动车不避让执行紧急任务的消防车、救护车、工程救险车、警车等应急车辆，非紧急情况占用应急车道；</w:t>
      </w:r>
    </w:p>
    <w:p>
      <w:pPr>
        <w:pStyle w:val="Normal"/>
        <w:snapToGrid w:val="false"/>
        <w:spacing w:lineRule="exact" w:line="570"/>
        <w:ind w:firstLineChars="200" w:startChars="0" w:start="0" w:endChars="0" w:end="0"/>
        <w:rPr/>
      </w:pPr>
      <w:r>
        <w:rPr>
          <w:szCs w:val="32"/>
        </w:rPr>
        <w:t>（八）其他违反交通文明规范的不文明行为。</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黑体;SimHei" w:hAnsi="黑体;SimHei" w:cs="黑体;SimHei" w:eastAsia="黑体;SimHei"/>
          <w:color w:val="333333"/>
          <w:sz w:val="32"/>
          <w:szCs w:val="32"/>
        </w:rPr>
        <w:t>第十四条</w:t>
      </w:r>
      <w:r>
        <w:rPr>
          <w:rFonts w:ascii="Times New Roman" w:hAnsi="Times New Roman" w:cs="Times New Roman" w:eastAsia="仿宋_GB2312"/>
          <w:sz w:val="32"/>
          <w:szCs w:val="32"/>
        </w:rPr>
        <w:t xml:space="preserve"> </w:t>
      </w:r>
      <w:r>
        <w:rPr>
          <w:rStyle w:val="bjh-p"/>
          <w:rFonts w:ascii="Times New Roman" w:hAnsi="Times New Roman" w:cs="Times New Roman" w:eastAsia="仿宋_GB2312"/>
          <w:color w:val="333333"/>
          <w:sz w:val="32"/>
          <w:szCs w:val="32"/>
        </w:rPr>
        <w:t>鼓励和倡导下列文明行为：</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（一）参加志愿服务活动，加入依法设立的志愿服务组织；</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（二）见义勇为；</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（三）对需要急救的人员拨打急救电话呼救，并提供必要帮助；</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（四）参加扶贫、济困、助学、助医、救助灾区等慈善公益活动；</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（五）无偿献血，捐献造血干细胞、人体器官及组织；</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Fonts w:ascii="Times New Roman" w:hAnsi="Times New Roman" w:cs="Times New Roman" w:eastAsia="仿宋_GB2312"/>
          <w:color w:val="333333"/>
          <w:sz w:val="32"/>
          <w:szCs w:val="32"/>
        </w:rPr>
        <w:t>（六）保护生态环境，保护野生动植物，自觉参加植树造林、护林防火、养绿护绿等活动；</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（七）诚实守信，自觉履行约定和法定义务；</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（八）关爱空巢老人、留守儿童和外来务工人员未成年子女；</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（九）其他崇德向善、热心公益、奉献社会的行为。</w:t>
      </w:r>
    </w:p>
    <w:p>
      <w:pPr>
        <w:pStyle w:val="Normal"/>
        <w:snapToGrid w:val="false"/>
        <w:spacing w:lineRule="exact" w:line="570"/>
        <w:ind w:firstLineChars="200" w:startChars="0" w:start="0" w:endChars="0" w:end="0"/>
        <w:rPr/>
      </w:pPr>
      <w:r>
        <w:rPr>
          <w:rFonts w:ascii="黑体;SimHei" w:hAnsi="黑体;SimHei" w:cs="黑体;SimHei" w:eastAsia="黑体;SimHei"/>
          <w:color w:val="333333"/>
          <w:kern w:val="0"/>
          <w:szCs w:val="32"/>
        </w:rPr>
        <w:t>第十五条</w:t>
      </w:r>
      <w:r>
        <w:rPr>
          <w:color w:val="333333"/>
          <w:kern w:val="0"/>
          <w:szCs w:val="32"/>
        </w:rPr>
        <w:t xml:space="preserve"> 鼓励和支持国家机关、企业事业单位、社会组织和个人以提供资金、技术、劳动力、媒介资源等形式对文明行为促进活动提供支持。</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第十六条</w:t>
      </w:r>
      <w:r>
        <w:rPr>
          <w:color w:val="333333"/>
          <w:kern w:val="0"/>
          <w:szCs w:val="32"/>
        </w:rPr>
        <w:t xml:space="preserve"> 鼓励单位在招聘、选用时，同等条件下优先录用、聘用道德模范、文明市民、优秀志愿者等先进人物。</w:t>
      </w:r>
    </w:p>
    <w:p>
      <w:pPr>
        <w:pStyle w:val="Normal"/>
        <w:shd w:fill="FFFFFF" w:val="clear"/>
        <w:snapToGrid w:val="false"/>
        <w:spacing w:lineRule="exact" w:line="570"/>
        <w:jc w:val="center"/>
        <w:rPr>
          <w:rFonts w:ascii="黑体;SimHei" w:hAnsi="黑体;SimHei" w:eastAsia="黑体;SimHei" w:cs="黑体;SimHei" w:hint="eastAsia"/>
          <w:color w:val="333333"/>
          <w:kern w:val="0"/>
          <w:szCs w:val="32"/>
        </w:rPr>
      </w:pPr>
      <w:r>
        <w:rPr>
          <w:rFonts w:eastAsia="黑体;SimHei" w:cs="黑体;SimHei" w:hint="eastAsia" w:ascii="黑体;SimHei" w:hAnsi="黑体;SimHei"/>
          <w:color w:val="333333"/>
          <w:kern w:val="0"/>
          <w:szCs w:val="32"/>
        </w:rPr>
      </w:r>
    </w:p>
    <w:p>
      <w:pPr>
        <w:pStyle w:val="Normal"/>
        <w:shd w:fill="FFFFFF" w:val="clear"/>
        <w:snapToGrid w:val="false"/>
        <w:spacing w:lineRule="exact" w:line="570"/>
        <w:jc w:val="center"/>
        <w:rPr>
          <w:rFonts w:ascii="黑体;SimHei" w:hAnsi="黑体;SimHei" w:eastAsia="黑体;SimHei" w:cs="黑体;SimHei"/>
          <w:color w:val="333333"/>
          <w:kern w:val="0"/>
          <w:szCs w:val="32"/>
        </w:rPr>
      </w:pPr>
      <w:r>
        <w:rPr>
          <w:rFonts w:ascii="黑体;SimHei" w:hAnsi="黑体;SimHei" w:cs="黑体;SimHei" w:eastAsia="黑体;SimHei"/>
          <w:color w:val="333333"/>
          <w:kern w:val="0"/>
          <w:szCs w:val="32"/>
        </w:rPr>
        <w:t>第三章  实施与保障</w:t>
      </w:r>
    </w:p>
    <w:p>
      <w:pPr>
        <w:pStyle w:val="Normal"/>
        <w:shd w:fill="FFFFFF" w:val="clear"/>
        <w:snapToGrid w:val="false"/>
        <w:spacing w:lineRule="exact" w:line="570"/>
        <w:rPr>
          <w:rFonts w:ascii="黑体;SimHei" w:hAnsi="黑体;SimHei" w:eastAsia="黑体;SimHei" w:cs="黑体;SimHei"/>
          <w:color w:val="333333"/>
          <w:kern w:val="0"/>
          <w:szCs w:val="32"/>
        </w:rPr>
      </w:pPr>
      <w:r>
        <w:rPr>
          <w:rFonts w:eastAsia="黑体;SimHei" w:cs="黑体;SimHei" w:ascii="黑体;SimHei" w:hAnsi="黑体;SimHei"/>
          <w:color w:val="333333"/>
          <w:kern w:val="0"/>
          <w:szCs w:val="32"/>
        </w:rPr>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szCs w:val="32"/>
        </w:rPr>
        <w:t>第十七条</w:t>
      </w:r>
      <w:r>
        <w:rPr>
          <w:szCs w:val="32"/>
        </w:rPr>
        <w:t xml:space="preserve"> </w:t>
      </w:r>
      <w:r>
        <w:rPr>
          <w:color w:val="333333"/>
          <w:kern w:val="0"/>
          <w:szCs w:val="32"/>
        </w:rPr>
        <w:t>市、县（市、区）精神文明建设委员会应当将文明行为促进工作纳入文明城市建设工作总体布局。</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市、县（市、区）精神文明建设工作机构应当把文明行为促进工作纳入文明城市测评体系，定期开展工作落实情况督查、考核，开展文明行为促进情况社会调查。</w:t>
      </w:r>
    </w:p>
    <w:p>
      <w:pPr>
        <w:pStyle w:val="Normal"/>
        <w:shd w:fill="FFFFFF" w:val="clear"/>
        <w:snapToGrid w:val="false"/>
        <w:spacing w:lineRule="exact" w:line="570"/>
        <w:ind w:firstLineChars="200" w:startChars="0" w:start="0" w:endChars="0" w:end="0"/>
        <w:rPr>
          <w:szCs w:val="32"/>
        </w:rPr>
      </w:pPr>
      <w:r>
        <w:rPr>
          <w:szCs w:val="32"/>
        </w:rPr>
        <w:t>市、县（市、区）人民政府应当建立健全文明行为促进工作目标责任制和考评制度，并对落实情况进行检查、考评。</w:t>
      </w:r>
    </w:p>
    <w:p>
      <w:pPr>
        <w:pStyle w:val="Normal"/>
        <w:snapToGrid w:val="false"/>
        <w:spacing w:lineRule="exact" w:line="570"/>
        <w:ind w:firstLine="660" w:end="0"/>
        <w:rPr/>
      </w:pPr>
      <w:r>
        <w:rPr>
          <w:rFonts w:ascii="黑体;SimHei" w:hAnsi="黑体;SimHei" w:cs="黑体;SimHei" w:eastAsia="黑体;SimHei"/>
          <w:szCs w:val="32"/>
        </w:rPr>
        <w:t>第十八条</w:t>
      </w:r>
      <w:r>
        <w:rPr>
          <w:color w:val="333333"/>
          <w:kern w:val="0"/>
          <w:szCs w:val="32"/>
        </w:rPr>
        <w:t xml:space="preserve"> </w:t>
      </w:r>
      <w:r>
        <w:rPr>
          <w:szCs w:val="32"/>
        </w:rPr>
        <w:t>市、县（市、区）人民政府应当建立健全文明行为表彰奖励制度和先进人物礼遇、困难帮扶制度。</w:t>
      </w:r>
    </w:p>
    <w:p>
      <w:pPr>
        <w:pStyle w:val="Normal"/>
        <w:snapToGrid w:val="false"/>
        <w:spacing w:lineRule="exact" w:line="570"/>
        <w:ind w:firstLine="660" w:end="0"/>
        <w:rPr/>
      </w:pPr>
      <w:r>
        <w:rPr>
          <w:rFonts w:ascii="黑体;SimHei" w:hAnsi="黑体;SimHei" w:cs="黑体;SimHei" w:eastAsia="黑体;SimHei"/>
          <w:szCs w:val="32"/>
        </w:rPr>
        <w:t>第十九条</w:t>
      </w:r>
      <w:r>
        <w:rPr>
          <w:color w:val="333333"/>
          <w:kern w:val="0"/>
          <w:szCs w:val="32"/>
        </w:rPr>
        <w:t xml:space="preserve"> </w:t>
      </w:r>
      <w:r>
        <w:rPr>
          <w:szCs w:val="32"/>
        </w:rPr>
        <w:t>市、县（市、区）人民政府应当组织开展文明城市（县城）、文明村镇（社区）、文明单位、文明家庭、文明校园等群众性精神文明创建活动。</w:t>
      </w:r>
    </w:p>
    <w:p>
      <w:pPr>
        <w:pStyle w:val="Normal"/>
        <w:snapToGrid w:val="false"/>
        <w:spacing w:lineRule="exact" w:line="570"/>
        <w:rPr/>
      </w:pPr>
      <w:r>
        <w:rPr>
          <w:szCs w:val="32"/>
        </w:rPr>
        <w:t>　　</w:t>
      </w:r>
      <w:r>
        <w:rPr>
          <w:rFonts w:ascii="黑体;SimHei" w:hAnsi="黑体;SimHei" w:cs="黑体;SimHei" w:eastAsia="黑体;SimHei"/>
          <w:szCs w:val="32"/>
        </w:rPr>
        <w:t>第二十条</w:t>
      </w:r>
      <w:r>
        <w:rPr>
          <w:color w:val="333333"/>
          <w:kern w:val="0"/>
          <w:szCs w:val="32"/>
        </w:rPr>
        <w:t xml:space="preserve"> </w:t>
      </w:r>
      <w:r>
        <w:rPr>
          <w:szCs w:val="32"/>
        </w:rPr>
        <w:t>市、县（市、区）人民政府可以通过购买服务、资金援助等方式，支持志愿服务运营管理。</w:t>
      </w:r>
    </w:p>
    <w:p>
      <w:pPr>
        <w:pStyle w:val="Normal"/>
        <w:snapToGrid w:val="false"/>
        <w:spacing w:lineRule="exact" w:line="570"/>
        <w:rPr>
          <w:szCs w:val="32"/>
        </w:rPr>
      </w:pPr>
      <w:r>
        <w:rPr>
          <w:szCs w:val="32"/>
        </w:rPr>
        <w:t>　　志愿服务组织应当建立志愿服务记录、评价和时间储蓄制度等志愿服务保障和激励机制。参加志愿服务活动表现突出、成绩显著的志愿者，有困难时可以申请优先获得志愿服务。</w:t>
      </w:r>
    </w:p>
    <w:p>
      <w:pPr>
        <w:pStyle w:val="Normal"/>
        <w:snapToGrid w:val="false"/>
        <w:spacing w:lineRule="exact" w:line="570"/>
        <w:rPr/>
      </w:pPr>
      <w:r>
        <w:rPr>
          <w:szCs w:val="32"/>
        </w:rPr>
        <w:t>　</w:t>
      </w:r>
      <w:r>
        <w:rPr>
          <w:rFonts w:ascii="黑体;SimHei" w:hAnsi="黑体;SimHei" w:cs="黑体;SimHei" w:eastAsia="黑体;SimHei"/>
          <w:szCs w:val="32"/>
        </w:rPr>
        <w:t>　第二十一条</w:t>
      </w:r>
      <w:r>
        <w:rPr>
          <w:color w:val="333333"/>
          <w:kern w:val="0"/>
          <w:szCs w:val="32"/>
        </w:rPr>
        <w:t xml:space="preserve"> </w:t>
      </w:r>
      <w:r>
        <w:rPr>
          <w:szCs w:val="32"/>
        </w:rPr>
        <w:t>市、县（市、区）人民政府应当科学规划、合理布局，建设完善下列设施：</w:t>
      </w:r>
    </w:p>
    <w:p>
      <w:pPr>
        <w:pStyle w:val="Normal"/>
        <w:snapToGrid w:val="false"/>
        <w:spacing w:lineRule="exact" w:line="570"/>
        <w:rPr>
          <w:szCs w:val="32"/>
        </w:rPr>
      </w:pPr>
      <w:r>
        <w:rPr>
          <w:szCs w:val="32"/>
        </w:rPr>
        <w:t>　　（一）公共交通工具、交通标志标线、电子监控等交通设施；</w:t>
      </w:r>
    </w:p>
    <w:p>
      <w:pPr>
        <w:pStyle w:val="Normal"/>
        <w:snapToGrid w:val="false"/>
        <w:spacing w:lineRule="exact" w:line="570"/>
        <w:rPr>
          <w:szCs w:val="32"/>
        </w:rPr>
      </w:pPr>
      <w:r>
        <w:rPr>
          <w:szCs w:val="32"/>
        </w:rPr>
        <w:t>　　（二）人行横道、过街天桥、地下通道、绿化照明、停车泊位等市政设施；</w:t>
      </w:r>
    </w:p>
    <w:p>
      <w:pPr>
        <w:pStyle w:val="Normal"/>
        <w:snapToGrid w:val="false"/>
        <w:spacing w:lineRule="exact" w:line="570"/>
        <w:rPr>
          <w:szCs w:val="32"/>
        </w:rPr>
      </w:pPr>
      <w:r>
        <w:rPr>
          <w:szCs w:val="32"/>
        </w:rPr>
        <w:t>　　（三）盲道、坡道、电梯等无障碍设施；</w:t>
      </w:r>
    </w:p>
    <w:p>
      <w:pPr>
        <w:pStyle w:val="Normal"/>
        <w:snapToGrid w:val="false"/>
        <w:spacing w:lineRule="exact" w:line="570"/>
        <w:rPr>
          <w:szCs w:val="32"/>
        </w:rPr>
      </w:pPr>
      <w:r>
        <w:rPr>
          <w:szCs w:val="32"/>
        </w:rPr>
        <w:t>　　（四）商场、超市、集贸市场等生活设施；</w:t>
      </w:r>
    </w:p>
    <w:p>
      <w:pPr>
        <w:pStyle w:val="Normal"/>
        <w:snapToGrid w:val="false"/>
        <w:spacing w:lineRule="exact" w:line="570"/>
        <w:rPr>
          <w:szCs w:val="32"/>
        </w:rPr>
      </w:pPr>
      <w:r>
        <w:rPr>
          <w:szCs w:val="32"/>
        </w:rPr>
        <w:t>　　（五）公共厕所，垃圾、污水处理等环卫设施；</w:t>
      </w:r>
    </w:p>
    <w:p>
      <w:pPr>
        <w:pStyle w:val="Normal"/>
        <w:snapToGrid w:val="false"/>
        <w:spacing w:lineRule="exact" w:line="570"/>
        <w:rPr>
          <w:szCs w:val="32"/>
        </w:rPr>
      </w:pPr>
      <w:r>
        <w:rPr>
          <w:szCs w:val="32"/>
        </w:rPr>
        <w:t>　　（六）图书馆、博物馆、文化馆（站）、美术馆、科技馆、纪念馆、体育场馆、妇女儿童活动中心等公共文化设施；</w:t>
      </w:r>
    </w:p>
    <w:p>
      <w:pPr>
        <w:pStyle w:val="Normal"/>
        <w:snapToGrid w:val="false"/>
        <w:spacing w:lineRule="exact" w:line="570"/>
        <w:rPr>
          <w:szCs w:val="32"/>
        </w:rPr>
      </w:pPr>
      <w:r>
        <w:rPr>
          <w:szCs w:val="32"/>
        </w:rPr>
        <w:t>　　（七）公园、广场等休闲娱乐设施；</w:t>
      </w:r>
    </w:p>
    <w:p>
      <w:pPr>
        <w:pStyle w:val="Normal"/>
        <w:snapToGrid w:val="false"/>
        <w:spacing w:lineRule="exact" w:line="570"/>
        <w:rPr>
          <w:szCs w:val="32"/>
        </w:rPr>
      </w:pPr>
      <w:r>
        <w:rPr>
          <w:szCs w:val="32"/>
        </w:rPr>
        <w:t>　　（八）行政区划、自然地理、居住小区、应急避难场所、街道、楼宇、门牌等地名标志设施；</w:t>
      </w:r>
    </w:p>
    <w:p>
      <w:pPr>
        <w:pStyle w:val="Normal"/>
        <w:snapToGrid w:val="false"/>
        <w:spacing w:lineRule="exact" w:line="570"/>
        <w:rPr>
          <w:szCs w:val="32"/>
        </w:rPr>
      </w:pPr>
      <w:r>
        <w:rPr>
          <w:szCs w:val="32"/>
        </w:rPr>
        <w:t>　　（九）广告栏、宣传栏等广告宣传设施；</w:t>
      </w:r>
    </w:p>
    <w:p>
      <w:pPr>
        <w:pStyle w:val="Normal"/>
        <w:snapToGrid w:val="false"/>
        <w:spacing w:lineRule="exact" w:line="570"/>
        <w:rPr>
          <w:szCs w:val="32"/>
        </w:rPr>
      </w:pPr>
      <w:r>
        <w:rPr>
          <w:szCs w:val="32"/>
        </w:rPr>
        <w:t>　　（十）志愿服务站等志愿服务设施；</w:t>
      </w:r>
    </w:p>
    <w:p>
      <w:pPr>
        <w:pStyle w:val="Normal"/>
        <w:snapToGrid w:val="false"/>
        <w:spacing w:lineRule="exact" w:line="570"/>
        <w:rPr>
          <w:szCs w:val="32"/>
        </w:rPr>
      </w:pPr>
      <w:r>
        <w:rPr>
          <w:szCs w:val="32"/>
        </w:rPr>
        <w:t>　　（十一）其他与文明行为促进有关的设施。</w:t>
      </w:r>
    </w:p>
    <w:p>
      <w:pPr>
        <w:pStyle w:val="Style16"/>
        <w:widowControl w:val="false"/>
        <w:shd w:fill="FFFFFF" w:val="clear"/>
        <w:snapToGrid w:val="false"/>
        <w:spacing w:lineRule="exact" w:line="570" w:before="0" w:after="0"/>
        <w:ind w:firstLine="645"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前款规定的设施，管理单位应当加强日常检查，保证设施完好、运行正常、整洁有序。</w:t>
      </w:r>
    </w:p>
    <w:p>
      <w:pPr>
        <w:pStyle w:val="Style16"/>
        <w:widowControl w:val="false"/>
        <w:shd w:fill="FFFFFF" w:val="clear"/>
        <w:snapToGrid w:val="false"/>
        <w:spacing w:lineRule="exact" w:line="570" w:before="0" w:after="0"/>
        <w:ind w:firstLine="645" w:end="0"/>
        <w:jc w:val="both"/>
        <w:rPr/>
      </w:pPr>
      <w:r>
        <w:rPr>
          <w:rFonts w:ascii="黑体;SimHei" w:hAnsi="黑体;SimHei" w:cs="Times New Roman" w:eastAsia="黑体;SimHei"/>
          <w:sz w:val="32"/>
          <w:szCs w:val="32"/>
        </w:rPr>
        <w:t>第二十二条</w:t>
      </w:r>
      <w:r>
        <w:rPr>
          <w:rFonts w:ascii="Times New Roman" w:hAnsi="Times New Roman" w:cs="Times New Roman" w:eastAsia="仿宋_GB2312"/>
          <w:color w:val="333333"/>
          <w:sz w:val="32"/>
          <w:szCs w:val="32"/>
        </w:rPr>
        <w:t xml:space="preserve"> </w:t>
      </w:r>
      <w:r>
        <w:rPr>
          <w:rFonts w:ascii="Times New Roman" w:hAnsi="Times New Roman" w:cs="Times New Roman" w:eastAsia="仿宋_GB2312"/>
          <w:sz w:val="32"/>
          <w:szCs w:val="32"/>
        </w:rPr>
        <w:t>市、县（市、区）人民政府</w:t>
      </w:r>
      <w:r>
        <w:rPr>
          <w:rFonts w:ascii="Times New Roman" w:hAnsi="Times New Roman" w:cs="Times New Roman" w:eastAsia="仿宋_GB2312"/>
          <w:color w:val="333333"/>
          <w:sz w:val="32"/>
          <w:szCs w:val="32"/>
        </w:rPr>
        <w:t>应当建立社会信用信息共享平台，建立不文明行为记录档案，完善诚信激励和失信惩戒机制。</w:t>
      </w:r>
    </w:p>
    <w:p>
      <w:pPr>
        <w:pStyle w:val="Normal"/>
        <w:shd w:fill="FFFFFF" w:val="clear"/>
        <w:snapToGrid w:val="false"/>
        <w:spacing w:lineRule="exact" w:line="570"/>
        <w:ind w:firstLine="645" w:end="0"/>
        <w:rPr>
          <w:color w:val="333333"/>
          <w:kern w:val="0"/>
          <w:szCs w:val="32"/>
        </w:rPr>
      </w:pPr>
      <w:r>
        <w:rPr>
          <w:color w:val="333333"/>
          <w:kern w:val="0"/>
          <w:szCs w:val="32"/>
        </w:rPr>
        <w:t>市、县（市、区）人民政府应当建立由各有关主管部门共同参与、协同配合的信息共享和执法合作工作机制。</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第二十三条</w:t>
      </w:r>
      <w:r>
        <w:rPr>
          <w:color w:val="333333"/>
          <w:kern w:val="0"/>
          <w:szCs w:val="32"/>
        </w:rPr>
        <w:t xml:space="preserve">  教育主管部门和各类教育机构应当将文明行为纳入教育、教学内容，开展文明行为、文明礼仪教育。加强师德师风建设和法治宣传，防治校园欺凌和暴力，培育优良校风、教风、学风。</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第二十四条</w:t>
      </w:r>
      <w:r>
        <w:rPr>
          <w:color w:val="333333"/>
          <w:kern w:val="0"/>
          <w:szCs w:val="32"/>
        </w:rPr>
        <w:t xml:space="preserve"> 城市管理、住房和城乡建设、生态环境等部门应当及时制止城乡建设和管理中的不文明行为，依法查处破坏市容环境、损坏公共设施、毁损绿地、污染水体、空气等违法行为。</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第二十五条</w:t>
      </w:r>
      <w:r>
        <w:rPr>
          <w:color w:val="333333"/>
          <w:kern w:val="0"/>
          <w:szCs w:val="32"/>
        </w:rPr>
        <w:t xml:space="preserve"> 公安机关交通管理、交通运输管理等行政部门应当及时制止交通出行不文明行为，查处违法行为。</w:t>
      </w:r>
    </w:p>
    <w:p>
      <w:pPr>
        <w:pStyle w:val="Normal"/>
        <w:spacing w:lineRule="exact" w:line="570"/>
        <w:ind w:firstLineChars="200" w:startChars="0" w:start="0" w:endChars="0" w:end="0"/>
        <w:rPr/>
      </w:pPr>
      <w:r>
        <w:rPr>
          <w:rFonts w:ascii="黑体;SimHei" w:hAnsi="黑体;SimHei" w:cs="黑体;SimHei" w:eastAsia="黑体;SimHei"/>
          <w:color w:val="333333"/>
          <w:kern w:val="0"/>
          <w:szCs w:val="32"/>
        </w:rPr>
        <w:t>第二十六条</w:t>
      </w:r>
      <w:r>
        <w:rPr>
          <w:color w:val="333333"/>
          <w:kern w:val="0"/>
          <w:szCs w:val="32"/>
        </w:rPr>
        <w:t xml:space="preserve"> </w:t>
      </w:r>
      <w:r>
        <w:rPr>
          <w:szCs w:val="32"/>
        </w:rPr>
        <w:t>交通运输管理部门应当根据公民出行需求、城市承载能力和停放设施资源，科学设定互联网租赁车辆运营总量，规范企业合理投放车辆，防止盲目扩张，干扰城市交通正常运行，实现有序发展。</w:t>
      </w:r>
    </w:p>
    <w:p>
      <w:pPr>
        <w:pStyle w:val="Normal"/>
        <w:spacing w:lineRule="exact" w:line="570"/>
        <w:ind w:firstLineChars="200" w:startChars="0" w:start="0" w:endChars="0" w:end="0"/>
        <w:rPr>
          <w:color w:val="333333"/>
          <w:kern w:val="0"/>
          <w:szCs w:val="32"/>
          <w:u w:val="single"/>
        </w:rPr>
      </w:pPr>
      <w:r>
        <w:rPr>
          <w:szCs w:val="32"/>
        </w:rPr>
        <w:t>互联网租赁车辆运营公司应当做好现场停放车辆秩序管理和运营调度工作，及时清理违规停放车辆。</w:t>
      </w:r>
    </w:p>
    <w:p>
      <w:pPr>
        <w:pStyle w:val="Normal"/>
        <w:shd w:fill="FFFFFF" w:val="clear"/>
        <w:snapToGrid w:val="false"/>
        <w:spacing w:lineRule="exact" w:line="570"/>
        <w:ind w:firstLineChars="200" w:startChars="0" w:start="0" w:endChars="0" w:end="0"/>
        <w:rPr>
          <w:color w:val="FF0000"/>
          <w:kern w:val="0"/>
          <w:szCs w:val="32"/>
        </w:rPr>
      </w:pPr>
      <w:r>
        <w:rPr>
          <w:rFonts w:ascii="黑体;SimHei" w:hAnsi="黑体;SimHei" w:cs="黑体;SimHei" w:eastAsia="黑体;SimHei"/>
          <w:color w:val="333333"/>
          <w:kern w:val="0"/>
          <w:szCs w:val="32"/>
        </w:rPr>
        <w:t>第二十七条</w:t>
      </w:r>
      <w:r>
        <w:rPr>
          <w:color w:val="333333"/>
          <w:kern w:val="0"/>
          <w:szCs w:val="32"/>
        </w:rPr>
        <w:t xml:space="preserve"> 卫生行政主管部门、医疗卫生机构应当加强医护人员职业道德建设，优化服务流程，改善医疗服务，加强医患沟通，维护公平有序的就医环境。</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第二十八条</w:t>
      </w:r>
      <w:r>
        <w:rPr>
          <w:color w:val="333333"/>
          <w:kern w:val="0"/>
          <w:szCs w:val="32"/>
        </w:rPr>
        <w:t xml:space="preserve"> 市场监督、发改、商务、文化广电和旅游等行政主管部门应当加强工作协调配合，引导守法、诚信经营，及时处理投诉、举报，制止不文明经营行为，依法查处欺诈消费者等违法经营行为。</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第二十九条</w:t>
      </w:r>
      <w:r>
        <w:rPr>
          <w:rFonts w:hint="eastAsia"/>
          <w:color w:val="333333"/>
          <w:kern w:val="0"/>
          <w:szCs w:val="32"/>
        </w:rPr>
        <w:t xml:space="preserve"> </w:t>
      </w:r>
      <w:r>
        <w:rPr>
          <w:color w:val="333333"/>
          <w:kern w:val="0"/>
          <w:szCs w:val="32"/>
        </w:rPr>
        <w:t>公安机关应当依法查处违反社会治安管理和网络安全违法犯罪行为，配合有关部门依法制止扰乱公共秩序的行为。</w:t>
      </w:r>
    </w:p>
    <w:p>
      <w:pPr>
        <w:pStyle w:val="Normal"/>
        <w:snapToGrid w:val="false"/>
        <w:spacing w:lineRule="exact" w:line="570"/>
        <w:ind w:firstLine="645" w:end="0"/>
        <w:rPr/>
      </w:pPr>
      <w:r>
        <w:rPr>
          <w:rFonts w:ascii="黑体;SimHei" w:hAnsi="黑体;SimHei" w:cs="黑体;SimHei" w:eastAsia="黑体;SimHei"/>
          <w:szCs w:val="32"/>
        </w:rPr>
        <w:t>第</w:t>
      </w:r>
      <w:r>
        <w:rPr>
          <w:rFonts w:ascii="黑体;SimHei" w:hAnsi="黑体;SimHei" w:cs="黑体;SimHei" w:eastAsia="黑体;SimHei"/>
          <w:color w:val="333333"/>
          <w:kern w:val="0"/>
          <w:szCs w:val="32"/>
        </w:rPr>
        <w:t>三十</w:t>
      </w:r>
      <w:r>
        <w:rPr>
          <w:rFonts w:ascii="黑体;SimHei" w:hAnsi="黑体;SimHei" w:cs="黑体;SimHei" w:eastAsia="黑体;SimHei"/>
          <w:szCs w:val="32"/>
        </w:rPr>
        <w:t>条</w:t>
      </w:r>
      <w:r>
        <w:rPr>
          <w:rFonts w:hint="eastAsia"/>
          <w:color w:val="333333"/>
          <w:kern w:val="0"/>
          <w:szCs w:val="32"/>
        </w:rPr>
        <w:t xml:space="preserve"> </w:t>
      </w:r>
      <w:r>
        <w:rPr>
          <w:color w:val="333333"/>
          <w:kern w:val="0"/>
          <w:szCs w:val="32"/>
        </w:rPr>
        <w:t>任何单位和个人有权对不文明行为予以劝阻、投诉、举报。举报、投诉内容明确具体的，受理举报的行政主管部门应当依法及时处理以及告知举报、投诉人处理结果，并对举报、投诉人身份信息等予以保密。</w:t>
      </w:r>
    </w:p>
    <w:p>
      <w:pPr>
        <w:pStyle w:val="Normal"/>
        <w:snapToGrid w:val="false"/>
        <w:spacing w:lineRule="exact" w:line="570"/>
        <w:ind w:firstLine="645" w:end="0"/>
        <w:rPr>
          <w:color w:val="333333"/>
          <w:kern w:val="0"/>
          <w:szCs w:val="32"/>
        </w:rPr>
      </w:pPr>
      <w:r>
        <w:rPr>
          <w:szCs w:val="32"/>
        </w:rPr>
        <w:t>有关行政主管部门应当向社会公布举报、投诉的方式、流程和办理时限，方便单位和个人的举报、投诉。</w:t>
      </w:r>
      <w:r>
        <w:rPr>
          <w:color w:val="333333"/>
          <w:kern w:val="0"/>
          <w:szCs w:val="32"/>
        </w:rPr>
        <w:t xml:space="preserve"> </w:t>
      </w:r>
    </w:p>
    <w:p>
      <w:pPr>
        <w:pStyle w:val="Normal"/>
        <w:snapToGrid w:val="false"/>
        <w:spacing w:lineRule="exact" w:line="570"/>
        <w:ind w:firstLine="645" w:end="0"/>
        <w:rPr>
          <w:color w:val="333333"/>
          <w:kern w:val="0"/>
          <w:szCs w:val="32"/>
        </w:rPr>
      </w:pPr>
      <w:r>
        <w:rPr>
          <w:color w:val="333333"/>
          <w:kern w:val="0"/>
          <w:szCs w:val="32"/>
        </w:rPr>
      </w:r>
    </w:p>
    <w:p>
      <w:pPr>
        <w:pStyle w:val="Normal"/>
        <w:shd w:fill="FFFFFF" w:val="clear"/>
        <w:snapToGrid w:val="false"/>
        <w:spacing w:lineRule="exact" w:line="570"/>
        <w:jc w:val="center"/>
        <w:rPr>
          <w:rFonts w:ascii="黑体;SimHei" w:hAnsi="黑体;SimHei" w:eastAsia="黑体;SimHei" w:cs="黑体;SimHei"/>
          <w:color w:val="333333"/>
          <w:kern w:val="0"/>
          <w:szCs w:val="32"/>
        </w:rPr>
      </w:pPr>
      <w:r>
        <w:rPr>
          <w:rFonts w:ascii="黑体;SimHei" w:hAnsi="黑体;SimHei" w:cs="黑体;SimHei" w:eastAsia="黑体;SimHei"/>
          <w:color w:val="333333"/>
          <w:kern w:val="0"/>
          <w:szCs w:val="32"/>
        </w:rPr>
        <w:t>第四章  法律责任</w:t>
      </w:r>
    </w:p>
    <w:p>
      <w:pPr>
        <w:pStyle w:val="Normal"/>
        <w:shd w:fill="FFFFFF" w:val="clear"/>
        <w:snapToGrid w:val="false"/>
        <w:spacing w:lineRule="exact" w:line="570"/>
        <w:jc w:val="center"/>
        <w:rPr>
          <w:rFonts w:ascii="黑体;SimHei" w:hAnsi="黑体;SimHei" w:eastAsia="黑体;SimHei" w:cs="黑体;SimHei"/>
          <w:color w:val="333333"/>
          <w:kern w:val="0"/>
          <w:szCs w:val="32"/>
        </w:rPr>
      </w:pPr>
      <w:r>
        <w:rPr>
          <w:rFonts w:eastAsia="黑体;SimHei" w:cs="黑体;SimHei" w:ascii="黑体;SimHei" w:hAnsi="黑体;SimHei"/>
          <w:color w:val="333333"/>
          <w:kern w:val="0"/>
          <w:szCs w:val="32"/>
        </w:rPr>
      </w:r>
    </w:p>
    <w:p>
      <w:pPr>
        <w:pStyle w:val="Style16"/>
        <w:widowControl w:val="false"/>
        <w:shd w:fill="FFFFFF" w:val="clear"/>
        <w:snapToGrid w:val="false"/>
        <w:spacing w:lineRule="exact" w:line="570" w:before="0" w:after="0"/>
        <w:ind w:firstLineChars="200" w:startChars="0" w:start="0" w:endChars="0" w:end="0"/>
        <w:jc w:val="both"/>
        <w:rPr>
          <w:rStyle w:val="bjh-p"/>
          <w:rFonts w:ascii="Times New Roman" w:hAnsi="Times New Roman" w:eastAsia="仿宋_GB2312" w:cs="Times New Roman"/>
          <w:color w:val="333333"/>
          <w:sz w:val="32"/>
          <w:szCs w:val="32"/>
          <w:u w:val="single"/>
        </w:rPr>
      </w:pPr>
      <w:r>
        <w:rPr>
          <w:rFonts w:ascii="黑体;SimHei" w:hAnsi="黑体;SimHei" w:cs="Times New Roman" w:eastAsia="黑体;SimHei"/>
          <w:sz w:val="32"/>
          <w:szCs w:val="32"/>
        </w:rPr>
        <w:t>第三十一条</w:t>
      </w:r>
      <w:r>
        <w:rPr>
          <w:rFonts w:ascii="Times New Roman" w:hAnsi="Times New Roman" w:cs="Times New Roman" w:eastAsia="仿宋_GB2312"/>
          <w:color w:val="333333"/>
          <w:sz w:val="32"/>
          <w:szCs w:val="32"/>
        </w:rPr>
        <w:t xml:space="preserve"> </w:t>
      </w:r>
      <w:r>
        <w:rPr>
          <w:rStyle w:val="bjh-p"/>
          <w:rFonts w:ascii="Times New Roman" w:hAnsi="Times New Roman" w:cs="Times New Roman" w:eastAsia="仿宋_GB2312"/>
          <w:color w:val="333333"/>
          <w:sz w:val="32"/>
          <w:szCs w:val="32"/>
        </w:rPr>
        <w:t>携带犬只（导盲犬、警用犬等特殊用途的除外）以及其它宠物、动物进入公园、广场、商场、医院、学校、幼儿园等公共场所、乘坐公共交通工具，以及携带犬只出户不束犬链的</w:t>
      </w:r>
      <w:r>
        <w:rPr>
          <w:rStyle w:val="bjh-p"/>
          <w:rFonts w:ascii="Times New Roman" w:hAnsi="Times New Roman" w:cs="Times New Roman" w:eastAsia="仿宋_GB2312"/>
          <w:b/>
          <w:color w:val="333333"/>
          <w:sz w:val="32"/>
          <w:szCs w:val="32"/>
        </w:rPr>
        <w:t>，</w:t>
      </w:r>
      <w:r>
        <w:rPr>
          <w:rStyle w:val="bjh-p"/>
          <w:rFonts w:ascii="Times New Roman" w:hAnsi="Times New Roman" w:cs="Times New Roman" w:eastAsia="仿宋_GB2312"/>
          <w:color w:val="333333"/>
          <w:sz w:val="32"/>
          <w:szCs w:val="32"/>
        </w:rPr>
        <w:t>由公安机关处以警告，并处五十元以上二百元以下罚款。</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Times New Roman" w:hAnsi="Times New Roman" w:cs="Times New Roman" w:eastAsia="仿宋_GB2312"/>
          <w:color w:val="333333"/>
          <w:sz w:val="32"/>
          <w:szCs w:val="32"/>
        </w:rPr>
        <w:t>不及时清除在公共场所产生的排泄物的，由城市管理综合行政执法部门责令清除</w:t>
      </w:r>
      <w:r>
        <w:rPr>
          <w:rStyle w:val="bjh-p"/>
          <w:rFonts w:ascii="Times New Roman" w:hAnsi="Times New Roman" w:cs="Times New Roman" w:hint="eastAsia" w:eastAsia="仿宋_GB2312"/>
          <w:color w:val="333333"/>
          <w:sz w:val="32"/>
          <w:szCs w:val="32"/>
        </w:rPr>
        <w:t>；</w:t>
      </w:r>
      <w:r>
        <w:rPr>
          <w:rStyle w:val="bjh-p"/>
          <w:rFonts w:ascii="Times New Roman" w:hAnsi="Times New Roman" w:cs="Times New Roman" w:eastAsia="仿宋_GB2312"/>
          <w:color w:val="333333"/>
          <w:sz w:val="32"/>
          <w:szCs w:val="32"/>
        </w:rPr>
        <w:t>拒不清除的，处二百元罚款。</w:t>
      </w:r>
    </w:p>
    <w:p>
      <w:pPr>
        <w:pStyle w:val="Normal"/>
        <w:spacing w:lineRule="exact" w:line="570"/>
        <w:ind w:firstLineChars="200" w:startChars="0" w:start="0" w:endChars="0" w:end="0"/>
        <w:rPr/>
      </w:pPr>
      <w:r>
        <w:rPr>
          <w:rFonts w:ascii="黑体;SimHei" w:hAnsi="黑体;SimHei" w:cs="黑体;SimHei" w:eastAsia="黑体;SimHei"/>
          <w:color w:val="333333"/>
          <w:kern w:val="0"/>
          <w:szCs w:val="32"/>
        </w:rPr>
        <w:t>第三十二条</w:t>
      </w:r>
      <w:r>
        <w:rPr>
          <w:color w:val="333333"/>
          <w:kern w:val="0"/>
          <w:szCs w:val="32"/>
        </w:rPr>
        <w:t xml:space="preserve"> 在禁止吸烟场所吸烟的，由卫生行政主管部门责令改正，并处五十元以上一百元以下罚款；拒不改正的，处二百元罚款。 　　</w:t>
      </w:r>
    </w:p>
    <w:p>
      <w:pPr>
        <w:pStyle w:val="Normal"/>
        <w:shd w:fill="FFFFFF" w:val="clear"/>
        <w:snapToGrid w:val="false"/>
        <w:spacing w:lineRule="exact" w:line="570"/>
        <w:ind w:firstLineChars="200" w:startChars="0" w:start="0" w:endChars="0" w:end="0"/>
        <w:rPr>
          <w:rFonts w:ascii="仿宋_GB2312" w:hAnsi="仿宋_GB2312" w:cs="黑体;SimHei"/>
          <w:color w:val="333333"/>
          <w:kern w:val="0"/>
          <w:szCs w:val="32"/>
        </w:rPr>
      </w:pPr>
      <w:r>
        <w:rPr>
          <w:rFonts w:ascii="黑体;SimHei" w:hAnsi="黑体;SimHei" w:cs="黑体;SimHei" w:eastAsia="黑体;SimHei"/>
          <w:color w:val="333333"/>
          <w:kern w:val="0"/>
          <w:szCs w:val="32"/>
        </w:rPr>
        <w:t>第三十三条</w:t>
      </w:r>
      <w:r>
        <w:rPr>
          <w:rFonts w:ascii="黑体;SimHei" w:hAnsi="黑体;SimHei" w:cs="黑体;SimHei" w:hint="eastAsia" w:eastAsia="黑体;SimHei"/>
          <w:color w:val="333333"/>
          <w:kern w:val="0"/>
          <w:szCs w:val="32"/>
        </w:rPr>
        <w:t xml:space="preserve"> </w:t>
      </w:r>
      <w:r>
        <w:rPr>
          <w:color w:val="333333"/>
          <w:szCs w:val="32"/>
          <w:shd w:fill="FFFFFF" w:val="clear"/>
        </w:rPr>
        <w:t>在禁止燃放烟花爆竹的时间、地点燃放烟花爆竹</w:t>
      </w:r>
      <w:r>
        <w:rPr>
          <w:rFonts w:hint="eastAsia"/>
          <w:color w:val="333333"/>
          <w:szCs w:val="32"/>
          <w:shd w:fill="FFFFFF" w:val="clear"/>
        </w:rPr>
        <w:t>的，由公安机关按照相关法律法规的规定处罚。</w:t>
      </w:r>
    </w:p>
    <w:p>
      <w:pPr>
        <w:pStyle w:val="Normal"/>
        <w:shd w:fill="FFFFFF" w:val="clear"/>
        <w:snapToGrid w:val="false"/>
        <w:spacing w:lineRule="exact" w:line="570"/>
        <w:ind w:firstLine="645" w:end="0"/>
        <w:rPr>
          <w:rFonts w:ascii="黑体;SimHei" w:hAnsi="黑体;SimHei" w:eastAsia="黑体;SimHei" w:cs="黑体;SimHei"/>
          <w:color w:val="333333"/>
          <w:kern w:val="0"/>
          <w:szCs w:val="32"/>
        </w:rPr>
      </w:pPr>
      <w:r>
        <w:rPr>
          <w:rFonts w:ascii="黑体;SimHei" w:hAnsi="黑体;SimHei" w:cs="黑体;SimHei" w:eastAsia="黑体;SimHei"/>
          <w:color w:val="333333"/>
          <w:kern w:val="0"/>
          <w:szCs w:val="32"/>
        </w:rPr>
        <w:t>第三十四条</w:t>
      </w:r>
      <w:r>
        <w:rPr>
          <w:color w:val="333333"/>
          <w:kern w:val="0"/>
          <w:szCs w:val="32"/>
        </w:rPr>
        <w:t xml:space="preserve"> 行人有下列行为之一的，由公安机关交通管理</w:t>
      </w:r>
      <w:r>
        <w:rPr>
          <w:rFonts w:ascii="仿宋_GB2312" w:hAnsi="仿宋_GB2312" w:cs="黑体;SimHei" w:hint="eastAsia"/>
          <w:color w:val="333333"/>
          <w:kern w:val="0"/>
          <w:szCs w:val="32"/>
        </w:rPr>
        <w:t>部门按照相关法律法规的规定处罚：</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（一）通过有交通信号灯或者交通警察指挥的人行横道，不遵守交通信号指示、交警指挥通行的；</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（二）通过没有人行横道和过街设施的路口，在车辆临近时突然加速横穿或者中途倒退折返的；</w:t>
      </w:r>
    </w:p>
    <w:p>
      <w:pPr>
        <w:pStyle w:val="Normal"/>
        <w:shd w:fill="FFFFFF" w:val="clear"/>
        <w:snapToGrid w:val="false"/>
        <w:spacing w:lineRule="exact" w:line="570"/>
        <w:ind w:firstLineChars="200" w:startChars="0" w:start="0" w:endChars="0" w:end="0"/>
        <w:rPr>
          <w:color w:val="333333"/>
          <w:kern w:val="0"/>
          <w:szCs w:val="32"/>
        </w:rPr>
      </w:pPr>
      <w:r>
        <w:rPr>
          <w:color w:val="333333"/>
          <w:kern w:val="0"/>
          <w:szCs w:val="32"/>
        </w:rPr>
        <w:t>（三）在有人行横道或者过街设施的路段，不从上述设施通行的；</w:t>
      </w:r>
    </w:p>
    <w:p>
      <w:pPr>
        <w:pStyle w:val="Normal"/>
        <w:shd w:fill="FFFFFF" w:val="clear"/>
        <w:snapToGrid w:val="false"/>
        <w:spacing w:lineRule="exact" w:line="570"/>
        <w:ind w:firstLine="640" w:end="0"/>
        <w:rPr>
          <w:color w:val="333333"/>
          <w:kern w:val="0"/>
          <w:szCs w:val="32"/>
        </w:rPr>
      </w:pPr>
      <w:r>
        <w:rPr>
          <w:color w:val="333333"/>
          <w:kern w:val="0"/>
          <w:szCs w:val="32"/>
        </w:rPr>
        <w:t xml:space="preserve">（四）在车行道内坐卧、停留、嬉闹或者出售、发送物品、广告妨碍车辆合法通行的； </w:t>
      </w:r>
    </w:p>
    <w:p>
      <w:pPr>
        <w:pStyle w:val="Normal"/>
        <w:shd w:fill="FFFFFF" w:val="clear"/>
        <w:snapToGrid w:val="false"/>
        <w:spacing w:lineRule="exact" w:line="570"/>
        <w:ind w:firstLine="645" w:end="0"/>
        <w:rPr>
          <w:color w:val="333333"/>
          <w:kern w:val="0"/>
          <w:szCs w:val="32"/>
        </w:rPr>
      </w:pPr>
      <w:r>
        <w:rPr>
          <w:color w:val="333333"/>
          <w:kern w:val="0"/>
          <w:szCs w:val="32"/>
        </w:rPr>
        <w:t>（五）穿越、跨越或者倚坐道路隔离设施的。</w:t>
      </w:r>
    </w:p>
    <w:p>
      <w:pPr>
        <w:pStyle w:val="Normal"/>
        <w:shd w:fill="FFFFFF" w:val="clear"/>
        <w:snapToGrid w:val="false"/>
        <w:spacing w:lineRule="exact" w:line="570"/>
        <w:ind w:firstLineChars="200" w:startChars="0" w:start="0" w:endChars="0" w:end="0"/>
        <w:rPr/>
      </w:pPr>
      <w:r>
        <w:rPr>
          <w:rFonts w:ascii="黑体;SimHei" w:hAnsi="黑体;SimHei" w:cs="黑体;SimHei" w:eastAsia="黑体;SimHei"/>
          <w:color w:val="333333"/>
          <w:kern w:val="0"/>
          <w:szCs w:val="32"/>
        </w:rPr>
        <w:t>第三十五条</w:t>
      </w:r>
      <w:r>
        <w:rPr>
          <w:color w:val="333333"/>
          <w:kern w:val="0"/>
          <w:szCs w:val="32"/>
        </w:rPr>
        <w:t xml:space="preserve"> 驾驶机动车未按规定避让行人，有下列行为之一的，由公安机关交通管理部门按照相关法律法规的规定处罚：</w:t>
      </w:r>
    </w:p>
    <w:p>
      <w:pPr>
        <w:pStyle w:val="Normal"/>
        <w:shd w:fill="FFFFFF" w:val="clear"/>
        <w:snapToGrid w:val="false"/>
        <w:spacing w:lineRule="exact" w:line="570"/>
        <w:rPr>
          <w:color w:val="333333"/>
          <w:kern w:val="0"/>
          <w:szCs w:val="32"/>
        </w:rPr>
      </w:pPr>
      <w:r>
        <w:rPr>
          <w:color w:val="333333"/>
          <w:kern w:val="0"/>
          <w:szCs w:val="32"/>
        </w:rPr>
        <w:t>　　（一）行经人行横道未减速行驶的；</w:t>
      </w:r>
    </w:p>
    <w:p>
      <w:pPr>
        <w:pStyle w:val="Normal"/>
        <w:shd w:fill="FFFFFF" w:val="clear"/>
        <w:snapToGrid w:val="false"/>
        <w:spacing w:lineRule="exact" w:line="570"/>
        <w:rPr>
          <w:color w:val="333333"/>
          <w:kern w:val="0"/>
          <w:szCs w:val="32"/>
        </w:rPr>
      </w:pPr>
      <w:r>
        <w:rPr>
          <w:color w:val="333333"/>
          <w:kern w:val="0"/>
          <w:szCs w:val="32"/>
        </w:rPr>
        <w:t>　　（二）行经没有交通信号的道路时，遇行人横过道路未避让的；</w:t>
      </w:r>
    </w:p>
    <w:p>
      <w:pPr>
        <w:pStyle w:val="Normal"/>
        <w:shd w:fill="FFFFFF" w:val="clear"/>
        <w:snapToGrid w:val="false"/>
        <w:spacing w:lineRule="exact" w:line="570"/>
        <w:rPr>
          <w:color w:val="333333"/>
          <w:kern w:val="0"/>
          <w:szCs w:val="32"/>
        </w:rPr>
      </w:pPr>
      <w:r>
        <w:rPr>
          <w:color w:val="333333"/>
          <w:kern w:val="0"/>
          <w:szCs w:val="32"/>
        </w:rPr>
        <w:t>　　（三）通过没有交通信号灯、交通标志、交通标线或者交通警察指挥的交叉路口时，未减速慢行，并让行人先行的；</w:t>
      </w:r>
    </w:p>
    <w:p>
      <w:pPr>
        <w:pStyle w:val="Normal"/>
        <w:shd w:fill="FFFFFF" w:val="clear"/>
        <w:snapToGrid w:val="false"/>
        <w:spacing w:lineRule="exact" w:line="570"/>
        <w:ind w:firstLine="645" w:end="0"/>
        <w:rPr>
          <w:color w:val="333333"/>
          <w:kern w:val="0"/>
          <w:szCs w:val="32"/>
        </w:rPr>
      </w:pPr>
      <w:r>
        <w:rPr>
          <w:color w:val="333333"/>
          <w:kern w:val="0"/>
          <w:szCs w:val="32"/>
        </w:rPr>
        <w:t>（四）行经无交通信号灯控制的人行横道，遇行人正在通过时未停车让行的</w:t>
      </w:r>
      <w:r>
        <w:rPr>
          <w:rFonts w:hint="eastAsia"/>
          <w:color w:val="333333"/>
          <w:kern w:val="0"/>
          <w:szCs w:val="32"/>
        </w:rPr>
        <w:t>。</w:t>
      </w:r>
    </w:p>
    <w:p>
      <w:pPr>
        <w:pStyle w:val="Style16"/>
        <w:widowControl w:val="false"/>
        <w:shd w:fill="FFFFFF" w:val="clear"/>
        <w:snapToGrid w:val="false"/>
        <w:spacing w:lineRule="exact" w:line="570" w:before="0" w:after="0"/>
        <w:ind w:firstLineChars="200" w:startChars="0" w:start="0" w:endChars="0" w:end="0"/>
        <w:jc w:val="both"/>
        <w:rPr>
          <w:rFonts w:ascii="Times New Roman" w:hAnsi="Times New Roman" w:eastAsia="仿宋_GB2312" w:cs="Times New Roman"/>
          <w:color w:val="333333"/>
          <w:sz w:val="32"/>
          <w:szCs w:val="32"/>
        </w:rPr>
      </w:pPr>
      <w:r>
        <w:rPr>
          <w:rStyle w:val="bjh-p"/>
          <w:rFonts w:ascii="黑体;SimHei" w:hAnsi="黑体;SimHei" w:cs="黑体;SimHei" w:hint="eastAsia" w:eastAsia="黑体;SimHei"/>
          <w:color w:val="333333"/>
          <w:sz w:val="32"/>
          <w:szCs w:val="32"/>
        </w:rPr>
        <w:t>第三十六</w:t>
      </w:r>
      <w:r>
        <w:rPr>
          <w:rStyle w:val="bjh-p"/>
          <w:rFonts w:ascii="黑体;SimHei" w:hAnsi="黑体;SimHei" w:cs="黑体;SimHei" w:eastAsia="黑体;SimHei"/>
          <w:color w:val="333333"/>
          <w:sz w:val="32"/>
          <w:szCs w:val="32"/>
        </w:rPr>
        <w:t>条</w:t>
      </w:r>
      <w:r>
        <w:rPr>
          <w:rStyle w:val="bjh-p"/>
          <w:rFonts w:ascii="Times New Roman" w:hAnsi="Times New Roman" w:cs="Times New Roman" w:hint="eastAsia" w:eastAsia="仿宋_GB2312"/>
          <w:color w:val="333333"/>
          <w:sz w:val="32"/>
          <w:szCs w:val="32"/>
        </w:rPr>
        <w:t xml:space="preserve"> </w:t>
      </w:r>
      <w:r>
        <w:rPr>
          <w:rStyle w:val="bjh-p"/>
          <w:rFonts w:ascii="Times New Roman" w:hAnsi="Times New Roman" w:cs="Times New Roman" w:eastAsia="仿宋_GB2312"/>
          <w:color w:val="333333"/>
          <w:sz w:val="32"/>
          <w:szCs w:val="32"/>
        </w:rPr>
        <w:t>驾驶机动车不避让执行紧急任务的消防车、救护车、工程救险车、警车等应急车辆，非紧急情况占用应急车道的</w:t>
      </w:r>
      <w:r>
        <w:rPr>
          <w:rStyle w:val="bjh-p"/>
          <w:rFonts w:ascii="Times New Roman" w:hAnsi="Times New Roman" w:cs="Times New Roman" w:hint="eastAsia" w:eastAsia="仿宋_GB2312"/>
          <w:color w:val="333333"/>
          <w:sz w:val="32"/>
          <w:szCs w:val="32"/>
        </w:rPr>
        <w:t>，</w:t>
      </w:r>
      <w:r>
        <w:rPr>
          <w:rFonts w:ascii="Times New Roman" w:hAnsi="Times New Roman" w:cs="Times New Roman" w:eastAsia="仿宋_GB2312"/>
          <w:color w:val="333333"/>
          <w:sz w:val="32"/>
          <w:szCs w:val="32"/>
        </w:rPr>
        <w:t>由公安机关按照相关法律法规的规定处罚</w:t>
      </w:r>
      <w:r>
        <w:rPr>
          <w:rStyle w:val="bjh-p"/>
          <w:rFonts w:ascii="Times New Roman" w:hAnsi="Times New Roman" w:cs="Times New Roman" w:eastAsia="仿宋_GB2312"/>
          <w:color w:val="333333"/>
          <w:sz w:val="32"/>
          <w:szCs w:val="32"/>
        </w:rPr>
        <w:t>。</w:t>
      </w:r>
    </w:p>
    <w:p>
      <w:pPr>
        <w:pStyle w:val="Normal"/>
        <w:spacing w:lineRule="exact" w:line="570"/>
        <w:ind w:firstLineChars="200" w:startChars="0" w:start="0" w:endChars="0" w:end="0"/>
        <w:rPr/>
      </w:pPr>
      <w:r>
        <w:rPr>
          <w:rFonts w:ascii="黑体;SimHei" w:hAnsi="黑体;SimHei" w:cs="黑体;SimHei" w:eastAsia="黑体;SimHei"/>
          <w:color w:val="333333"/>
          <w:kern w:val="0"/>
          <w:szCs w:val="32"/>
        </w:rPr>
        <w:t>第三十</w:t>
      </w:r>
      <w:r>
        <w:rPr>
          <w:rFonts w:ascii="黑体;SimHei" w:hAnsi="黑体;SimHei" w:cs="黑体;SimHei" w:hint="eastAsia" w:eastAsia="黑体;SimHei"/>
          <w:color w:val="333333"/>
          <w:kern w:val="0"/>
          <w:szCs w:val="32"/>
        </w:rPr>
        <w:t>七</w:t>
      </w:r>
      <w:r>
        <w:rPr>
          <w:rFonts w:ascii="黑体;SimHei" w:hAnsi="黑体;SimHei" w:cs="黑体;SimHei" w:eastAsia="黑体;SimHei"/>
          <w:color w:val="333333"/>
          <w:kern w:val="0"/>
          <w:szCs w:val="32"/>
        </w:rPr>
        <w:t>条</w:t>
      </w:r>
      <w:r>
        <w:rPr>
          <w:color w:val="333333"/>
          <w:kern w:val="0"/>
          <w:szCs w:val="32"/>
        </w:rPr>
        <w:t xml:space="preserve"> 采取威胁、侮辱、殴打等方式打击报复劝阻人、投诉人、举报人，构成违反治安管理行为的，由公安机关依据《中华人民共和国治安管理处罚法》的有关规定给予处罚；构成犯罪的，依法追究刑事责任。</w:t>
      </w:r>
    </w:p>
    <w:p>
      <w:pPr>
        <w:pStyle w:val="Normal"/>
        <w:snapToGrid w:val="false"/>
        <w:spacing w:lineRule="exact" w:line="570"/>
        <w:ind w:firstLineChars="200" w:startChars="0" w:start="0" w:endChars="0" w:end="0"/>
        <w:rPr/>
      </w:pPr>
      <w:r>
        <w:rPr>
          <w:rFonts w:ascii="黑体;SimHei" w:hAnsi="黑体;SimHei" w:cs="黑体;SimHei" w:eastAsia="黑体;SimHei"/>
          <w:color w:val="333333"/>
          <w:kern w:val="0"/>
          <w:szCs w:val="32"/>
        </w:rPr>
        <w:t>第三十</w:t>
      </w:r>
      <w:r>
        <w:rPr>
          <w:rFonts w:ascii="黑体;SimHei" w:hAnsi="黑体;SimHei" w:cs="黑体;SimHei" w:hint="eastAsia" w:eastAsia="黑体;SimHei"/>
          <w:color w:val="333333"/>
          <w:kern w:val="0"/>
          <w:szCs w:val="32"/>
        </w:rPr>
        <w:t>八</w:t>
      </w:r>
      <w:r>
        <w:rPr>
          <w:rFonts w:ascii="黑体;SimHei" w:hAnsi="黑体;SimHei" w:cs="黑体;SimHei" w:eastAsia="黑体;SimHei"/>
          <w:color w:val="333333"/>
          <w:kern w:val="0"/>
          <w:szCs w:val="32"/>
        </w:rPr>
        <w:t>条</w:t>
      </w:r>
      <w:r>
        <w:rPr>
          <w:color w:val="333333"/>
          <w:kern w:val="0"/>
          <w:szCs w:val="32"/>
        </w:rPr>
        <w:t xml:space="preserve"> </w:t>
      </w:r>
      <w:r>
        <w:rPr>
          <w:szCs w:val="32"/>
        </w:rPr>
        <w:t>相关主管部门及其工作人员违反本条例规定，在文明行为促进工作中滥用职权、徇私舞弊、玩忽职守的，由有权机关按照管理权限对直接负责的主管人员和其他直接责任人员，依法给予处分；构成犯罪的，依法追究刑事责任。</w:t>
      </w:r>
    </w:p>
    <w:p>
      <w:pPr>
        <w:pStyle w:val="Normal"/>
        <w:shd w:fill="FFFFFF" w:val="clear"/>
        <w:snapToGrid w:val="false"/>
        <w:spacing w:lineRule="exact" w:line="570"/>
        <w:ind w:firstLine="660" w:end="0"/>
        <w:rPr/>
      </w:pPr>
      <w:r>
        <w:rPr>
          <w:rFonts w:ascii="黑体;SimHei" w:hAnsi="黑体;SimHei" w:cs="黑体;SimHei" w:eastAsia="黑体;SimHei"/>
          <w:color w:val="333333"/>
          <w:kern w:val="0"/>
          <w:szCs w:val="32"/>
        </w:rPr>
        <w:t>第三十</w:t>
      </w:r>
      <w:r>
        <w:rPr>
          <w:rFonts w:ascii="黑体;SimHei" w:hAnsi="黑体;SimHei" w:cs="黑体;SimHei" w:hint="eastAsia" w:eastAsia="黑体;SimHei"/>
          <w:color w:val="333333"/>
          <w:kern w:val="0"/>
          <w:szCs w:val="32"/>
        </w:rPr>
        <w:t>九</w:t>
      </w:r>
      <w:r>
        <w:rPr>
          <w:rFonts w:ascii="黑体;SimHei" w:hAnsi="黑体;SimHei" w:cs="黑体;SimHei" w:eastAsia="黑体;SimHei"/>
          <w:color w:val="333333"/>
          <w:kern w:val="0"/>
          <w:szCs w:val="32"/>
        </w:rPr>
        <w:t>条</w:t>
      </w:r>
      <w:r>
        <w:rPr>
          <w:color w:val="333333"/>
          <w:kern w:val="0"/>
          <w:szCs w:val="32"/>
        </w:rPr>
        <w:t xml:space="preserve"> 违反本条例规定的其他行为，法律、法规已有法律责任规定的，从其规定。</w:t>
      </w:r>
    </w:p>
    <w:p>
      <w:pPr>
        <w:pStyle w:val="Normal"/>
        <w:shd w:fill="FFFFFF" w:val="clear"/>
        <w:snapToGrid w:val="false"/>
        <w:spacing w:lineRule="exact" w:line="570"/>
        <w:rPr>
          <w:color w:val="333333"/>
          <w:kern w:val="0"/>
          <w:szCs w:val="32"/>
        </w:rPr>
      </w:pPr>
      <w:r>
        <w:rPr>
          <w:color w:val="333333"/>
          <w:kern w:val="0"/>
          <w:szCs w:val="32"/>
        </w:rPr>
      </w:r>
    </w:p>
    <w:p>
      <w:pPr>
        <w:pStyle w:val="Normal"/>
        <w:shd w:fill="FFFFFF" w:val="clear"/>
        <w:snapToGrid w:val="false"/>
        <w:spacing w:lineRule="exact" w:line="570"/>
        <w:jc w:val="center"/>
        <w:rPr>
          <w:rFonts w:ascii="黑体;SimHei" w:hAnsi="黑体;SimHei" w:eastAsia="黑体;SimHei" w:cs="黑体;SimHei"/>
          <w:color w:val="333333"/>
          <w:kern w:val="0"/>
          <w:szCs w:val="32"/>
        </w:rPr>
      </w:pPr>
      <w:r>
        <w:rPr>
          <w:rFonts w:ascii="黑体;SimHei" w:hAnsi="黑体;SimHei" w:cs="黑体;SimHei" w:eastAsia="黑体;SimHei"/>
          <w:color w:val="333333"/>
          <w:kern w:val="0"/>
          <w:szCs w:val="32"/>
        </w:rPr>
        <w:t>第五章  附  则</w:t>
      </w:r>
    </w:p>
    <w:p>
      <w:pPr>
        <w:pStyle w:val="Normal"/>
        <w:shd w:fill="FFFFFF" w:val="clear"/>
        <w:snapToGrid w:val="false"/>
        <w:spacing w:lineRule="exact" w:line="570"/>
        <w:jc w:val="center"/>
        <w:rPr>
          <w:rFonts w:ascii="黑体;SimHei" w:hAnsi="黑体;SimHei" w:eastAsia="黑体;SimHei" w:cs="黑体;SimHei"/>
          <w:color w:val="333333"/>
          <w:kern w:val="0"/>
          <w:szCs w:val="32"/>
        </w:rPr>
      </w:pPr>
      <w:r>
        <w:rPr>
          <w:rFonts w:eastAsia="黑体;SimHei" w:cs="黑体;SimHei" w:ascii="黑体;SimHei" w:hAnsi="黑体;SimHei"/>
          <w:color w:val="333333"/>
          <w:kern w:val="0"/>
          <w:szCs w:val="32"/>
        </w:rPr>
      </w:r>
    </w:p>
    <w:p>
      <w:pPr>
        <w:pStyle w:val="Normal"/>
        <w:shd w:fill="FFFFFF" w:val="clear"/>
        <w:snapToGrid w:val="false"/>
        <w:spacing w:lineRule="exact" w:line="570"/>
        <w:rPr/>
      </w:pPr>
      <w:r>
        <w:rPr>
          <w:color w:val="333333"/>
          <w:kern w:val="0"/>
          <w:szCs w:val="32"/>
        </w:rPr>
        <w:t xml:space="preserve">    </w:t>
      </w:r>
      <w:r>
        <w:rPr>
          <w:rFonts w:ascii="黑体;SimHei" w:hAnsi="黑体;SimHei" w:cs="黑体;SimHei" w:eastAsia="黑体;SimHei"/>
          <w:color w:val="333333"/>
          <w:kern w:val="0"/>
          <w:szCs w:val="32"/>
        </w:rPr>
        <w:t>第</w:t>
      </w:r>
      <w:r>
        <w:rPr>
          <w:rFonts w:ascii="黑体;SimHei" w:hAnsi="黑体;SimHei" w:cs="黑体;SimHei" w:hint="eastAsia" w:eastAsia="黑体;SimHei"/>
          <w:color w:val="333333"/>
          <w:kern w:val="0"/>
          <w:szCs w:val="32"/>
        </w:rPr>
        <w:t>四十</w:t>
      </w:r>
      <w:r>
        <w:rPr>
          <w:rFonts w:ascii="黑体;SimHei" w:hAnsi="黑体;SimHei" w:cs="黑体;SimHei" w:eastAsia="黑体;SimHei"/>
          <w:color w:val="333333"/>
          <w:kern w:val="0"/>
          <w:szCs w:val="32"/>
        </w:rPr>
        <w:t>条</w:t>
      </w:r>
      <w:r>
        <w:rPr>
          <w:color w:val="333333"/>
          <w:kern w:val="0"/>
          <w:szCs w:val="32"/>
        </w:rPr>
        <w:t xml:space="preserve"> 本条例自</w:t>
      </w:r>
      <w:r>
        <w:rPr>
          <w:color w:val="333333"/>
          <w:kern w:val="0"/>
          <w:szCs w:val="32"/>
        </w:rPr>
        <w:t>2019</w:t>
      </w:r>
      <w:r>
        <w:rPr>
          <w:color w:val="333333"/>
          <w:kern w:val="0"/>
          <w:szCs w:val="32"/>
        </w:rPr>
        <w:t>年</w:t>
      </w:r>
      <w:r>
        <w:rPr>
          <w:rFonts w:hint="eastAsia"/>
          <w:color w:val="333333"/>
          <w:kern w:val="0"/>
          <w:szCs w:val="32"/>
        </w:rPr>
        <w:t>10</w:t>
      </w:r>
      <w:r>
        <w:rPr>
          <w:color w:val="333333"/>
          <w:kern w:val="0"/>
          <w:szCs w:val="32"/>
        </w:rPr>
        <w:t>月</w:t>
      </w:r>
      <w:r>
        <w:rPr>
          <w:rFonts w:hint="eastAsia"/>
          <w:color w:val="333333"/>
          <w:kern w:val="0"/>
          <w:szCs w:val="32"/>
        </w:rPr>
        <w:t>1</w:t>
      </w:r>
      <w:r>
        <w:rPr>
          <w:color w:val="333333"/>
          <w:kern w:val="0"/>
          <w:szCs w:val="32"/>
        </w:rPr>
        <w:t>日起施行。</w:t>
      </w:r>
    </w:p>
    <w:p>
      <w:pPr>
        <w:pStyle w:val="Normal"/>
        <w:snapToGrid w:val="false"/>
        <w:spacing w:lineRule="exact" w:line="570"/>
        <w:ind w:firstLineChars="1673" w:startChars="0" w:start="0" w:endChars="0" w:end="0"/>
        <w:rPr>
          <w:rFonts w:hint="eastAsia"/>
          <w:color w:val="333333"/>
          <w:kern w:val="0"/>
          <w:szCs w:val="32"/>
        </w:rPr>
      </w:pPr>
      <w:r>
        <w:rPr>
          <w:rFonts w:hint="eastAsia"/>
          <w:color w:val="333333"/>
          <w:kern w:val="0"/>
          <w:szCs w:val="32"/>
        </w:rPr>
      </w:r>
    </w:p>
    <w:p>
      <w:pPr>
        <w:pStyle w:val="Normal"/>
        <w:spacing w:lineRule="exact" w:line="570"/>
        <w:jc w:val="start"/>
        <w:rPr>
          <w:rFonts w:hint="eastAsia"/>
          <w:szCs w:val="32"/>
        </w:rPr>
      </w:pPr>
      <w:r>
        <w:rPr>
          <w:rFonts w:hint="eastAsia"/>
          <w:szCs w:val="32"/>
        </w:rPr>
      </w:r>
    </w:p>
    <w:sectPr>
      <w:headerReference w:type="even" r:id="rId2"/>
      <w:headerReference w:type="default" r:id="rId3"/>
      <w:footerReference w:type="even" r:id="rId4"/>
      <w:footerReference w:type="default" r:id="rId5"/>
      <w:type w:val="nextPage"/>
      <w:pgSz w:w="11906" w:h="16838"/>
      <w:pgMar w:left="1588" w:right="1588" w:gutter="0" w:header="851" w:top="2098" w:footer="153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mbria">
    <w:charset w:val="00" w:characterSet="windows-1252"/>
    <w:family w:val="roman"/>
    <w:pitch w:val="variable"/>
  </w:font>
  <w:font w:name="Calibri">
    <w:charset w:val="00" w:characterSet="windows-1252"/>
    <w:family w:val="swiss"/>
    <w:pitch w:val="variable"/>
  </w:font>
  <w:font w:name="方正小标宋简体">
    <w:charset w:val="86"/>
    <w:family w:val="script"/>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100" w:startChars="0" w:start="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5748020</wp:posOffset>
              </wp:positionH>
              <wp:positionV relativeFrom="paragraph">
                <wp:posOffset>635</wp:posOffset>
              </wp:positionV>
              <wp:extent cx="83121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31215" cy="302260"/>
                      </a:xfrm>
                      <a:prstGeom prst="rect"/>
                      <a:solidFill>
                        <a:srgbClr val="FFFFFF">
                          <a:alpha val="0"/>
                        </a:srgbClr>
                      </a:solidFill>
                    </wps:spPr>
                    <wps:txbx>
                      <w:txbxContent>
                        <w:p>
                          <w:pPr>
                            <w:pStyle w:val="Footer"/>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65.45pt;height:23.8pt;mso-wrap-distance-left:0pt;mso-wrap-distance-right:0pt;mso-wrap-distance-top:0pt;mso-wrap-distance-bottom:0pt;margin-top:0.05pt;mso-position-vertical-relative:text;margin-left:452.6pt;mso-position-horizontal-relative:page">
              <v:fill opacity="0f"/>
              <v:textbox inset="0in,0in,0in,0in">
                <w:txbxContent>
                  <w:p>
                    <w:pPr>
                      <w:pStyle w:val="Footer"/>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ascii="宋体;SimSun" w:hAnsi="宋体;SimSun" w:eastAsia="宋体;SimSun" w:cs="Times New Roman" w:hint="eastAsia"/>
    </w:rPr>
  </w:style>
  <w:style w:type="character" w:styleId="WW8Num2z0">
    <w:name w:val="WW8Num2z0"/>
    <w:qFormat/>
    <w:rPr>
      <w:rFonts w:cs="Times New Roman" w:hint="eastAsia"/>
    </w:rPr>
  </w:style>
  <w:style w:type="character" w:styleId="WW8Num3z0">
    <w:name w:val="WW8Num3z0"/>
    <w:qFormat/>
    <w:rPr>
      <w:rFonts w:ascii="宋体;SimSun" w:hAnsi="宋体;SimSun" w:eastAsia="宋体;SimSun" w:cs="Times New Roman" w:hint="eastAsia"/>
    </w:rPr>
  </w:style>
  <w:style w:type="character" w:styleId="Style14">
    <w:name w:val="默认段落字体"/>
    <w:qFormat/>
    <w:rPr/>
  </w:style>
  <w:style w:type="character" w:styleId="PageNumber">
    <w:name w:val="page number"/>
    <w:basedOn w:val="Style14"/>
    <w:rPr/>
  </w:style>
  <w:style w:type="character" w:styleId="Char">
    <w:name w:val="正文文本缩进 Char"/>
    <w:basedOn w:val="Style14"/>
    <w:qFormat/>
    <w:rPr>
      <w:rFonts w:eastAsia="仿宋_GB2312"/>
      <w:kern w:val="2"/>
      <w:sz w:val="32"/>
      <w:szCs w:val="24"/>
      <w:lang w:bidi="ar-SA"/>
    </w:rPr>
  </w:style>
  <w:style w:type="character" w:styleId="Char1">
    <w:name w:val="页脚 Char"/>
    <w:basedOn w:val="Style14"/>
    <w:qFormat/>
    <w:rPr>
      <w:rFonts w:eastAsia="仿宋_GB2312"/>
      <w:kern w:val="2"/>
      <w:sz w:val="18"/>
      <w:szCs w:val="18"/>
      <w:lang w:bidi="ar-SA"/>
    </w:rPr>
  </w:style>
  <w:style w:type="character" w:styleId="Char2">
    <w:name w:val="标题 Char"/>
    <w:basedOn w:val="Style14"/>
    <w:qFormat/>
    <w:rPr>
      <w:rFonts w:ascii="Cambria" w:hAnsi="Cambria" w:cs="Cambria"/>
      <w:b/>
      <w:bCs/>
      <w:kern w:val="2"/>
      <w:sz w:val="32"/>
      <w:szCs w:val="32"/>
    </w:rPr>
  </w:style>
  <w:style w:type="character" w:styleId="bjh-p">
    <w:name w:val="bjh-p"/>
    <w:basedOn w:val="Style14"/>
    <w:qFormat/>
    <w:rPr>
      <w:rFonts w:cs="Times New Roman"/>
    </w:rPr>
  </w:style>
  <w:style w:type="character" w:styleId="Char3">
    <w:name w:val="批注文字 Char"/>
    <w:basedOn w:val="Style14"/>
    <w:qFormat/>
    <w:rPr>
      <w:rFonts w:ascii="Calibri" w:hAnsi="Calibri" w:cs="黑体;SimHei"/>
      <w:kern w:val="2"/>
      <w:sz w:val="21"/>
      <w:szCs w:val="22"/>
    </w:rPr>
  </w:style>
  <w:style w:type="paragraph" w:styleId="Heading">
    <w:name w:val="Heading"/>
    <w:basedOn w:val="Normal"/>
    <w:next w:val="Normal"/>
    <w:qFormat/>
    <w:pPr>
      <w:spacing w:before="240" w:after="60"/>
      <w:jc w:val="center"/>
      <w:outlineLvl w:val="0"/>
    </w:pPr>
    <w:rPr>
      <w:rFonts w:ascii="Cambria" w:hAnsi="Cambria" w:eastAsia="宋体;SimSun" w:cs="Cambria"/>
      <w:b/>
      <w:bCs/>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spacing w:lineRule="auto" w:line="300"/>
      <w:ind w:firstLineChars="200" w:startChars="0" w:start="0" w:endChars="0" w:end="0"/>
    </w:pPr>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rPr>
  </w:style>
  <w:style w:type="paragraph" w:styleId="0">
    <w:name w:val="0"/>
    <w:basedOn w:val="Normal"/>
    <w:qFormat/>
    <w:pPr>
      <w:widowControl/>
      <w:jc w:val="start"/>
    </w:pPr>
    <w:rPr>
      <w:rFonts w:eastAsia="宋体;SimSun"/>
      <w:kern w:val="0"/>
      <w:sz w:val="20"/>
    </w:rPr>
  </w:style>
  <w:style w:type="paragraph" w:styleId="HTML">
    <w:name w:val="HTML 预设格式"/>
    <w:basedOn w:val="Normal"/>
    <w:qFormat/>
    <w:pPr>
      <w:widowControl/>
      <w:jc w:val="start"/>
    </w:pPr>
    <w:rPr>
      <w:rFonts w:ascii="宋体;SimSun" w:hAnsi="宋体;SimSun" w:eastAsia="宋体;SimSun" w:cs="宋体;SimSun"/>
      <w:kern w:val="0"/>
      <w:sz w:val="24"/>
    </w:rPr>
  </w:style>
  <w:style w:type="paragraph" w:styleId="Style17">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p0">
    <w:name w:val="p0"/>
    <w:basedOn w:val="Normal"/>
    <w:qFormat/>
    <w:pPr>
      <w:widowControl/>
    </w:pPr>
    <w:rPr>
      <w:rFonts w:ascii="Calibri" w:hAnsi="Calibri" w:eastAsia="宋体;SimSun" w:cs="Calibri"/>
      <w:kern w:val="0"/>
      <w:sz w:val="21"/>
      <w:szCs w:val="21"/>
    </w:rPr>
  </w:style>
  <w:style w:type="paragraph" w:styleId="Style18">
    <w:name w:val="批注文字"/>
    <w:basedOn w:val="Normal"/>
    <w:qFormat/>
    <w:pPr>
      <w:jc w:val="start"/>
    </w:pPr>
    <w:rPr>
      <w:rFonts w:ascii="Calibri" w:hAnsi="Calibri" w:eastAsia="宋体;SimSun" w:cs="黑体;SimHei"/>
      <w:sz w:val="21"/>
      <w:szCs w:val="2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2019-09-03T15:13:00Z</dcterms:created>
  <dc:creator>方正电脑</dc:creator>
  <dc:description/>
  <cp:keywords/>
  <dc:language>en-US</dc:language>
  <cp:lastModifiedBy>Windows 用户</cp:lastModifiedBy>
  <cp:lastPrinted>2018-09-26T15:27:00Z</cp:lastPrinted>
  <dcterms:modified xsi:type="dcterms:W3CDTF">2019-09-03T15:19:00Z</dcterms:modified>
  <cp:revision>4</cp:revision>
  <dc:subject/>
  <dc:title>通    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