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方正书宋_GBK" w:hAnsi="宋体;方正书宋_GBK" w:eastAsia="宋体;方正书宋_GBK" w:cs="Arial;DejaVu Sans" w:hint="eastAsia"/>
          <w:bCs/>
          <w:szCs w:val="32"/>
        </w:rPr>
      </w:pPr>
      <w:r>
        <w:rPr>
          <w:rFonts w:eastAsia="宋体;方正书宋_GBK" w:cs="Arial;DejaVu Sans" w:hint="eastAsia" w:ascii="宋体;方正书宋_GBK" w:hAnsi="宋体;方正书宋_GBK"/>
          <w:bCs/>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方正书宋_GBK" w:hAnsi="宋体;方正书宋_GBK" w:eastAsia="宋体;方正书宋_GBK" w:cs="Arial;DejaVu Sans" w:hint="eastAsia"/>
          <w:bCs/>
          <w:szCs w:val="32"/>
        </w:rPr>
      </w:pPr>
      <w:r>
        <w:rPr>
          <w:rFonts w:eastAsia="宋体;方正书宋_GBK" w:cs="Arial;DejaVu Sans" w:hint="eastAsia" w:ascii="宋体;方正书宋_GBK" w:hAnsi="宋体;方正书宋_GBK"/>
          <w:bCs/>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bCs/>
          <w:sz w:val="44"/>
          <w:szCs w:val="44"/>
        </w:rPr>
      </w:pPr>
      <w:r>
        <w:rPr>
          <w:rFonts w:ascii="宋体;方正书宋_GBK" w:hAnsi="宋体;方正书宋_GBK" w:cs="宋体;方正书宋_GBK" w:hint="eastAsia" w:eastAsia="宋体;方正书宋_GBK"/>
          <w:bCs/>
          <w:sz w:val="44"/>
          <w:szCs w:val="44"/>
        </w:rPr>
        <w:t>河北省人民代表大会常务委员会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Arial;DejaVu Sans" w:hint="eastAsia"/>
          <w:bCs/>
          <w:sz w:val="44"/>
          <w:szCs w:val="44"/>
        </w:rPr>
      </w:pPr>
      <w:r>
        <w:rPr>
          <w:rFonts w:ascii="宋体;方正书宋_GBK" w:hAnsi="宋体;方正书宋_GBK" w:cs="宋体;方正书宋_GBK" w:hint="eastAsia" w:eastAsia="宋体;方正书宋_GBK"/>
          <w:bCs/>
          <w:sz w:val="44"/>
          <w:szCs w:val="44"/>
        </w:rPr>
        <w:t>关于废止《河北省信访条例》的决定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Arial;DejaVu Sans" w:hint="eastAsia"/>
          <w:szCs w:val="32"/>
        </w:rPr>
      </w:pPr>
      <w:r>
        <w:rPr>
          <w:rFonts w:ascii="楷体_GB2312" w:hAnsi="楷体_GB2312" w:cs="Arial;DejaVu Sans" w:hint="eastAsia" w:eastAsia="楷体_GB2312"/>
          <w:szCs w:val="32"/>
        </w:rPr>
        <w:t>（</w:t>
      </w:r>
      <w:r>
        <w:rPr>
          <w:rFonts w:eastAsia="楷体_GB2312" w:cs="Arial;DejaVu Sans" w:hint="eastAsia" w:ascii="楷体_GB2312" w:hAnsi="楷体_GB2312"/>
          <w:szCs w:val="32"/>
        </w:rPr>
        <w:t>2022</w:t>
      </w:r>
      <w:r>
        <w:rPr>
          <w:rFonts w:ascii="楷体_GB2312" w:hAnsi="楷体_GB2312" w:cs="Arial;DejaVu Sans" w:hint="eastAsia" w:eastAsia="楷体_GB2312"/>
          <w:szCs w:val="32"/>
        </w:rPr>
        <w:t>年</w:t>
      </w:r>
      <w:r>
        <w:rPr>
          <w:rFonts w:eastAsia="楷体_GB2312" w:cs="Arial;DejaVu Sans" w:hint="eastAsia" w:ascii="楷体_GB2312" w:hAnsi="楷体_GB2312"/>
          <w:szCs w:val="32"/>
        </w:rPr>
        <w:t>9</w:t>
      </w:r>
      <w:r>
        <w:rPr>
          <w:rFonts w:ascii="楷体_GB2312" w:hAnsi="楷体_GB2312" w:cs="Arial;DejaVu Sans" w:hint="eastAsia" w:eastAsia="楷体_GB2312"/>
          <w:szCs w:val="32"/>
        </w:rPr>
        <w:t>月</w:t>
      </w:r>
      <w:r>
        <w:rPr>
          <w:rFonts w:eastAsia="楷体_GB2312" w:cs="Arial;DejaVu Sans" w:hint="eastAsia" w:ascii="楷体_GB2312" w:hAnsi="楷体_GB2312"/>
          <w:szCs w:val="32"/>
        </w:rPr>
        <w:t>28</w:t>
      </w:r>
      <w:r>
        <w:rPr>
          <w:rFonts w:ascii="楷体_GB2312" w:hAnsi="楷体_GB2312" w:cs="Arial;DejaVu Sans" w:hint="eastAsia" w:eastAsia="楷体_GB2312"/>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Arial;DejaVu Sans" w:hint="eastAsia"/>
          <w:szCs w:val="32"/>
        </w:rPr>
      </w:pPr>
      <w:r>
        <w:rPr>
          <w:rFonts w:ascii="楷体_GB2312" w:hAnsi="楷体_GB2312" w:cs="Arial;DejaVu Sans" w:hint="eastAsia" w:eastAsia="楷体_GB2312"/>
          <w:szCs w:val="32"/>
        </w:rPr>
        <w:t>常务委员会第三十三次会议通过）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楷体_GB2312" w:hAnsi="楷体_GB2312" w:eastAsia="楷体_GB2312" w:cs="Arial;DejaVu Sans" w:hint="eastAsia"/>
          <w:szCs w:val="32"/>
        </w:rPr>
      </w:pPr>
      <w:r>
        <w:rPr>
          <w:rFonts w:eastAsia="楷体_GB2312" w:cs="Arial;DejaVu Sans" w:hint="eastAsia" w:ascii="楷体_GB2312" w:hAnsi="楷体_GB231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仿宋_GB2312" w:hAnsi="仿宋_GB2312" w:cs="仿宋_GB2312"/>
          <w:sz w:val="32"/>
        </w:rPr>
      </w:pPr>
      <w:r>
        <w:rPr>
          <w:rFonts w:cs="仿宋_GB2312" w:ascii="仿宋_GB2312" w:hAnsi="仿宋_GB2312"/>
          <w:sz w:val="32"/>
        </w:rPr>
        <w:t>2022</w:t>
      </w:r>
      <w:r>
        <w:rPr>
          <w:rFonts w:ascii="仿宋_GB2312" w:hAnsi="仿宋_GB2312" w:cs="仿宋_GB2312"/>
          <w:sz w:val="32"/>
        </w:rPr>
        <w:t>年</w:t>
      </w:r>
      <w:r>
        <w:rPr>
          <w:rFonts w:cs="仿宋_GB2312" w:ascii="仿宋_GB2312" w:hAnsi="仿宋_GB2312"/>
          <w:sz w:val="32"/>
        </w:rPr>
        <w:t>2</w:t>
      </w:r>
      <w:r>
        <w:rPr>
          <w:rFonts w:ascii="仿宋_GB2312" w:hAnsi="仿宋_GB2312" w:cs="仿宋_GB2312"/>
          <w:sz w:val="32"/>
        </w:rPr>
        <w:t>月</w:t>
      </w:r>
      <w:r>
        <w:rPr>
          <w:rFonts w:cs="仿宋_GB2312" w:ascii="仿宋_GB2312" w:hAnsi="仿宋_GB2312"/>
          <w:sz w:val="32"/>
        </w:rPr>
        <w:t>25</w:t>
      </w:r>
      <w:r>
        <w:rPr>
          <w:rFonts w:ascii="仿宋_GB2312" w:hAnsi="仿宋_GB2312" w:cs="仿宋_GB2312"/>
          <w:sz w:val="32"/>
        </w:rPr>
        <w:t>日，中共中央、国务院发布了《信访工作条例》（已于</w:t>
      </w:r>
      <w:r>
        <w:rPr>
          <w:rFonts w:cs="仿宋_GB2312" w:ascii="仿宋_GB2312" w:hAnsi="仿宋_GB2312"/>
          <w:sz w:val="32"/>
        </w:rPr>
        <w:t>2022</w:t>
      </w:r>
      <w:r>
        <w:rPr>
          <w:rFonts w:ascii="仿宋_GB2312" w:hAnsi="仿宋_GB2312" w:cs="仿宋_GB2312"/>
          <w:sz w:val="32"/>
        </w:rPr>
        <w:t>年</w:t>
      </w:r>
      <w:r>
        <w:rPr>
          <w:rFonts w:cs="仿宋_GB2312" w:ascii="仿宋_GB2312" w:hAnsi="仿宋_GB2312"/>
          <w:sz w:val="32"/>
        </w:rPr>
        <w:t>5</w:t>
      </w:r>
      <w:r>
        <w:rPr>
          <w:rFonts w:ascii="仿宋_GB2312" w:hAnsi="仿宋_GB2312" w:cs="仿宋_GB2312"/>
          <w:sz w:val="32"/>
        </w:rPr>
        <w:t>月</w:t>
      </w:r>
      <w:r>
        <w:rPr>
          <w:rFonts w:cs="仿宋_GB2312" w:ascii="仿宋_GB2312" w:hAnsi="仿宋_GB2312"/>
          <w:sz w:val="32"/>
        </w:rPr>
        <w:t>1</w:t>
      </w:r>
      <w:r>
        <w:rPr>
          <w:rFonts w:ascii="仿宋_GB2312" w:hAnsi="仿宋_GB2312" w:cs="仿宋_GB2312"/>
          <w:sz w:val="32"/>
        </w:rPr>
        <w:t>日起施行），经河北省第十三届人民代表大会常务委员会第三十三次会议审议并决定，废止《河北省信访条例》（</w:t>
      </w:r>
      <w:r>
        <w:rPr>
          <w:rFonts w:cs="仿宋_GB2312" w:ascii="仿宋_GB2312" w:hAnsi="仿宋_GB2312"/>
          <w:sz w:val="32"/>
        </w:rPr>
        <w:t>1995</w:t>
      </w:r>
      <w:r>
        <w:rPr>
          <w:rFonts w:ascii="仿宋_GB2312" w:hAnsi="仿宋_GB2312" w:cs="仿宋_GB2312"/>
          <w:sz w:val="32"/>
        </w:rPr>
        <w:t>年</w:t>
      </w:r>
      <w:r>
        <w:rPr>
          <w:rFonts w:cs="仿宋_GB2312" w:ascii="仿宋_GB2312" w:hAnsi="仿宋_GB2312"/>
          <w:sz w:val="32"/>
        </w:rPr>
        <w:t>7</w:t>
      </w:r>
      <w:r>
        <w:rPr>
          <w:rFonts w:ascii="仿宋_GB2312" w:hAnsi="仿宋_GB2312" w:cs="仿宋_GB2312"/>
          <w:sz w:val="32"/>
        </w:rPr>
        <w:t>月</w:t>
      </w:r>
      <w:r>
        <w:rPr>
          <w:rFonts w:cs="仿宋_GB2312" w:ascii="仿宋_GB2312" w:hAnsi="仿宋_GB2312"/>
          <w:sz w:val="32"/>
        </w:rPr>
        <w:t>8</w:t>
      </w:r>
      <w:r>
        <w:rPr>
          <w:rFonts w:ascii="仿宋_GB2312" w:hAnsi="仿宋_GB2312" w:cs="仿宋_GB2312"/>
          <w:sz w:val="32"/>
        </w:rPr>
        <w:t>日河北省第八届人民代表大会常务委员会第十五次会议通过　</w:t>
      </w:r>
      <w:r>
        <w:rPr>
          <w:rFonts w:cs="仿宋_GB2312" w:ascii="仿宋_GB2312" w:hAnsi="仿宋_GB2312"/>
          <w:sz w:val="32"/>
        </w:rPr>
        <w:t>2015</w:t>
      </w:r>
      <w:r>
        <w:rPr>
          <w:rFonts w:ascii="仿宋_GB2312" w:hAnsi="仿宋_GB2312" w:cs="仿宋_GB2312"/>
          <w:sz w:val="32"/>
        </w:rPr>
        <w:t>年</w:t>
      </w:r>
      <w:r>
        <w:rPr>
          <w:rFonts w:cs="仿宋_GB2312" w:ascii="仿宋_GB2312" w:hAnsi="仿宋_GB2312"/>
          <w:sz w:val="32"/>
        </w:rPr>
        <w:t>9</w:t>
      </w:r>
      <w:r>
        <w:rPr>
          <w:rFonts w:ascii="仿宋_GB2312" w:hAnsi="仿宋_GB2312" w:cs="仿宋_GB2312"/>
          <w:sz w:val="32"/>
        </w:rPr>
        <w:t>月</w:t>
      </w:r>
      <w:r>
        <w:rPr>
          <w:rFonts w:cs="仿宋_GB2312" w:ascii="仿宋_GB2312" w:hAnsi="仿宋_GB2312"/>
          <w:sz w:val="32"/>
        </w:rPr>
        <w:t>25</w:t>
      </w:r>
      <w:r>
        <w:rPr>
          <w:rFonts w:ascii="仿宋_GB2312" w:hAnsi="仿宋_GB2312" w:cs="仿宋_GB2312"/>
          <w:sz w:val="32"/>
        </w:rPr>
        <w:t>日河北省第十二届人民代表大会常务委员会第十七次会议修订）。</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仿宋_GB2312" w:hAnsi="仿宋_GB2312" w:cs="仿宋_GB2312"/>
          <w:sz w:val="32"/>
        </w:rPr>
      </w:pPr>
      <w:r>
        <w:rPr>
          <w:rFonts w:ascii="仿宋_GB2312" w:hAnsi="仿宋_GB2312" w:cs="仿宋_GB2312"/>
          <w:sz w:val="32"/>
        </w:rPr>
        <w:t>本决定自公布之日起施行。</w:t>
      </w:r>
    </w:p>
    <w:sectPr>
      <w:headerReference w:type="even" r:id="rId2"/>
      <w:headerReference w:type="default" r:id="rId3"/>
      <w:footerReference w:type="even" r:id="rId4"/>
      <w:footerReference w:type="default" r:id="rId5"/>
      <w:type w:val="nextPage"/>
      <w:pgSz w:w="11906" w:h="16838"/>
      <w:pgMar w:left="1588" w:right="1587" w:gutter="0" w:header="851" w:top="2098" w:footer="1247" w:bottom="209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宋体">
    <w:altName w:val="方正书宋_GBK"/>
    <w:charset w:val="00" w:characterSet="windows-1252"/>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方正书宋_GBK" w:hAnsi="宋体;方正书宋_GBK" w:cs="宋体;方正书宋_GBK" w:hint="eastAsia" w:eastAsia="宋体;方正书宋_GBK"/>
        <w:sz w:val="28"/>
        <w:szCs w:val="28"/>
      </w:rPr>
      <w:t>　－</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0</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eastAsia="宋体;方正书宋_GBK"/>
        <w:sz w:val="28"/>
        <w:szCs w:val="28"/>
      </w:rPr>
      <w:t>－</w:t>
    </w:r>
    <w:r>
      <w:rPr>
        <w:rFonts w:ascii="宋体;方正书宋_GBK" w:hAnsi="宋体;方正书宋_GBK" w:cs="宋体;方正书宋_GBK" w:eastAsia="宋体;方正书宋_GBK"/>
        <w:sz w:val="28"/>
        <w:szCs w:val="28"/>
      </w:rPr>
      <w:fldChar w:fldCharType="begin"/>
    </w:r>
    <w:r>
      <w:rPr>
        <w:rFonts w:ascii="宋体;方正书宋_GBK" w:hAnsi="宋体;方正书宋_GBK" w:cs="宋体;方正书宋_GBK" w:eastAsia="宋体;方正书宋_GBK"/>
        <w:sz w:val="28"/>
        <w:szCs w:val="28"/>
      </w:rPr>
      <w:instrText xml:space="preserve"> PAGE </w:instrText>
    </w:r>
    <w:r>
      <w:rPr>
        <w:rFonts w:ascii="宋体;方正书宋_GBK" w:hAnsi="宋体;方正书宋_GBK" w:cs="宋体;方正书宋_GBK" w:eastAsia="宋体;方正书宋_GBK"/>
        <w:sz w:val="28"/>
        <w:szCs w:val="28"/>
      </w:rPr>
      <w:fldChar w:fldCharType="separate"/>
    </w:r>
    <w:r>
      <w:rPr>
        <w:rFonts w:ascii="宋体;方正书宋_GBK" w:hAnsi="宋体;方正书宋_GBK" w:cs="宋体;方正书宋_GBK" w:eastAsia="宋体;方正书宋_GBK"/>
        <w:sz w:val="28"/>
        <w:szCs w:val="28"/>
      </w:rPr>
      <w:t>1</w:t>
    </w:r>
    <w:r>
      <w:rPr>
        <w:rFonts w:ascii="宋体;方正书宋_GBK" w:hAnsi="宋体;方正书宋_GBK" w:cs="宋体;方正书宋_GBK" w:eastAsia="宋体;方正书宋_GBK"/>
        <w:sz w:val="28"/>
        <w:szCs w:val="28"/>
      </w:rPr>
      <w:fldChar w:fldCharType="end"/>
    </w:r>
    <w:r>
      <w:rPr>
        <w:rFonts w:ascii="宋体;方正书宋_GBK" w:hAnsi="宋体;方正书宋_GBK" w:cs="宋体;方正书宋_GBK" w:hint="eastAsia" w:eastAsia="宋体;方正书宋_GBK"/>
        <w:sz w:val="28"/>
        <w:szCs w:val="28"/>
      </w:rPr>
      <w:t>－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4"/>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eaderLeft">
    <w:name w:val="Header Left"/>
    <w:basedOn w:val="Header"/>
    <w:qFormat/>
    <w:pPr>
      <w:suppressLineNumbers/>
      <w:tabs>
        <w:tab w:val="clear" w:pos="4153"/>
        <w:tab w:val="clear" w:pos="8306"/>
        <w:tab w:val="center" w:pos="4365" w:leader="none"/>
        <w:tab w:val="right" w:pos="8731"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2017-10-18T17:03:00Z</dcterms:created>
  <dc:creator>YF-INT6</dc:creator>
  <dc:description/>
  <dc:language>en-US</dc:language>
  <cp:lastModifiedBy>ht-706</cp:lastModifiedBy>
  <dcterms:modified xsi:type="dcterms:W3CDTF">2022-10-18T23:54:42Z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9365C43CFD1845D2BD4E2AB93CC6CB4D</vt:lpwstr>
  </property>
  <property fmtid="{D5CDD505-2E9C-101B-9397-08002B2CF9AE}" pid="3" name="KSOProductBuildVer">
    <vt:lpwstr>2052-11.8.2.9339</vt:lpwstr>
  </property>
</Properties>
</file>