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keepNext w:val="false"/>
        <w:keepLines w:val="false"/>
        <w:widowControl/>
        <w:suppressLineNumbers w:val="0"/>
        <w:spacing w:lineRule="auto" w:line="360"/>
        <w:jc w:val="both"/>
        <w:rPr>
          <w:rFonts w:ascii="宋体" w:hAnsi="宋体" w:eastAsia="宋体" w:cs="宋体" w:hint="eastAsia"/>
          <w:b/>
          <w:bCs w:val="false"/>
          <w:sz w:val="44"/>
          <w:szCs w:val="44"/>
        </w:rPr>
      </w:pPr>
      <w:r>
        <w:rPr>
          <w:rFonts w:eastAsia="宋体" w:cs="宋体" w:hint="eastAsia"/>
          <w:b/>
          <w:bCs w:val="false"/>
          <w:sz w:val="44"/>
          <w:szCs w:val="44"/>
        </w:rPr>
      </w:r>
    </w:p>
    <w:p>
      <w:pPr>
        <w:pStyle w:val="Style15"/>
        <w:keepNext w:val="false"/>
        <w:keepLines w:val="false"/>
        <w:widowControl/>
        <w:suppressLineNumbers w:val="0"/>
        <w:spacing w:lineRule="auto" w:line="360"/>
        <w:jc w:val="both"/>
        <w:rPr>
          <w:rFonts w:ascii="宋体" w:hAnsi="宋体" w:eastAsia="宋体" w:cs="宋体" w:hint="eastAsia"/>
          <w:b/>
          <w:bCs w:val="false"/>
          <w:sz w:val="44"/>
          <w:szCs w:val="44"/>
        </w:rPr>
      </w:pPr>
      <w:r>
        <w:rPr>
          <w:rFonts w:eastAsia="宋体" w:cs="宋体" w:hint="eastAsia"/>
          <w:b/>
          <w:bCs w:val="false"/>
          <w:sz w:val="44"/>
          <w:szCs w:val="44"/>
        </w:rPr>
      </w:r>
    </w:p>
    <w:p>
      <w:pPr>
        <w:pStyle w:val="Style15"/>
        <w:keepNext w:val="false"/>
        <w:keepLines w:val="false"/>
        <w:widowControl/>
        <w:suppressLineNumbers w:val="0"/>
        <w:spacing w:lineRule="auto" w:line="360"/>
        <w:jc w:val="center"/>
        <w:rPr>
          <w:rFonts w:ascii="宋体" w:hAnsi="宋体" w:eastAsia="宋体" w:cs="宋体" w:hint="eastAsia"/>
          <w:b/>
          <w:bCs w:val="false"/>
          <w:sz w:val="44"/>
          <w:szCs w:val="44"/>
        </w:rPr>
      </w:pPr>
      <w:r>
        <w:rPr>
          <w:rFonts w:ascii="宋体" w:hAnsi="宋体" w:cs="宋体" w:hint="eastAsia"/>
          <w:b/>
          <w:bCs w:val="false"/>
          <w:sz w:val="44"/>
          <w:szCs w:val="44"/>
        </w:rPr>
        <w:t>河北省人民代表大会常务委员会</w:t>
      </w:r>
      <w:r>
        <w:rPr>
          <w:rFonts w:eastAsia="宋体" w:cs="宋体" w:hint="eastAsia"/>
          <w:b/>
          <w:bCs w:val="false"/>
          <w:sz w:val="44"/>
          <w:szCs w:val="44"/>
        </w:rPr>
        <w:br/>
      </w:r>
      <w:r>
        <w:rPr>
          <w:rFonts w:ascii="宋体" w:hAnsi="宋体" w:cs="宋体" w:hint="eastAsia"/>
          <w:b/>
          <w:bCs w:val="false"/>
          <w:sz w:val="44"/>
          <w:szCs w:val="44"/>
        </w:rPr>
        <w:t>关于河北省契税适用税率等有关事项的决定</w:t>
      </w:r>
    </w:p>
    <w:p>
      <w:pPr>
        <w:pStyle w:val="Style15"/>
        <w:keepNext w:val="false"/>
        <w:keepLines w:val="false"/>
        <w:widowControl/>
        <w:suppressLineNumbers w:val="0"/>
        <w:spacing w:lineRule="auto" w:line="360"/>
        <w:jc w:val="center"/>
        <w:rPr>
          <w:rFonts w:ascii="楷体" w:hAnsi="楷体" w:eastAsia="楷体" w:cs="楷体" w:hint="eastAsia"/>
          <w:b w:val="false"/>
          <w:bCs/>
          <w:sz w:val="32"/>
          <w:szCs w:val="32"/>
        </w:rPr>
      </w:pPr>
      <w:r>
        <w:rPr>
          <w:rFonts w:eastAsia="方正小标宋_GBK;微软雅黑" w:cs="方正小标宋_GBK;微软雅黑" w:hint="eastAsia" w:ascii="方正小标宋_GBK;微软雅黑" w:hAnsi="方正小标宋_GBK;微软雅黑"/>
          <w:b w:val="false"/>
          <w:bCs/>
          <w:sz w:val="40"/>
          <w:szCs w:val="40"/>
        </w:rPr>
        <w:br/>
      </w:r>
      <w:r>
        <w:rPr>
          <w:rFonts w:ascii="楷体" w:hAnsi="楷体" w:cs="楷体" w:hint="eastAsia" w:eastAsia="楷体"/>
          <w:b w:val="false"/>
          <w:bCs/>
          <w:sz w:val="32"/>
          <w:szCs w:val="32"/>
        </w:rPr>
        <w:t>（</w:t>
      </w:r>
      <w:r>
        <w:rPr>
          <w:rFonts w:eastAsia="楷体" w:cs="楷体" w:hint="eastAsia" w:ascii="楷体" w:hAnsi="楷体"/>
          <w:b w:val="false"/>
          <w:bCs/>
          <w:sz w:val="32"/>
          <w:szCs w:val="32"/>
        </w:rPr>
        <w:t>2021</w:t>
      </w:r>
      <w:r>
        <w:rPr>
          <w:rFonts w:ascii="楷体" w:hAnsi="楷体" w:cs="楷体" w:hint="eastAsia" w:eastAsia="楷体"/>
          <w:b w:val="false"/>
          <w:bCs/>
          <w:sz w:val="32"/>
          <w:szCs w:val="32"/>
        </w:rPr>
        <w:t>年</w:t>
      </w:r>
      <w:r>
        <w:rPr>
          <w:rFonts w:eastAsia="楷体" w:cs="楷体" w:hint="eastAsia" w:ascii="楷体" w:hAnsi="楷体"/>
          <w:b w:val="false"/>
          <w:bCs/>
          <w:sz w:val="32"/>
          <w:szCs w:val="32"/>
        </w:rPr>
        <w:t>7</w:t>
      </w:r>
      <w:r>
        <w:rPr>
          <w:rFonts w:ascii="楷体" w:hAnsi="楷体" w:cs="楷体" w:hint="eastAsia" w:eastAsia="楷体"/>
          <w:b w:val="false"/>
          <w:bCs/>
          <w:sz w:val="32"/>
          <w:szCs w:val="32"/>
        </w:rPr>
        <w:t>月</w:t>
      </w:r>
      <w:r>
        <w:rPr>
          <w:rFonts w:eastAsia="楷体" w:cs="楷体" w:hint="eastAsia" w:ascii="楷体" w:hAnsi="楷体"/>
          <w:b w:val="false"/>
          <w:bCs/>
          <w:sz w:val="32"/>
          <w:szCs w:val="32"/>
        </w:rPr>
        <w:t>29</w:t>
      </w:r>
      <w:r>
        <w:rPr>
          <w:rFonts w:ascii="楷体" w:hAnsi="楷体" w:cs="楷体" w:hint="eastAsia" w:eastAsia="楷体"/>
          <w:b w:val="false"/>
          <w:bCs/>
          <w:sz w:val="32"/>
          <w:szCs w:val="32"/>
        </w:rPr>
        <w:t>日河北省第十三届人民代表大会</w:t>
      </w:r>
      <w:r>
        <w:rPr>
          <w:rFonts w:eastAsia="楷体" w:cs="楷体" w:hint="eastAsia" w:ascii="楷体" w:hAnsi="楷体"/>
          <w:b w:val="false"/>
          <w:bCs/>
          <w:sz w:val="32"/>
          <w:szCs w:val="32"/>
        </w:rPr>
        <w:br/>
      </w:r>
      <w:r>
        <w:rPr>
          <w:rFonts w:ascii="楷体" w:hAnsi="楷体" w:cs="楷体" w:hint="eastAsia" w:eastAsia="楷体"/>
          <w:b w:val="false"/>
          <w:bCs/>
          <w:sz w:val="32"/>
          <w:szCs w:val="32"/>
        </w:rPr>
        <w:t>常务委员会第二十四次会议通过）</w:t>
      </w:r>
    </w:p>
    <w:p>
      <w:pPr>
        <w:pStyle w:val="Style15"/>
        <w:keepNext w:val="false"/>
        <w:keepLines w:val="false"/>
        <w:widowControl/>
        <w:suppressLineNumbers w:val="0"/>
        <w:spacing w:lineRule="auto" w:line="360"/>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Style15"/>
        <w:keepNext w:val="false"/>
        <w:keepLines w:val="false"/>
        <w:pageBreakBefore w:val="false"/>
        <w:widowControl/>
        <w:suppressLineNumbers w:val="0"/>
        <w:kinsoku w:val="true"/>
        <w:overflowPunct w:val="true"/>
        <w:autoSpaceDE w:val="true"/>
        <w:bidi w:val="0"/>
        <w:snapToGrid w:val="true"/>
        <w:spacing w:lineRule="exact" w:line="56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　　河北省第十三届人民代表大会常务委员会第二十四次会议审议了河北省人民政府提交的关于《河北省契税适用税率等有关事项方案（草案）》的议案，根据《中华人民共和国契税法》授权规定，结合本省实际，决定如下</w:t>
      </w:r>
      <w:r>
        <w:rPr>
          <w:rFonts w:eastAsia="仿宋" w:cs="仿宋" w:hint="eastAsia" w:ascii="仿宋" w:hAnsi="仿宋"/>
          <w:b w:val="false"/>
          <w:bCs/>
          <w:sz w:val="32"/>
          <w:szCs w:val="32"/>
        </w:rPr>
        <w:t>:</w:t>
      </w:r>
    </w:p>
    <w:p>
      <w:pPr>
        <w:pStyle w:val="Style15"/>
        <w:keepNext w:val="false"/>
        <w:keepLines w:val="false"/>
        <w:pageBreakBefore w:val="false"/>
        <w:widowControl/>
        <w:suppressLineNumbers w:val="0"/>
        <w:kinsoku w:val="true"/>
        <w:overflowPunct w:val="true"/>
        <w:autoSpaceDE w:val="true"/>
        <w:bidi w:val="0"/>
        <w:snapToGrid w:val="true"/>
        <w:spacing w:lineRule="exact" w:line="56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　　一、本省契税适用税率为百分之四。其中，个人购买普通住房适用税率为百分之三。</w:t>
      </w:r>
    </w:p>
    <w:p>
      <w:pPr>
        <w:pStyle w:val="Style15"/>
        <w:keepNext w:val="false"/>
        <w:keepLines w:val="false"/>
        <w:pageBreakBefore w:val="false"/>
        <w:widowControl/>
        <w:suppressLineNumbers w:val="0"/>
        <w:kinsoku w:val="true"/>
        <w:overflowPunct w:val="true"/>
        <w:autoSpaceDE w:val="true"/>
        <w:bidi w:val="0"/>
        <w:snapToGrid w:val="true"/>
        <w:spacing w:lineRule="exact" w:line="56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　　二、因土地、房屋被县级以上人民政府征收、征用，重新承受土地、房屋权属的，对于成交价格不超过补偿部分的免征契税，超出部分征收契税；对于房屋产权调换或土地使用权置换且不支付价格差额的免征契税，支付价格差额的，对价格差额部分征收契税。</w:t>
      </w:r>
    </w:p>
    <w:p>
      <w:pPr>
        <w:pStyle w:val="Style15"/>
        <w:keepNext w:val="false"/>
        <w:keepLines w:val="false"/>
        <w:pageBreakBefore w:val="false"/>
        <w:widowControl/>
        <w:suppressLineNumbers w:val="0"/>
        <w:kinsoku w:val="true"/>
        <w:overflowPunct w:val="true"/>
        <w:autoSpaceDE w:val="true"/>
        <w:bidi w:val="0"/>
        <w:snapToGrid w:val="true"/>
        <w:spacing w:lineRule="exact" w:line="56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　　三、因不可抗力灭失住房，重新承受住房权属的，免征契税。</w:t>
      </w:r>
    </w:p>
    <w:p>
      <w:pPr>
        <w:pStyle w:val="Style15"/>
        <w:keepNext w:val="false"/>
        <w:keepLines w:val="false"/>
        <w:pageBreakBefore w:val="false"/>
        <w:widowControl/>
        <w:suppressLineNumbers w:val="0"/>
        <w:kinsoku w:val="true"/>
        <w:overflowPunct w:val="true"/>
        <w:autoSpaceDE w:val="true"/>
        <w:bidi w:val="0"/>
        <w:snapToGrid w:val="true"/>
        <w:spacing w:lineRule="exact" w:line="56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　　四、本决定自</w:t>
      </w:r>
      <w:r>
        <w:rPr>
          <w:rFonts w:eastAsia="仿宋" w:cs="仿宋" w:hint="eastAsia" w:ascii="仿宋" w:hAnsi="仿宋"/>
          <w:b w:val="false"/>
          <w:bCs/>
          <w:sz w:val="32"/>
          <w:szCs w:val="32"/>
        </w:rPr>
        <w:t>2021</w:t>
      </w:r>
      <w:r>
        <w:rPr>
          <w:rFonts w:ascii="仿宋" w:hAnsi="仿宋" w:cs="仿宋" w:hint="eastAsia" w:eastAsia="仿宋"/>
          <w:b w:val="false"/>
          <w:bCs/>
          <w:sz w:val="32"/>
          <w:szCs w:val="32"/>
        </w:rPr>
        <w:t>年</w:t>
      </w:r>
      <w:r>
        <w:rPr>
          <w:rFonts w:eastAsia="仿宋" w:cs="仿宋" w:hint="eastAsia" w:ascii="仿宋" w:hAnsi="仿宋"/>
          <w:b w:val="false"/>
          <w:bCs/>
          <w:sz w:val="32"/>
          <w:szCs w:val="32"/>
        </w:rPr>
        <w:t>9</w:t>
      </w:r>
      <w:r>
        <w:rPr>
          <w:rFonts w:ascii="仿宋" w:hAnsi="仿宋" w:cs="仿宋" w:hint="eastAsia" w:eastAsia="仿宋"/>
          <w:b w:val="false"/>
          <w:bCs/>
          <w:sz w:val="32"/>
          <w:szCs w:val="32"/>
        </w:rPr>
        <w:t>月</w:t>
      </w:r>
      <w:r>
        <w:rPr>
          <w:rFonts w:eastAsia="仿宋" w:cs="仿宋" w:hint="eastAsia" w:ascii="仿宋" w:hAnsi="仿宋"/>
          <w:b w:val="false"/>
          <w:bCs/>
          <w:sz w:val="32"/>
          <w:szCs w:val="32"/>
        </w:rPr>
        <w:t>1</w:t>
      </w:r>
      <w:r>
        <w:rPr>
          <w:rFonts w:ascii="仿宋" w:hAnsi="仿宋" w:cs="仿宋" w:hint="eastAsia" w:eastAsia="仿宋"/>
          <w:b w:val="false"/>
          <w:bCs/>
          <w:sz w:val="32"/>
          <w:szCs w:val="32"/>
        </w:rPr>
        <w:t>日起施行。《河北省契税实施办法》（河北省人民政府令〔</w:t>
      </w:r>
      <w:r>
        <w:rPr>
          <w:rFonts w:eastAsia="仿宋" w:cs="仿宋" w:hint="eastAsia" w:ascii="仿宋" w:hAnsi="仿宋"/>
          <w:b w:val="false"/>
          <w:bCs/>
          <w:sz w:val="32"/>
          <w:szCs w:val="32"/>
        </w:rPr>
        <w:t>2002</w:t>
      </w:r>
      <w:r>
        <w:rPr>
          <w:rFonts w:ascii="仿宋" w:hAnsi="仿宋" w:cs="仿宋" w:hint="eastAsia" w:eastAsia="仿宋"/>
          <w:b w:val="false"/>
          <w:bCs/>
          <w:sz w:val="32"/>
          <w:szCs w:val="32"/>
        </w:rPr>
        <w:t>〕第</w:t>
      </w:r>
      <w:r>
        <w:rPr>
          <w:rFonts w:eastAsia="仿宋" w:cs="仿宋" w:hint="eastAsia" w:ascii="仿宋" w:hAnsi="仿宋"/>
          <w:b w:val="false"/>
          <w:bCs/>
          <w:sz w:val="32"/>
          <w:szCs w:val="32"/>
        </w:rPr>
        <w:t>14</w:t>
      </w:r>
      <w:r>
        <w:rPr>
          <w:rFonts w:ascii="仿宋" w:hAnsi="仿宋" w:cs="仿宋" w:hint="eastAsia" w:eastAsia="仿宋"/>
          <w:b w:val="false"/>
          <w:bCs/>
          <w:sz w:val="32"/>
          <w:szCs w:val="32"/>
        </w:rPr>
        <w:t>号）同时废止。</w:t>
      </w:r>
    </w:p>
    <w:sectPr>
      <w:type w:val="nextPage"/>
      <w:pgSz w:w="11906" w:h="16838"/>
      <w:pgMar w:left="1531" w:right="1531"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方正小标宋_GBK">
    <w:altName w:val="微软雅黑"/>
    <w:charset w:val="86"/>
    <w:family w:val="auto"/>
    <w:pitch w:val="default"/>
  </w:font>
  <w:font w:name="楷体">
    <w:charset w:val="86"/>
    <w:family w:val="auto"/>
    <w:pitch w:val="default"/>
  </w:font>
  <w:font w:name="仿宋">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lineRule="auto" w:line="432" w:before="0" w:after="0"/>
      <w:ind w:hanging="0" w:start="0" w:end="0"/>
      <w:jc w:val="start"/>
    </w:pPr>
    <w:rPr>
      <w:rFonts w:ascii="宋体" w:hAnsi="宋体" w:eastAsia="宋体" w:cs="宋体" w:hint="eastAsia"/>
      <w:kern w:val="0"/>
      <w:sz w:val="24"/>
      <w:szCs w:val="24"/>
      <w:lang w:bidi="a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PC400</cp:lastModifiedBy>
  <dcterms:modified xsi:type="dcterms:W3CDTF">2021-09-17T11:27:39Z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98051A0D23A64366954354AF424504EC</vt:lpwstr>
  </property>
  <property fmtid="{D5CDD505-2E9C-101B-9397-08002B2CF9AE}" pid="3" name="KSOProductBuildVer">
    <vt:lpwstr>2052-11.1.0.10938</vt:lpwstr>
  </property>
</Properties>
</file>