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cs="方正小标宋简体" w:hint="eastAsia"/>
          <w:color w:val="000000"/>
          <w:sz w:val="44"/>
          <w:szCs w:val="44"/>
        </w:rPr>
      </w:pPr>
      <w:r>
        <w:rPr>
          <w:rFonts w:ascii="方正小标宋简体" w:hAnsi="方正小标宋简体" w:cs="微软简标宋" w:hint="eastAsia" w:eastAsia="方正小标宋简体"/>
          <w:sz w:val="44"/>
          <w:szCs w:val="44"/>
        </w:rPr>
        <w:t>海口市烟花爆竹管理若干规定</w:t>
      </w:r>
    </w:p>
    <w:p>
      <w:pPr>
        <w:pStyle w:val="Normal"/>
        <w:ind w:firstLineChars="200" w:startChars="0" w:start="0" w:endChars="0" w:end="0"/>
        <w:rPr>
          <w:rFonts w:ascii="楷体_GB2312;楷体" w:hAnsi="楷体_GB2312;楷体" w:eastAsia="楷体_GB2312;楷体" w:cs="楷体_GB2312;楷体" w:hint="eastAsia"/>
          <w:color w:val="000000"/>
          <w:sz w:val="30"/>
          <w:szCs w:val="30"/>
        </w:rPr>
      </w:pPr>
      <w:r>
        <w:rPr>
          <w:rFonts w:eastAsia="楷体_GB2312;楷体" w:cs="楷体_GB2312;楷体" w:hint="eastAsia" w:ascii="楷体_GB2312;楷体" w:hAnsi="楷体_GB2312;楷体"/>
          <w:color w:val="000000"/>
          <w:sz w:val="30"/>
          <w:szCs w:val="30"/>
        </w:rPr>
      </w:r>
    </w:p>
    <w:p>
      <w:pPr>
        <w:pStyle w:val="Normal"/>
        <w:ind w:firstLineChars="200" w:startChars="0" w:start="0" w:endChars="0" w:end="0"/>
        <w:rPr>
          <w:rFonts w:ascii="楷体_GB2312;楷体" w:hAnsi="楷体_GB2312;楷体" w:eastAsia="楷体_GB2312;楷体" w:cs="Times New Roman"/>
          <w:sz w:val="30"/>
          <w:szCs w:val="30"/>
        </w:rPr>
      </w:pPr>
      <w:r>
        <w:rPr>
          <w:rFonts w:ascii="楷体_GB2312;楷体" w:hAnsi="楷体_GB2312;楷体" w:cs="楷体_GB2312;楷体" w:hint="eastAsia" w:eastAsia="楷体_GB2312;楷体"/>
          <w:sz w:val="30"/>
          <w:szCs w:val="30"/>
        </w:rPr>
        <w:t>（</w:t>
      </w:r>
      <w:r>
        <w:rPr>
          <w:rFonts w:eastAsia="楷体_GB2312;楷体" w:cs="楷体_GB2312;楷体" w:ascii="楷体_GB2312;楷体" w:hAnsi="楷体_GB2312;楷体"/>
          <w:sz w:val="30"/>
          <w:szCs w:val="30"/>
        </w:rPr>
        <w:t>20</w:t>
      </w:r>
      <w:r>
        <w:rPr>
          <w:rFonts w:eastAsia="楷体_GB2312;楷体" w:cs="楷体_GB2312;楷体" w:hint="eastAsia" w:ascii="楷体_GB2312;楷体" w:hAnsi="楷体_GB2312;楷体"/>
          <w:sz w:val="30"/>
          <w:szCs w:val="30"/>
        </w:rPr>
        <w:t>20</w:t>
      </w:r>
      <w:r>
        <w:rPr>
          <w:rFonts w:ascii="楷体_GB2312;楷体" w:hAnsi="楷体_GB2312;楷体" w:cs="楷体_GB2312;楷体" w:hint="eastAsia" w:eastAsia="楷体_GB2312;楷体"/>
          <w:sz w:val="30"/>
          <w:szCs w:val="30"/>
        </w:rPr>
        <w:t>年</w:t>
      </w:r>
      <w:r>
        <w:rPr>
          <w:rFonts w:eastAsia="楷体_GB2312;楷体" w:cs="楷体_GB2312;楷体" w:hint="eastAsia" w:ascii="楷体_GB2312;楷体" w:hAnsi="楷体_GB2312;楷体"/>
          <w:sz w:val="30"/>
          <w:szCs w:val="30"/>
        </w:rPr>
        <w:t>9</w:t>
      </w:r>
      <w:r>
        <w:rPr>
          <w:rFonts w:ascii="楷体_GB2312;楷体" w:hAnsi="楷体_GB2312;楷体" w:cs="楷体_GB2312;楷体" w:hint="eastAsia" w:eastAsia="楷体_GB2312;楷体"/>
          <w:sz w:val="30"/>
          <w:szCs w:val="30"/>
        </w:rPr>
        <w:t>月</w:t>
      </w:r>
      <w:r>
        <w:rPr>
          <w:rFonts w:eastAsia="楷体_GB2312;楷体" w:cs="楷体_GB2312;楷体" w:hint="eastAsia" w:ascii="楷体_GB2312;楷体" w:hAnsi="楷体_GB2312;楷体"/>
          <w:sz w:val="30"/>
          <w:szCs w:val="30"/>
        </w:rPr>
        <w:t>17</w:t>
      </w:r>
      <w:r>
        <w:rPr>
          <w:rFonts w:ascii="楷体_GB2312;楷体" w:hAnsi="楷体_GB2312;楷体" w:cs="楷体_GB2312;楷体" w:hint="eastAsia" w:eastAsia="楷体_GB2312;楷体"/>
          <w:sz w:val="30"/>
          <w:szCs w:val="30"/>
        </w:rPr>
        <w:t xml:space="preserve">日海口市第十六届人民代表大会常务委员会第四十次会议通过  </w:t>
      </w:r>
      <w:r>
        <w:rPr>
          <w:rFonts w:eastAsia="楷体_GB2312;楷体" w:cs="楷体_GB2312;楷体" w:ascii="楷体_GB2312;楷体" w:hAnsi="楷体_GB2312;楷体"/>
          <w:sz w:val="30"/>
          <w:szCs w:val="30"/>
        </w:rPr>
        <w:t>20</w:t>
      </w:r>
      <w:r>
        <w:rPr>
          <w:rFonts w:eastAsia="楷体_GB2312;楷体" w:cs="楷体_GB2312;楷体" w:hint="eastAsia" w:ascii="楷体_GB2312;楷体" w:hAnsi="楷体_GB2312;楷体"/>
          <w:sz w:val="30"/>
          <w:szCs w:val="30"/>
        </w:rPr>
        <w:t>20</w:t>
      </w:r>
      <w:r>
        <w:rPr>
          <w:rFonts w:ascii="楷体_GB2312;楷体" w:hAnsi="楷体_GB2312;楷体" w:cs="楷体_GB2312;楷体" w:hint="eastAsia" w:eastAsia="楷体_GB2312;楷体"/>
          <w:sz w:val="30"/>
          <w:szCs w:val="30"/>
        </w:rPr>
        <w:t>年</w:t>
      </w:r>
      <w:r>
        <w:rPr>
          <w:rFonts w:eastAsia="楷体_GB2312;楷体" w:cs="楷体_GB2312;楷体" w:hint="eastAsia" w:ascii="楷体_GB2312;楷体" w:hAnsi="楷体_GB2312;楷体"/>
          <w:sz w:val="30"/>
          <w:szCs w:val="30"/>
        </w:rPr>
        <w:t>9</w:t>
      </w:r>
      <w:r>
        <w:rPr>
          <w:rFonts w:ascii="楷体_GB2312;楷体" w:hAnsi="楷体_GB2312;楷体" w:cs="楷体_GB2312;楷体" w:hint="eastAsia" w:eastAsia="楷体_GB2312;楷体"/>
          <w:sz w:val="30"/>
          <w:szCs w:val="30"/>
        </w:rPr>
        <w:t>月</w:t>
      </w:r>
      <w:r>
        <w:rPr>
          <w:rFonts w:eastAsia="楷体_GB2312;楷体" w:cs="楷体_GB2312;楷体" w:hint="eastAsia" w:ascii="楷体_GB2312;楷体" w:hAnsi="楷体_GB2312;楷体"/>
          <w:sz w:val="30"/>
          <w:szCs w:val="30"/>
        </w:rPr>
        <w:t>30</w:t>
      </w:r>
      <w:r>
        <w:rPr>
          <w:rFonts w:ascii="楷体_GB2312;楷体" w:hAnsi="楷体_GB2312;楷体" w:cs="楷体_GB2312;楷体" w:hint="eastAsia" w:eastAsia="楷体_GB2312;楷体"/>
          <w:sz w:val="30"/>
          <w:szCs w:val="30"/>
        </w:rPr>
        <w:t>日海南省第六届人民代表大会常务委员会第二十三次会议批准）</w:t>
      </w:r>
    </w:p>
    <w:p>
      <w:pPr>
        <w:pStyle w:val="Normal"/>
        <w:spacing w:lineRule="exact" w:line="620"/>
        <w:jc w:val="center"/>
        <w:rPr>
          <w:rFonts w:ascii="楷体_GB2312;楷体" w:hAnsi="楷体_GB2312;楷体" w:eastAsia="楷体_GB2312;楷体" w:cs="楷体_GB2312;楷体"/>
          <w:sz w:val="30"/>
          <w:szCs w:val="30"/>
        </w:rPr>
      </w:pPr>
      <w:r>
        <w:rPr>
          <w:rFonts w:eastAsia="楷体_GB2312;楷体" w:cs="楷体_GB2312;楷体" w:ascii="楷体_GB2312;楷体" w:hAnsi="楷体_GB2312;楷体"/>
          <w:sz w:val="30"/>
          <w:szCs w:val="30"/>
        </w:rPr>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rPr>
        <w:t>第一条</w:t>
      </w:r>
      <w:r>
        <w:rPr/>
        <w:t xml:space="preserve">  </w:t>
      </w:r>
      <w:r>
        <w:rPr>
          <w:rFonts w:hint="eastAsia"/>
        </w:rPr>
        <w:t>为</w:t>
      </w:r>
      <w:r>
        <w:rPr>
          <w:rFonts w:cs="黑体;SimHei" w:hint="eastAsia"/>
        </w:rPr>
        <w:t>了</w:t>
      </w:r>
      <w:r>
        <w:rPr>
          <w:rFonts w:hint="eastAsia"/>
        </w:rPr>
        <w:t>加强烟花爆竹管理，</w:t>
      </w:r>
      <w:r>
        <w:rPr>
          <w:rFonts w:cs="黑体;SimHei" w:hint="eastAsia"/>
        </w:rPr>
        <w:t>保护和改善生态环境，</w:t>
      </w:r>
      <w:r>
        <w:rPr>
          <w:rFonts w:hint="eastAsia"/>
        </w:rPr>
        <w:t>保</w:t>
      </w:r>
      <w:r>
        <w:rPr>
          <w:rFonts w:hint="eastAsia"/>
          <w:color w:val="000000"/>
        </w:rPr>
        <w:t>障公共安全和公民人身、财产安全，根据《中华人民共和国大气污染防治法》</w:t>
      </w:r>
      <w:r>
        <w:rPr>
          <w:rFonts w:cs="黑体;SimHei" w:hint="eastAsia"/>
          <w:color w:val="000000"/>
        </w:rPr>
        <w:t>、国务院</w:t>
      </w:r>
      <w:r>
        <w:rPr>
          <w:rFonts w:hint="eastAsia"/>
          <w:color w:val="000000"/>
        </w:rPr>
        <w:t>《烟花爆竹安全管理条例》等有关法律、法规，结合本市实际，制定本规定。</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第二条</w:t>
      </w:r>
      <w:r>
        <w:rPr>
          <w:color w:val="000000"/>
        </w:rPr>
        <w:t xml:space="preserve">  </w:t>
      </w:r>
      <w:r>
        <w:rPr>
          <w:rFonts w:hint="eastAsia"/>
          <w:color w:val="000000"/>
        </w:rPr>
        <w:t>本市行政区域内烟花爆竹的生产、经营、运输和燃放等管理活动，适用本规定。</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第三条</w:t>
      </w:r>
      <w:r>
        <w:rPr>
          <w:color w:val="000000"/>
        </w:rPr>
        <w:t xml:space="preserve">  </w:t>
      </w:r>
      <w:r>
        <w:rPr>
          <w:rFonts w:hint="eastAsia"/>
          <w:color w:val="000000"/>
        </w:rPr>
        <w:t>市、区人民政府应当加强对烟花爆竹管理工作的领导，建立烟花爆竹管理协调机制，统筹解决烟花爆竹管理工作中的重大事项。</w:t>
      </w:r>
    </w:p>
    <w:p>
      <w:pPr>
        <w:pStyle w:val="Normal"/>
        <w:spacing w:lineRule="exact" w:line="580"/>
        <w:ind w:firstLineChars="200" w:startChars="0" w:start="0" w:endChars="0" w:end="0"/>
        <w:rPr>
          <w:rFonts w:cs="Times New Roman"/>
          <w:color w:val="000000"/>
        </w:rPr>
      </w:pPr>
      <w:r>
        <w:rPr>
          <w:rFonts w:cs="黑体;SimHei" w:hint="eastAsia"/>
          <w:color w:val="000000"/>
        </w:rPr>
        <w:t>应急管理行政主管部门负责烟花爆竹安全生产的监督管理；公安部门负责烟花爆竹的公共安全管理；生态环境行政主管部门负责对烟花爆竹污染防治实施统一监督管理。</w:t>
      </w:r>
    </w:p>
    <w:p>
      <w:pPr>
        <w:pStyle w:val="Normal"/>
        <w:spacing w:lineRule="exact" w:line="580"/>
        <w:ind w:firstLineChars="200" w:startChars="0" w:start="0" w:endChars="0" w:end="0"/>
        <w:rPr>
          <w:rFonts w:cs="Times New Roman"/>
          <w:color w:val="000000"/>
        </w:rPr>
      </w:pPr>
      <w:r>
        <w:rPr>
          <w:rFonts w:cs="黑体;SimHei" w:hint="eastAsia"/>
          <w:color w:val="000000"/>
        </w:rPr>
        <w:t>市场监督管理、综合行政执法等部门应当按照各自职责，做好烟花爆竹管理的相关工作。</w:t>
      </w:r>
    </w:p>
    <w:p>
      <w:pPr>
        <w:pStyle w:val="Normal"/>
        <w:spacing w:lineRule="exact" w:line="580"/>
        <w:ind w:firstLineChars="200" w:startChars="0" w:start="0" w:endChars="0" w:end="0"/>
        <w:rPr>
          <w:rFonts w:cs="Times New Roman"/>
          <w:b/>
          <w:bCs/>
          <w:color w:val="000000"/>
        </w:rPr>
      </w:pPr>
      <w:r>
        <w:rPr>
          <w:rFonts w:ascii="黑体;SimHei" w:hAnsi="黑体;SimHei" w:cs="黑体;SimHei" w:hint="eastAsia" w:eastAsia="黑体;SimHei"/>
          <w:color w:val="000000"/>
        </w:rPr>
        <w:t>第四条</w:t>
      </w:r>
      <w:r>
        <w:rPr>
          <w:color w:val="000000"/>
        </w:rPr>
        <w:t xml:space="preserve">  </w:t>
      </w:r>
      <w:r>
        <w:rPr>
          <w:rFonts w:cs="黑体;SimHei" w:hint="eastAsia"/>
          <w:color w:val="000000"/>
        </w:rPr>
        <w:t>镇人民政府、街道办事处应当将烟花爆竹管理纳入社会治理工作，加强组织协调和指导监督。</w:t>
      </w:r>
    </w:p>
    <w:p>
      <w:pPr>
        <w:pStyle w:val="Normal"/>
        <w:spacing w:lineRule="exact" w:line="580"/>
        <w:ind w:firstLineChars="200" w:startChars="0" w:start="0" w:endChars="0" w:end="0"/>
        <w:rPr>
          <w:rFonts w:cs="Times New Roman"/>
          <w:color w:val="000000"/>
        </w:rPr>
      </w:pPr>
      <w:r>
        <w:rPr>
          <w:rFonts w:cs="黑体;SimHei" w:hint="eastAsia"/>
          <w:color w:val="000000"/>
        </w:rPr>
        <w:t>居（村）民委员会、物业服务企业应当配合做好烟花爆竹管理的相关工作。</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第五条</w:t>
      </w:r>
      <w:r>
        <w:rPr>
          <w:rFonts w:ascii="黑体;SimHei" w:hAnsi="黑体;SimHei" w:cs="黑体;SimHei" w:eastAsia="黑体;SimHei"/>
          <w:color w:val="000000"/>
        </w:rPr>
        <w:t xml:space="preserve">  </w:t>
      </w:r>
      <w:r>
        <w:rPr>
          <w:rFonts w:cs="黑体;SimHei" w:hint="eastAsia"/>
          <w:color w:val="000000"/>
        </w:rPr>
        <w:t>市、区人民政府及其相关部门，镇人民政府、街道办事处应当组织开展烟花爆竹管理的宣传教育，倡导绿色、文明生活方式，鼓励经营、使用电子鞭炮、礼花筒等安全、环保的替代品。</w:t>
      </w:r>
    </w:p>
    <w:p>
      <w:pPr>
        <w:pStyle w:val="Normal"/>
        <w:spacing w:lineRule="exact" w:line="580"/>
        <w:ind w:firstLineChars="200" w:startChars="0" w:start="0" w:endChars="0" w:end="0"/>
        <w:rPr>
          <w:rFonts w:cs="Times New Roman"/>
          <w:color w:val="000000"/>
        </w:rPr>
      </w:pPr>
      <w:r>
        <w:rPr>
          <w:rFonts w:cs="楷体" w:hint="eastAsia"/>
          <w:color w:val="000000"/>
        </w:rPr>
        <w:t>居（村）民委员会、物业服务企业应当加强对居民、村民、业主的宣传教育，引导移风易俗。</w:t>
      </w:r>
    </w:p>
    <w:p>
      <w:pPr>
        <w:pStyle w:val="Normal"/>
        <w:spacing w:lineRule="exact" w:line="580"/>
        <w:ind w:firstLineChars="200" w:startChars="0" w:start="0" w:endChars="0" w:end="0"/>
        <w:rPr>
          <w:rFonts w:cs="Times New Roman"/>
          <w:color w:val="000000"/>
        </w:rPr>
      </w:pPr>
      <w:r>
        <w:rPr>
          <w:rFonts w:cs="黑体;SimHei" w:hint="eastAsia"/>
          <w:color w:val="000000"/>
        </w:rPr>
        <w:t>广播、电视、报刊、网络等媒体和电信运营商应当做好烟花爆竹管理和移风易俗的公益宣传。</w:t>
      </w:r>
    </w:p>
    <w:p>
      <w:pPr>
        <w:pStyle w:val="Normal"/>
        <w:spacing w:lineRule="exact" w:line="580"/>
        <w:ind w:firstLineChars="200" w:startChars="0" w:start="0" w:endChars="0" w:end="0"/>
        <w:rPr>
          <w:rFonts w:cs="Times New Roman"/>
          <w:color w:val="000000"/>
        </w:rPr>
      </w:pPr>
      <w:r>
        <w:rPr>
          <w:rFonts w:cs="黑体;SimHei" w:hint="eastAsia"/>
          <w:color w:val="000000"/>
        </w:rPr>
        <w:t>学校和未成年人的监护人应当对未成年人进行烟花爆竹管理的宣传教育。</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第六条</w:t>
      </w:r>
      <w:r>
        <w:rPr>
          <w:color w:val="000000"/>
        </w:rPr>
        <w:t xml:space="preserve">  </w:t>
      </w:r>
      <w:r>
        <w:rPr>
          <w:rFonts w:hint="eastAsia"/>
          <w:color w:val="000000"/>
        </w:rPr>
        <w:t>本市下列区域禁止燃放烟花爆竹</w:t>
      </w:r>
      <w:r>
        <w:rPr>
          <w:rFonts w:cs="黑体;SimHei" w:hint="eastAsia"/>
          <w:color w:val="000000"/>
        </w:rPr>
        <w:t>：</w:t>
      </w:r>
    </w:p>
    <w:p>
      <w:pPr>
        <w:pStyle w:val="Normal"/>
        <w:spacing w:lineRule="exact" w:line="580"/>
        <w:ind w:firstLineChars="200" w:startChars="0" w:start="0" w:endChars="0" w:end="0"/>
        <w:rPr>
          <w:rFonts w:cs="Times New Roman"/>
          <w:color w:val="000000"/>
        </w:rPr>
      </w:pPr>
      <w:r>
        <w:rPr>
          <w:rFonts w:cs="楷体" w:hint="eastAsia"/>
          <w:color w:val="000000"/>
        </w:rPr>
        <w:t>（一）绕城高速公路、</w:t>
      </w:r>
      <w:r>
        <w:rPr>
          <w:rFonts w:cs="楷体"/>
          <w:color w:val="000000"/>
        </w:rPr>
        <w:t>212</w:t>
      </w:r>
      <w:r>
        <w:rPr>
          <w:rFonts w:cs="楷体" w:hint="eastAsia"/>
          <w:color w:val="000000"/>
        </w:rPr>
        <w:t>省道以北与海口市东、西行政界线围合的区域；</w:t>
      </w:r>
    </w:p>
    <w:p>
      <w:pPr>
        <w:pStyle w:val="Normal"/>
        <w:spacing w:lineRule="exact" w:line="580"/>
        <w:ind w:firstLineChars="200" w:startChars="0" w:start="0" w:endChars="0" w:end="0"/>
        <w:rPr>
          <w:rFonts w:cs="Times New Roman"/>
          <w:color w:val="000000"/>
        </w:rPr>
      </w:pPr>
      <w:r>
        <w:rPr>
          <w:rFonts w:cs="楷体" w:hint="eastAsia"/>
          <w:color w:val="000000"/>
        </w:rPr>
        <w:t>（二）</w:t>
      </w:r>
      <w:r>
        <w:rPr>
          <w:rFonts w:cs="黑体;SimHei" w:hint="eastAsia"/>
          <w:color w:val="000000"/>
        </w:rPr>
        <w:t>由市人民政府划定并向社会公布的其他区域。</w:t>
      </w:r>
    </w:p>
    <w:p>
      <w:pPr>
        <w:pStyle w:val="Normal"/>
        <w:spacing w:lineRule="exact" w:line="580"/>
        <w:ind w:firstLineChars="200" w:startChars="0" w:start="0" w:endChars="0" w:end="0"/>
        <w:rPr>
          <w:rFonts w:cs="Times New Roman"/>
          <w:color w:val="000000"/>
        </w:rPr>
      </w:pPr>
      <w:r>
        <w:rPr>
          <w:rFonts w:cs="楷体" w:hint="eastAsia"/>
          <w:color w:val="000000"/>
        </w:rPr>
        <w:t>禁止燃放烟花爆竹的区域范围应当依法合理逐步扩大至本市行政区域。</w:t>
      </w:r>
    </w:p>
    <w:p>
      <w:pPr>
        <w:pStyle w:val="Normal"/>
        <w:spacing w:lineRule="exact" w:line="580"/>
        <w:ind w:firstLineChars="200" w:startChars="0" w:start="0" w:endChars="0" w:end="0"/>
        <w:rPr>
          <w:rFonts w:cs="Times New Roman"/>
          <w:color w:val="000000"/>
        </w:rPr>
      </w:pPr>
      <w:r>
        <w:rPr>
          <w:rFonts w:hint="eastAsia"/>
          <w:color w:val="000000"/>
        </w:rPr>
        <w:t>市人民政府可以根据</w:t>
      </w:r>
      <w:r>
        <w:rPr>
          <w:rFonts w:cs="黑体;SimHei" w:hint="eastAsia"/>
          <w:color w:val="000000"/>
        </w:rPr>
        <w:t>重污染</w:t>
      </w:r>
      <w:r>
        <w:rPr>
          <w:rFonts w:hint="eastAsia"/>
          <w:color w:val="000000"/>
        </w:rPr>
        <w:t>天气预警情况，</w:t>
      </w:r>
      <w:r>
        <w:rPr>
          <w:rFonts w:cs="黑体;SimHei" w:hint="eastAsia"/>
          <w:color w:val="000000"/>
        </w:rPr>
        <w:t>在本</w:t>
      </w:r>
      <w:r>
        <w:rPr>
          <w:rFonts w:hint="eastAsia"/>
          <w:color w:val="000000"/>
        </w:rPr>
        <w:t>市行政区域范围内</w:t>
      </w:r>
      <w:r>
        <w:rPr>
          <w:rFonts w:cs="黑体;SimHei" w:hint="eastAsia"/>
          <w:color w:val="000000"/>
        </w:rPr>
        <w:t>采取全面</w:t>
      </w:r>
      <w:r>
        <w:rPr>
          <w:rFonts w:hint="eastAsia"/>
          <w:color w:val="000000"/>
        </w:rPr>
        <w:t>禁止燃放烟花爆竹</w:t>
      </w:r>
      <w:r>
        <w:rPr>
          <w:rFonts w:cs="黑体;SimHei" w:hint="eastAsia"/>
          <w:color w:val="000000"/>
        </w:rPr>
        <w:t>的应急</w:t>
      </w:r>
      <w:r>
        <w:rPr>
          <w:rFonts w:hint="eastAsia"/>
          <w:color w:val="000000"/>
        </w:rPr>
        <w:t>措施。</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第七条</w:t>
      </w:r>
      <w:r>
        <w:rPr>
          <w:color w:val="000000"/>
        </w:rPr>
        <w:t xml:space="preserve">  </w:t>
      </w:r>
      <w:r>
        <w:rPr>
          <w:rFonts w:cs="黑体;SimHei" w:hint="eastAsia"/>
          <w:color w:val="000000"/>
        </w:rPr>
        <w:t>本规定第六条规定区域以外</w:t>
      </w:r>
      <w:r>
        <w:rPr>
          <w:rFonts w:hint="eastAsia"/>
          <w:color w:val="000000"/>
        </w:rPr>
        <w:t>的下列地点</w:t>
      </w:r>
      <w:r>
        <w:rPr>
          <w:rFonts w:cs="黑体;SimHei" w:hint="eastAsia"/>
          <w:color w:val="000000"/>
        </w:rPr>
        <w:t>，禁止燃放烟花爆竹：</w:t>
      </w:r>
    </w:p>
    <w:p>
      <w:pPr>
        <w:pStyle w:val="Normal"/>
        <w:spacing w:lineRule="exact" w:line="580"/>
        <w:ind w:firstLineChars="200" w:startChars="0" w:start="0" w:endChars="0" w:end="0"/>
        <w:rPr>
          <w:rFonts w:cs="Times New Roman"/>
          <w:color w:val="000000"/>
        </w:rPr>
      </w:pPr>
      <w:r>
        <w:rPr>
          <w:rFonts w:hint="eastAsia"/>
          <w:color w:val="000000"/>
        </w:rPr>
        <w:t>（一）国家机关、档案馆、图书馆、博物馆、文化馆、体育馆以及文物保护单位</w:t>
      </w:r>
      <w:r>
        <w:rPr>
          <w:rFonts w:cs="黑体;SimHei" w:hint="eastAsia"/>
          <w:color w:val="000000"/>
        </w:rPr>
        <w:t>所在地</w:t>
      </w:r>
      <w:r>
        <w:rPr>
          <w:rFonts w:hint="eastAsia"/>
          <w:color w:val="000000"/>
        </w:rPr>
        <w:t>；</w:t>
      </w:r>
    </w:p>
    <w:p>
      <w:pPr>
        <w:pStyle w:val="Normal"/>
        <w:spacing w:lineRule="exact" w:line="580"/>
        <w:ind w:firstLineChars="200" w:startChars="0" w:start="0" w:endChars="0" w:end="0"/>
        <w:rPr>
          <w:rFonts w:cs="Times New Roman"/>
          <w:color w:val="000000"/>
        </w:rPr>
      </w:pPr>
      <w:r>
        <w:rPr>
          <w:rFonts w:hint="eastAsia"/>
          <w:color w:val="000000"/>
        </w:rPr>
        <w:t>（二）幼儿园、学校、科研机构；</w:t>
      </w:r>
    </w:p>
    <w:p>
      <w:pPr>
        <w:pStyle w:val="Normal"/>
        <w:spacing w:lineRule="exact" w:line="580"/>
        <w:ind w:firstLineChars="200" w:startChars="0" w:start="0" w:endChars="0" w:end="0"/>
        <w:rPr>
          <w:rFonts w:cs="Times New Roman"/>
          <w:color w:val="000000"/>
        </w:rPr>
      </w:pPr>
      <w:r>
        <w:rPr>
          <w:rFonts w:hint="eastAsia"/>
          <w:color w:val="000000"/>
        </w:rPr>
        <w:t>（三）医疗机构、养老机构；</w:t>
      </w:r>
    </w:p>
    <w:p>
      <w:pPr>
        <w:pStyle w:val="Normal"/>
        <w:spacing w:lineRule="exact" w:line="580"/>
        <w:ind w:firstLineChars="200" w:startChars="0" w:start="0" w:endChars="0" w:end="0"/>
        <w:rPr>
          <w:rFonts w:cs="Times New Roman"/>
          <w:color w:val="000000"/>
        </w:rPr>
      </w:pPr>
      <w:r>
        <w:rPr>
          <w:rFonts w:hint="eastAsia"/>
          <w:color w:val="000000"/>
        </w:rPr>
        <w:t>（四）商业广场、集贸市场、文化娱乐场所；</w:t>
      </w:r>
    </w:p>
    <w:p>
      <w:pPr>
        <w:pStyle w:val="Normal"/>
        <w:spacing w:lineRule="exact" w:line="580"/>
        <w:ind w:firstLineChars="200" w:startChars="0" w:start="0" w:endChars="0" w:end="0"/>
        <w:rPr>
          <w:rFonts w:cs="Times New Roman"/>
          <w:color w:val="000000"/>
        </w:rPr>
      </w:pPr>
      <w:r>
        <w:rPr>
          <w:rFonts w:hint="eastAsia"/>
          <w:color w:val="000000"/>
        </w:rPr>
        <w:t>（五）车站、码头、机场等交通枢纽以及铁路线路安全保护区内；</w:t>
      </w:r>
    </w:p>
    <w:p>
      <w:pPr>
        <w:pStyle w:val="Normal"/>
        <w:spacing w:lineRule="exact" w:line="580"/>
        <w:ind w:firstLineChars="200" w:startChars="0" w:start="0" w:endChars="0" w:end="0"/>
        <w:rPr>
          <w:rFonts w:cs="Times New Roman"/>
          <w:color w:val="000000"/>
        </w:rPr>
      </w:pPr>
      <w:r>
        <w:rPr>
          <w:rFonts w:hint="eastAsia"/>
          <w:color w:val="000000"/>
        </w:rPr>
        <w:t>（六）输变电设施安全保护区内；</w:t>
      </w:r>
    </w:p>
    <w:p>
      <w:pPr>
        <w:pStyle w:val="Normal"/>
        <w:spacing w:lineRule="exact" w:line="580"/>
        <w:ind w:firstLineChars="200" w:startChars="0" w:start="0" w:endChars="0" w:end="0"/>
        <w:rPr>
          <w:rFonts w:cs="Times New Roman"/>
          <w:color w:val="000000"/>
          <w:spacing w:val="-10"/>
          <w:kern w:val="0"/>
        </w:rPr>
      </w:pPr>
      <w:r>
        <w:rPr>
          <w:rFonts w:hint="eastAsia"/>
          <w:color w:val="000000"/>
        </w:rPr>
        <w:t>（七）</w:t>
      </w:r>
      <w:r>
        <w:rPr>
          <w:rFonts w:hint="eastAsia"/>
          <w:color w:val="000000"/>
          <w:spacing w:val="-10"/>
          <w:kern w:val="0"/>
        </w:rPr>
        <w:t>加油站、液化石油气站等易燃易爆物品生产、储存单位；</w:t>
      </w:r>
    </w:p>
    <w:p>
      <w:pPr>
        <w:pStyle w:val="Normal"/>
        <w:spacing w:lineRule="exact" w:line="580"/>
        <w:ind w:firstLineChars="200" w:startChars="0" w:start="0" w:endChars="0" w:end="0"/>
        <w:rPr>
          <w:rFonts w:cs="Times New Roman"/>
          <w:color w:val="000000"/>
        </w:rPr>
      </w:pPr>
      <w:r>
        <w:rPr>
          <w:rFonts w:hint="eastAsia"/>
          <w:color w:val="000000"/>
        </w:rPr>
        <w:t>（八）山林、风景名胜区等重点防火区；</w:t>
      </w:r>
    </w:p>
    <w:p>
      <w:pPr>
        <w:pStyle w:val="Normal"/>
        <w:spacing w:lineRule="exact" w:line="580"/>
        <w:ind w:firstLineChars="200" w:startChars="0" w:start="0" w:endChars="0" w:end="0"/>
        <w:rPr>
          <w:rFonts w:cs="Times New Roman"/>
          <w:color w:val="000000"/>
        </w:rPr>
      </w:pPr>
      <w:r>
        <w:rPr>
          <w:rFonts w:cs="黑体;SimHei" w:hint="eastAsia"/>
          <w:color w:val="000000"/>
        </w:rPr>
        <w:t>（九）法律、法规规定以及市人民政府划定并公布的其他地点</w:t>
      </w:r>
      <w:r>
        <w:rPr>
          <w:rFonts w:hint="eastAsia"/>
          <w:color w:val="000000"/>
        </w:rPr>
        <w:t>。</w:t>
      </w:r>
    </w:p>
    <w:p>
      <w:pPr>
        <w:pStyle w:val="Normal"/>
        <w:spacing w:lineRule="exact" w:line="580"/>
        <w:ind w:firstLineChars="200" w:startChars="0" w:start="0" w:endChars="0" w:end="0"/>
        <w:rPr>
          <w:rFonts w:cs="Times New Roman"/>
          <w:color w:val="000000"/>
        </w:rPr>
      </w:pPr>
      <w:r>
        <w:rPr>
          <w:rFonts w:cs="黑体;SimHei" w:hint="eastAsia"/>
          <w:color w:val="000000"/>
        </w:rPr>
        <w:t>前款规定地点的产权人或者管理人</w:t>
      </w:r>
      <w:r>
        <w:rPr>
          <w:rFonts w:hint="eastAsia"/>
          <w:color w:val="000000"/>
        </w:rPr>
        <w:t>应当</w:t>
      </w:r>
      <w:r>
        <w:rPr>
          <w:rFonts w:cs="黑体;SimHei" w:hint="eastAsia"/>
          <w:color w:val="000000"/>
        </w:rPr>
        <w:t>依法明确该地点的禁止燃放范围并做好管理工作，</w:t>
      </w:r>
      <w:r>
        <w:rPr>
          <w:rFonts w:hint="eastAsia"/>
          <w:color w:val="000000"/>
        </w:rPr>
        <w:t>在出入口或者显著位置设置</w:t>
      </w:r>
      <w:r>
        <w:rPr>
          <w:rFonts w:cs="黑体;SimHei" w:hint="eastAsia"/>
          <w:color w:val="000000"/>
        </w:rPr>
        <w:t>警示标识</w:t>
      </w:r>
      <w:r>
        <w:rPr>
          <w:rFonts w:hint="eastAsia"/>
          <w:color w:val="000000"/>
        </w:rPr>
        <w:t>。</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第八条</w:t>
      </w:r>
      <w:r>
        <w:rPr>
          <w:rFonts w:ascii="黑体;SimHei" w:hAnsi="黑体;SimHei" w:cs="黑体;SimHei" w:eastAsia="黑体;SimHei"/>
          <w:color w:val="000000"/>
        </w:rPr>
        <w:t xml:space="preserve">  </w:t>
      </w:r>
      <w:r>
        <w:rPr>
          <w:rFonts w:cs="黑体;SimHei" w:hint="eastAsia"/>
          <w:color w:val="000000"/>
        </w:rPr>
        <w:t>本规定第六条、第七条规定的禁止燃放烟花爆竹区域和地点以外的其他区域，除农历除夕、正月初一的全天以及其他每日的六时至二十二时外，其他时间禁止燃放烟花爆竹。</w:t>
      </w:r>
    </w:p>
    <w:p>
      <w:pPr>
        <w:pStyle w:val="Normal"/>
        <w:spacing w:lineRule="exact" w:line="580"/>
        <w:ind w:firstLineChars="200" w:startChars="0" w:start="0" w:endChars="0" w:end="0"/>
        <w:rPr>
          <w:rFonts w:cs="Times New Roman"/>
          <w:color w:val="000000"/>
        </w:rPr>
      </w:pPr>
      <w:r>
        <w:rPr>
          <w:rFonts w:cs="黑体;SimHei" w:hint="eastAsia"/>
          <w:color w:val="000000"/>
        </w:rPr>
        <w:t>市人民政府可以根据法律、法规规定，结合实际情况调整前款规定的禁止燃放烟花爆竹时间，并向社会公布。</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第九条</w:t>
      </w:r>
      <w:r>
        <w:rPr>
          <w:rFonts w:ascii="黑体;SimHei" w:hAnsi="黑体;SimHei" w:cs="黑体;SimHei" w:eastAsia="黑体;SimHei"/>
          <w:color w:val="000000"/>
        </w:rPr>
        <w:t xml:space="preserve">  </w:t>
      </w:r>
      <w:r>
        <w:rPr>
          <w:rFonts w:cs="黑体;SimHei" w:hint="eastAsia"/>
          <w:color w:val="000000"/>
        </w:rPr>
        <w:t>禁止以下列方式燃放烟花爆竹：</w:t>
      </w:r>
    </w:p>
    <w:p>
      <w:pPr>
        <w:pStyle w:val="Normal"/>
        <w:spacing w:lineRule="exact" w:line="580"/>
        <w:ind w:firstLineChars="200" w:startChars="0" w:start="0" w:endChars="0" w:end="0"/>
        <w:rPr>
          <w:rFonts w:cs="Times New Roman"/>
          <w:color w:val="000000"/>
        </w:rPr>
      </w:pPr>
      <w:r>
        <w:rPr>
          <w:rFonts w:cs="黑体;SimHei" w:hint="eastAsia"/>
          <w:color w:val="000000"/>
        </w:rPr>
        <w:t>（一）向行人、车辆、易燃易爆物品、建筑物和人群密集场所抛掷；</w:t>
      </w:r>
    </w:p>
    <w:p>
      <w:pPr>
        <w:pStyle w:val="Normal"/>
        <w:spacing w:lineRule="exact" w:line="580"/>
        <w:ind w:firstLineChars="200" w:startChars="0" w:start="0" w:endChars="0" w:end="0"/>
        <w:rPr/>
      </w:pPr>
      <w:r>
        <w:rPr>
          <w:rFonts w:cs="黑体;SimHei" w:hint="eastAsia"/>
          <w:color w:val="000000"/>
        </w:rPr>
        <w:t>（二）在阳台、窗台、室内、楼道、屋顶燃放或者向外抛掷</w:t>
      </w:r>
      <w:r>
        <w:rPr>
          <w:rFonts w:cs="黑体;SimHei"/>
          <w:color w:val="000000"/>
        </w:rPr>
        <w:t>;</w:t>
      </w:r>
    </w:p>
    <w:p>
      <w:pPr>
        <w:pStyle w:val="Normal"/>
        <w:spacing w:lineRule="exact" w:line="580"/>
        <w:ind w:firstLineChars="200" w:startChars="0" w:start="0" w:endChars="0" w:end="0"/>
        <w:rPr>
          <w:rFonts w:cs="Times New Roman"/>
          <w:color w:val="000000"/>
        </w:rPr>
      </w:pPr>
      <w:r>
        <w:rPr>
          <w:rFonts w:cs="黑体;SimHei" w:hint="eastAsia"/>
          <w:color w:val="000000"/>
        </w:rPr>
        <w:t>（三）其他危害公共安全和人身、财产安全的方式。</w:t>
      </w:r>
    </w:p>
    <w:p>
      <w:pPr>
        <w:pStyle w:val="Normal"/>
        <w:spacing w:lineRule="exact" w:line="580"/>
        <w:ind w:firstLineChars="200" w:startChars="0" w:start="0" w:endChars="0" w:end="0"/>
        <w:rPr>
          <w:rFonts w:cs="Times New Roman"/>
          <w:color w:val="000000"/>
        </w:rPr>
      </w:pPr>
      <w:r>
        <w:rPr>
          <w:rFonts w:cs="黑体;SimHei" w:hint="eastAsia"/>
          <w:color w:val="000000"/>
        </w:rPr>
        <w:t>未成年人燃放烟花爆竹的，应当由监护人或者其委托的其他完全民事行为能力人陪同看护。</w:t>
      </w:r>
    </w:p>
    <w:p>
      <w:pPr>
        <w:pStyle w:val="Normal"/>
        <w:spacing w:lineRule="exact" w:line="580"/>
        <w:ind w:firstLineChars="200" w:startChars="0" w:start="0" w:endChars="0" w:end="0"/>
        <w:rPr>
          <w:rFonts w:cs="Times New Roman"/>
          <w:color w:val="000000"/>
          <w:shd w:fill="FFFFFF" w:val="clear"/>
        </w:rPr>
      </w:pPr>
      <w:r>
        <w:rPr>
          <w:rFonts w:ascii="黑体;SimHei" w:hAnsi="黑体;SimHei" w:cs="黑体;SimHei" w:hint="eastAsia" w:eastAsia="黑体;SimHei"/>
          <w:color w:val="000000"/>
        </w:rPr>
        <w:t>第十条</w:t>
      </w:r>
      <w:r>
        <w:rPr>
          <w:color w:val="000000"/>
        </w:rPr>
        <w:t xml:space="preserve">  </w:t>
      </w:r>
      <w:r>
        <w:rPr>
          <w:rFonts w:cs="黑体;SimHei" w:hint="eastAsia"/>
          <w:color w:val="000000"/>
        </w:rPr>
        <w:t>在重大公共庆典活动和其他节日期间，需要举办焰火晚会或者其他大型焰火燃放活动的</w:t>
      </w:r>
      <w:r>
        <w:rPr>
          <w:rFonts w:hint="eastAsia"/>
          <w:color w:val="000000"/>
        </w:rPr>
        <w:t>，</w:t>
      </w:r>
      <w:r>
        <w:rPr>
          <w:rFonts w:hint="eastAsia"/>
          <w:color w:val="000000"/>
          <w:shd w:fill="FFFFFF" w:val="clear"/>
        </w:rPr>
        <w:t>主办单位应当向公安部门提出申请，经批准后在指定时间、地点燃放</w:t>
      </w:r>
      <w:r>
        <w:rPr>
          <w:rFonts w:hint="eastAsia"/>
          <w:color w:val="000000"/>
        </w:rPr>
        <w:t>。</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第十一条</w:t>
      </w:r>
      <w:r>
        <w:rPr>
          <w:color w:val="000000"/>
        </w:rPr>
        <w:t xml:space="preserve">  </w:t>
      </w:r>
      <w:r>
        <w:rPr>
          <w:rFonts w:hint="eastAsia"/>
          <w:color w:val="000000"/>
        </w:rPr>
        <w:t>在本市经营烟花爆竹应当依法向应急管理行政主管部门申请</w:t>
      </w:r>
      <w:r>
        <w:rPr>
          <w:rFonts w:cs="黑体;SimHei" w:hint="eastAsia"/>
          <w:color w:val="000000"/>
        </w:rPr>
        <w:t>取得烟花爆竹经营许可</w:t>
      </w:r>
      <w:r>
        <w:rPr>
          <w:rFonts w:hint="eastAsia"/>
          <w:color w:val="000000"/>
        </w:rPr>
        <w:t>，并严格按照确定的经营场所、烟花爆竹种类和限制存放量经营，不得采购和销售非法生产、经营的烟花爆竹。</w:t>
      </w:r>
    </w:p>
    <w:p>
      <w:pPr>
        <w:pStyle w:val="Normal"/>
        <w:spacing w:lineRule="exact" w:line="580"/>
        <w:ind w:firstLineChars="200" w:startChars="0" w:start="0" w:endChars="0" w:end="0"/>
        <w:rPr>
          <w:rFonts w:cs="Times New Roman"/>
          <w:color w:val="000000"/>
        </w:rPr>
      </w:pPr>
      <w:r>
        <w:rPr>
          <w:rFonts w:cs="黑体;SimHei" w:hint="eastAsia"/>
          <w:color w:val="000000"/>
        </w:rPr>
        <w:t>应急管理行政主管部门依法变更或者撤回已经生效的烟花爆竹经营许可，造成公民、法人或者其他组织财产损失的，应当依法给予补偿。</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第十二条　</w:t>
      </w:r>
      <w:r>
        <w:rPr>
          <w:rFonts w:cs="黑体;SimHei" w:hint="eastAsia"/>
          <w:color w:val="000000"/>
        </w:rPr>
        <w:t>在本规定第六条、第七条规定的禁止燃放烟花爆竹区域和地点，不得销售烟花爆竹。</w:t>
      </w:r>
    </w:p>
    <w:p>
      <w:pPr>
        <w:pStyle w:val="Normal"/>
        <w:spacing w:lineRule="exact" w:line="580"/>
        <w:ind w:firstLineChars="200" w:startChars="0" w:start="0" w:endChars="0" w:end="0"/>
        <w:rPr>
          <w:rFonts w:ascii="黑体;SimHei" w:hAnsi="黑体;SimHei" w:eastAsia="黑体;SimHei" w:cs="Times New Roman"/>
          <w:color w:val="000000"/>
        </w:rPr>
      </w:pPr>
      <w:r>
        <w:rPr>
          <w:rFonts w:cs="黑体;SimHei" w:hint="eastAsia"/>
          <w:color w:val="000000"/>
        </w:rPr>
        <w:t>本市烟花爆竹经营场所的设置，由市人民政府及其相关部门结合实际情况依法决定。</w:t>
      </w:r>
    </w:p>
    <w:p>
      <w:pPr>
        <w:pStyle w:val="Normal"/>
        <w:spacing w:lineRule="exact" w:line="580"/>
        <w:ind w:firstLineChars="200" w:startChars="0" w:start="0" w:endChars="0" w:end="0"/>
        <w:rPr>
          <w:rFonts w:hint="eastAsia"/>
          <w:color w:val="000000"/>
        </w:rPr>
      </w:pPr>
      <w:r>
        <w:rPr>
          <w:rFonts w:ascii="黑体;SimHei" w:hAnsi="黑体;SimHei" w:cs="黑体;SimHei" w:hint="eastAsia" w:eastAsia="黑体;SimHei"/>
          <w:color w:val="000000"/>
        </w:rPr>
        <w:t>第十三条</w:t>
      </w:r>
      <w:r>
        <w:rPr>
          <w:color w:val="000000"/>
        </w:rPr>
        <w:t xml:space="preserve">  </w:t>
      </w:r>
      <w:r>
        <w:rPr>
          <w:rFonts w:hint="eastAsia"/>
          <w:color w:val="000000"/>
        </w:rPr>
        <w:t>经由道路运输烟花爆竹的，应当</w:t>
      </w:r>
      <w:r>
        <w:rPr>
          <w:rFonts w:cs="黑体;SimHei" w:hint="eastAsia"/>
          <w:color w:val="000000"/>
        </w:rPr>
        <w:t>依法</w:t>
      </w:r>
      <w:r>
        <w:rPr>
          <w:rFonts w:hint="eastAsia"/>
          <w:color w:val="000000"/>
        </w:rPr>
        <w:t>取得公安部门的许可。</w:t>
      </w:r>
    </w:p>
    <w:p>
      <w:pPr>
        <w:pStyle w:val="Normal"/>
        <w:spacing w:lineRule="exact" w:line="580"/>
        <w:ind w:firstLineChars="200" w:startChars="0" w:start="0" w:endChars="0" w:end="0"/>
        <w:rPr>
          <w:rFonts w:cs="Times New Roman"/>
          <w:color w:val="000000"/>
        </w:rPr>
      </w:pPr>
      <w:r>
        <w:rPr>
          <w:rFonts w:hint="eastAsia"/>
          <w:color w:val="000000"/>
        </w:rPr>
        <w:t>经由铁路、水路、航空运输烟花爆竹的，依照铁路、水路、航空运输安全管理的有关法律、法规、规章的规定执行。</w:t>
      </w:r>
    </w:p>
    <w:p>
      <w:pPr>
        <w:pStyle w:val="Normal"/>
        <w:spacing w:lineRule="exact" w:line="580"/>
        <w:ind w:firstLineChars="200" w:startChars="0" w:start="0" w:endChars="0" w:end="0"/>
        <w:rPr/>
      </w:pPr>
      <w:r>
        <w:rPr>
          <w:rFonts w:ascii="黑体;SimHei" w:hAnsi="黑体;SimHei" w:cs="黑体;SimHei" w:hint="eastAsia" w:eastAsia="黑体;SimHei"/>
          <w:color w:val="000000"/>
        </w:rPr>
        <w:t>第十四条</w:t>
      </w:r>
      <w:r>
        <w:rPr>
          <w:color w:val="000000"/>
        </w:rPr>
        <w:t xml:space="preserve">  </w:t>
      </w:r>
      <w:r>
        <w:rPr>
          <w:rFonts w:hint="eastAsia"/>
          <w:color w:val="000000"/>
        </w:rPr>
        <w:t>禁止携带烟花爆竹搭乘公共交通工具。</w:t>
      </w:r>
    </w:p>
    <w:p>
      <w:pPr>
        <w:pStyle w:val="Normal"/>
        <w:spacing w:lineRule="exact" w:line="580"/>
        <w:ind w:firstLineChars="200" w:startChars="0" w:start="0" w:endChars="0" w:end="0"/>
        <w:rPr>
          <w:rFonts w:cs="Times New Roman"/>
          <w:color w:val="000000"/>
        </w:rPr>
      </w:pPr>
      <w:r>
        <w:rPr>
          <w:rFonts w:cs="黑体;SimHei" w:hint="eastAsia"/>
          <w:color w:val="000000"/>
        </w:rPr>
        <w:t>禁止邮寄烟花爆竹，</w:t>
      </w:r>
      <w:r>
        <w:rPr>
          <w:rFonts w:hint="eastAsia"/>
          <w:color w:val="000000"/>
        </w:rPr>
        <w:t>禁止在托运的行李、包裹、邮件中夹带烟花爆竹。</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第十五条</w:t>
      </w:r>
      <w:r>
        <w:rPr>
          <w:color w:val="000000"/>
        </w:rPr>
        <w:t xml:space="preserve">  </w:t>
      </w:r>
      <w:r>
        <w:rPr>
          <w:rFonts w:hint="eastAsia"/>
          <w:color w:val="000000"/>
        </w:rPr>
        <w:t>任何</w:t>
      </w:r>
      <w:r>
        <w:rPr>
          <w:rFonts w:cs="黑体;SimHei" w:hint="eastAsia"/>
          <w:color w:val="000000"/>
        </w:rPr>
        <w:t>单位</w:t>
      </w:r>
      <w:r>
        <w:rPr>
          <w:rFonts w:hint="eastAsia"/>
          <w:color w:val="000000"/>
        </w:rPr>
        <w:t>和个人对违反本规定的行为</w:t>
      </w:r>
      <w:r>
        <w:rPr>
          <w:rFonts w:cs="黑体;SimHei" w:hint="eastAsia"/>
          <w:color w:val="000000"/>
        </w:rPr>
        <w:t>有权</w:t>
      </w:r>
      <w:r>
        <w:rPr>
          <w:rFonts w:hint="eastAsia"/>
          <w:color w:val="000000"/>
        </w:rPr>
        <w:t>进行劝</w:t>
      </w:r>
      <w:r>
        <w:rPr>
          <w:rFonts w:cs="黑体;SimHei" w:hint="eastAsia"/>
          <w:color w:val="000000"/>
        </w:rPr>
        <w:t>阻</w:t>
      </w:r>
      <w:r>
        <w:rPr>
          <w:rFonts w:hint="eastAsia"/>
          <w:color w:val="000000"/>
        </w:rPr>
        <w:t>，并可以</w:t>
      </w:r>
      <w:r>
        <w:rPr>
          <w:rFonts w:cs="黑体;SimHei" w:hint="eastAsia"/>
          <w:color w:val="000000"/>
        </w:rPr>
        <w:t>通过</w:t>
      </w:r>
      <w:r>
        <w:rPr>
          <w:rFonts w:cs="黑体;SimHei"/>
          <w:color w:val="000000"/>
        </w:rPr>
        <w:t>12345</w:t>
      </w:r>
      <w:r>
        <w:rPr>
          <w:rFonts w:cs="黑体;SimHei" w:hint="eastAsia"/>
          <w:color w:val="000000"/>
        </w:rPr>
        <w:t>市民服务热线或者直接</w:t>
      </w:r>
      <w:r>
        <w:rPr>
          <w:rFonts w:hint="eastAsia"/>
          <w:color w:val="000000"/>
        </w:rPr>
        <w:t>向公安等有关部门投诉</w:t>
      </w:r>
      <w:r>
        <w:rPr>
          <w:rFonts w:cs="黑体;SimHei" w:hint="eastAsia"/>
          <w:color w:val="000000"/>
        </w:rPr>
        <w:t>和</w:t>
      </w:r>
      <w:r>
        <w:rPr>
          <w:rFonts w:hint="eastAsia"/>
          <w:color w:val="000000"/>
        </w:rPr>
        <w:t>举报。有关部门应当及时处理，对</w:t>
      </w:r>
      <w:r>
        <w:rPr>
          <w:rFonts w:cs="黑体;SimHei" w:hint="eastAsia"/>
          <w:color w:val="000000"/>
        </w:rPr>
        <w:t>投诉人或者</w:t>
      </w:r>
      <w:r>
        <w:rPr>
          <w:rFonts w:hint="eastAsia"/>
          <w:color w:val="000000"/>
        </w:rPr>
        <w:t>举报人</w:t>
      </w:r>
      <w:r>
        <w:rPr>
          <w:rFonts w:cs="黑体;SimHei" w:hint="eastAsia"/>
          <w:color w:val="000000"/>
        </w:rPr>
        <w:t>的信息予以保密，并</w:t>
      </w:r>
      <w:r>
        <w:rPr>
          <w:rFonts w:hint="eastAsia"/>
          <w:color w:val="000000"/>
        </w:rPr>
        <w:t>可以</w:t>
      </w:r>
      <w:r>
        <w:rPr>
          <w:rFonts w:cs="黑体;SimHei" w:hint="eastAsia"/>
          <w:color w:val="000000"/>
        </w:rPr>
        <w:t>视情形</w:t>
      </w:r>
      <w:r>
        <w:rPr>
          <w:rFonts w:hint="eastAsia"/>
          <w:color w:val="000000"/>
        </w:rPr>
        <w:t>给予适当奖励。</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第十六条</w:t>
      </w:r>
      <w:r>
        <w:rPr>
          <w:color w:val="000000"/>
        </w:rPr>
        <w:t xml:space="preserve">  </w:t>
      </w:r>
      <w:r>
        <w:rPr>
          <w:rFonts w:hint="eastAsia"/>
          <w:color w:val="000000"/>
        </w:rPr>
        <w:t>违反本规定第六条</w:t>
      </w:r>
      <w:r>
        <w:rPr>
          <w:rFonts w:cs="黑体;SimHei" w:hint="eastAsia"/>
          <w:color w:val="000000"/>
        </w:rPr>
        <w:t>至第九条</w:t>
      </w:r>
      <w:r>
        <w:rPr>
          <w:rFonts w:hint="eastAsia"/>
          <w:color w:val="000000"/>
        </w:rPr>
        <w:t>规定，在</w:t>
      </w:r>
      <w:r>
        <w:rPr>
          <w:rFonts w:cs="黑体;SimHei" w:hint="eastAsia"/>
          <w:color w:val="000000"/>
        </w:rPr>
        <w:t>禁止燃放烟花爆竹的区域、地点、时间</w:t>
      </w:r>
      <w:r>
        <w:rPr>
          <w:rFonts w:hint="eastAsia"/>
          <w:color w:val="000000"/>
        </w:rPr>
        <w:t>燃放烟花爆竹，或者以危害公共安全和人身、财产安全的方式燃放烟花爆竹的，由公安部门责令停止燃放，处</w:t>
      </w:r>
      <w:r>
        <w:rPr>
          <w:rFonts w:cs="黑体;SimHei" w:hint="eastAsia"/>
          <w:color w:val="000000"/>
        </w:rPr>
        <w:t>一百元以上五百元以下</w:t>
      </w:r>
      <w:r>
        <w:rPr>
          <w:rFonts w:hint="eastAsia"/>
          <w:color w:val="000000"/>
        </w:rPr>
        <w:t>的罚款；构成违反治安管理行为的，依法给予治安管理处罚。</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第十七条</w:t>
      </w:r>
      <w:r>
        <w:rPr>
          <w:color w:val="000000"/>
        </w:rPr>
        <w:t xml:space="preserve">  </w:t>
      </w:r>
      <w:r>
        <w:rPr>
          <w:rFonts w:hint="eastAsia"/>
          <w:color w:val="000000"/>
        </w:rPr>
        <w:t>违反本规定第十条规定，</w:t>
      </w:r>
      <w:r>
        <w:rPr>
          <w:rFonts w:cs="黑体;SimHei" w:hint="eastAsia"/>
          <w:color w:val="000000"/>
        </w:rPr>
        <w:t>未经许可举办焰火晚会或者其他大型焰火燃放活动的</w:t>
      </w:r>
      <w:r>
        <w:rPr>
          <w:rFonts w:hint="eastAsia"/>
          <w:color w:val="000000"/>
        </w:rPr>
        <w:t>，由公安部门责令停止燃放，对主办单位处</w:t>
      </w:r>
      <w:r>
        <w:rPr>
          <w:rFonts w:cs="黑体;SimHei" w:hint="eastAsia"/>
          <w:color w:val="000000"/>
        </w:rPr>
        <w:t>一万元以上五万元以下</w:t>
      </w:r>
      <w:r>
        <w:rPr>
          <w:rFonts w:hint="eastAsia"/>
          <w:color w:val="000000"/>
        </w:rPr>
        <w:t>的罚款。</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第十八条</w:t>
      </w:r>
      <w:r>
        <w:rPr>
          <w:color w:val="000000"/>
        </w:rPr>
        <w:t xml:space="preserve">  </w:t>
      </w:r>
      <w:r>
        <w:rPr>
          <w:rFonts w:hint="eastAsia"/>
          <w:color w:val="000000"/>
        </w:rPr>
        <w:t>违反本规定第十一条规定，未经许可经营、超许可范围经营、许可证过期继续经营烟花爆竹的，由应急管理行政主管部门责令停止非法经营活动，处</w:t>
      </w:r>
      <w:r>
        <w:rPr>
          <w:rFonts w:cs="黑体;SimHei" w:hint="eastAsia"/>
          <w:color w:val="000000"/>
        </w:rPr>
        <w:t>二万元以上十万元以下</w:t>
      </w:r>
      <w:r>
        <w:rPr>
          <w:rFonts w:hint="eastAsia"/>
          <w:color w:val="000000"/>
        </w:rPr>
        <w:t>的罚款，并没收非法经营的物品及违法所得；构成违反治安管理行为的，依法给予治安管理处罚；构成犯罪的，依法追究刑事责任。</w:t>
      </w:r>
    </w:p>
    <w:p>
      <w:pPr>
        <w:pStyle w:val="Normal"/>
        <w:spacing w:lineRule="exact" w:line="580"/>
        <w:ind w:firstLineChars="200" w:startChars="0" w:start="0" w:endChars="0" w:end="0"/>
        <w:rPr>
          <w:rFonts w:cs="Times New Roman"/>
          <w:color w:val="000000"/>
        </w:rPr>
      </w:pPr>
      <w:r>
        <w:rPr>
          <w:rFonts w:hint="eastAsia"/>
          <w:color w:val="000000"/>
        </w:rPr>
        <w:t>从事烟花爆竹零售的经营者销售非法生产、经营的烟花爆竹的，由应急管理行政主管部门责令停止违法行为，处</w:t>
      </w:r>
      <w:r>
        <w:rPr>
          <w:rFonts w:cs="黑体;SimHei" w:hint="eastAsia"/>
          <w:color w:val="000000"/>
        </w:rPr>
        <w:t>一千元以上五千元以下</w:t>
      </w:r>
      <w:r>
        <w:rPr>
          <w:rFonts w:hint="eastAsia"/>
          <w:color w:val="000000"/>
        </w:rPr>
        <w:t>的罚款，并没收非法经营的</w:t>
      </w:r>
      <w:r>
        <w:rPr>
          <w:rFonts w:cs="黑体;SimHei" w:hint="eastAsia"/>
          <w:color w:val="000000"/>
        </w:rPr>
        <w:t>物品</w:t>
      </w:r>
      <w:r>
        <w:rPr>
          <w:rFonts w:hint="eastAsia"/>
          <w:color w:val="000000"/>
        </w:rPr>
        <w:t>及违法所得；情节严重的，吊销烟花爆竹经营许可证。</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第十九条</w:t>
      </w:r>
      <w:r>
        <w:rPr>
          <w:color w:val="000000"/>
        </w:rPr>
        <w:t xml:space="preserve">  </w:t>
      </w:r>
      <w:r>
        <w:rPr>
          <w:rFonts w:hint="eastAsia"/>
          <w:color w:val="000000"/>
        </w:rPr>
        <w:t>违反本规定第十三条第一款规定，未经许可经由道路运输烟花爆竹的，由公安部门责令停止非法运输活动，处</w:t>
      </w:r>
      <w:r>
        <w:rPr>
          <w:rFonts w:cs="黑体;SimHei" w:hint="eastAsia"/>
          <w:color w:val="000000"/>
        </w:rPr>
        <w:t>一万元以上五万元以下</w:t>
      </w:r>
      <w:r>
        <w:rPr>
          <w:rFonts w:hint="eastAsia"/>
          <w:color w:val="000000"/>
        </w:rPr>
        <w:t>的罚款，并没收非法运输的物品及违法所得；构成违反治安管理行为的，依法给予治安管理处罚；构成犯罪的，依法追究刑事责任。</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第二十条</w:t>
      </w:r>
      <w:r>
        <w:rPr>
          <w:color w:val="000000"/>
        </w:rPr>
        <w:t xml:space="preserve">  </w:t>
      </w:r>
      <w:r>
        <w:rPr>
          <w:rFonts w:hint="eastAsia"/>
          <w:color w:val="000000"/>
        </w:rPr>
        <w:t>违反本规定第十四条规定，携带烟花爆竹搭乘公共交通工具，或者邮寄烟花爆竹以及在托运的行李、包裹、邮件中夹带烟花爆竹的，由公安部门没收非法携带、邮寄、夹带的烟花爆竹，可以并处</w:t>
      </w:r>
      <w:r>
        <w:rPr>
          <w:rFonts w:cs="黑体;SimHei" w:hint="eastAsia"/>
          <w:color w:val="000000"/>
        </w:rPr>
        <w:t>二百元以上一千元以下</w:t>
      </w:r>
      <w:r>
        <w:rPr>
          <w:rFonts w:hint="eastAsia"/>
          <w:color w:val="000000"/>
        </w:rPr>
        <w:t>的罚款。</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第二十一条</w:t>
      </w:r>
      <w:r>
        <w:rPr>
          <w:color w:val="000000"/>
        </w:rPr>
        <w:t xml:space="preserve">  </w:t>
      </w:r>
      <w:r>
        <w:rPr>
          <w:rFonts w:hint="eastAsia"/>
          <w:color w:val="000000"/>
        </w:rPr>
        <w:t>违反本规定的行为，本规定未设定处罚，但其他法律、法规已设定处罚规定的，依照有关法律、法规的规定处罚。</w:t>
      </w:r>
    </w:p>
    <w:p>
      <w:pPr>
        <w:pStyle w:val="Normal"/>
        <w:spacing w:lineRule="exact" w:line="580"/>
        <w:ind w:firstLineChars="200" w:startChars="0" w:start="0" w:endChars="0" w:end="0"/>
        <w:jc w:val="start"/>
        <w:rPr>
          <w:rFonts w:cs="Times New Roman"/>
          <w:color w:val="000000"/>
        </w:rPr>
      </w:pPr>
      <w:r>
        <w:rPr>
          <w:rFonts w:cs="黑体;SimHei" w:hint="eastAsia"/>
          <w:color w:val="000000"/>
        </w:rPr>
        <w:t>违反本规定的行为，根据国务院相对集中行政处罚权的规定已经确定集中由综合行政执法部门处理的，从其规定。</w:t>
      </w:r>
    </w:p>
    <w:p>
      <w:pPr>
        <w:pStyle w:val="Normal"/>
        <w:spacing w:lineRule="exact" w:line="580"/>
        <w:ind w:firstLineChars="200" w:startChars="0" w:start="0" w:endChars="0" w:end="0"/>
        <w:rPr>
          <w:rFonts w:cs="Times New Roman"/>
          <w:color w:val="000000"/>
        </w:rPr>
      </w:pPr>
      <w:r>
        <w:rPr>
          <w:rFonts w:ascii="黑体;SimHei" w:hAnsi="黑体;SimHei" w:cs="黑体;SimHei" w:hint="eastAsia" w:eastAsia="黑体;SimHei"/>
          <w:color w:val="000000"/>
        </w:rPr>
        <w:t>第二十二条</w:t>
      </w:r>
      <w:r>
        <w:rPr>
          <w:color w:val="000000"/>
        </w:rPr>
        <w:t xml:space="preserve">  </w:t>
      </w:r>
      <w:r>
        <w:rPr>
          <w:rFonts w:cs="黑体;SimHei" w:hint="eastAsia"/>
          <w:color w:val="000000"/>
        </w:rPr>
        <w:t>负有烟花爆竹管理职责的国家工作人员</w:t>
      </w:r>
      <w:r>
        <w:rPr>
          <w:rFonts w:hint="eastAsia"/>
          <w:color w:val="000000"/>
        </w:rPr>
        <w:t>玩忽职守、滥用职权、徇私舞弊的，</w:t>
      </w:r>
      <w:r>
        <w:rPr>
          <w:rFonts w:cs="黑体;SimHei" w:hint="eastAsia"/>
          <w:color w:val="000000"/>
        </w:rPr>
        <w:t>依法给予处分</w:t>
      </w:r>
      <w:r>
        <w:rPr>
          <w:rFonts w:hint="eastAsia"/>
          <w:color w:val="000000"/>
        </w:rPr>
        <w:t>；构成犯罪的，依法追究刑事责任。</w:t>
      </w:r>
    </w:p>
    <w:p>
      <w:pPr>
        <w:pStyle w:val="Normal"/>
        <w:spacing w:lineRule="exact" w:line="580"/>
        <w:ind w:firstLineChars="200" w:startChars="0" w:start="0" w:endChars="0" w:end="0"/>
        <w:rPr/>
      </w:pPr>
      <w:r>
        <w:rPr>
          <w:rFonts w:ascii="黑体;SimHei" w:hAnsi="黑体;SimHei" w:cs="黑体;SimHei" w:hint="eastAsia" w:eastAsia="黑体;SimHei"/>
          <w:color w:val="000000"/>
        </w:rPr>
        <w:t>第二十三条</w:t>
      </w:r>
      <w:r>
        <w:rPr>
          <w:color w:val="000000"/>
        </w:rPr>
        <w:t xml:space="preserve">  </w:t>
      </w:r>
      <w:r>
        <w:rPr>
          <w:rFonts w:hint="eastAsia"/>
          <w:color w:val="000000"/>
          <w:spacing w:val="-10"/>
          <w:kern w:val="0"/>
        </w:rPr>
        <w:t>本规定具体应用问题由市人民政府负责解释。</w:t>
      </w:r>
    </w:p>
    <w:p>
      <w:pPr>
        <w:pStyle w:val="Normal"/>
        <w:spacing w:lineRule="exact" w:line="580"/>
        <w:ind w:firstLineChars="200" w:startChars="0" w:start="0" w:endChars="0" w:end="0"/>
        <w:rPr/>
      </w:pPr>
      <w:r>
        <w:rPr>
          <w:rFonts w:ascii="黑体;SimHei" w:hAnsi="黑体;SimHei" w:cs="黑体;SimHei" w:hint="eastAsia" w:eastAsia="黑体;SimHei"/>
          <w:color w:val="000000"/>
        </w:rPr>
        <w:t>第二十四条</w:t>
      </w:r>
      <w:r>
        <w:rPr>
          <w:color w:val="000000"/>
        </w:rPr>
        <w:t xml:space="preserve">  </w:t>
      </w:r>
      <w:r>
        <w:rPr>
          <w:rFonts w:cs="黑体;SimHei" w:hint="eastAsia"/>
          <w:color w:val="000000"/>
        </w:rPr>
        <w:t>本规定自</w:t>
      </w:r>
      <w:r>
        <w:rPr>
          <w:rFonts w:cs="黑体;SimHei"/>
          <w:color w:val="000000"/>
        </w:rPr>
        <w:t>2020</w:t>
      </w:r>
      <w:r>
        <w:rPr>
          <w:rFonts w:cs="黑体;SimHei" w:hint="eastAsia"/>
          <w:color w:val="000000"/>
        </w:rPr>
        <w:t>年</w:t>
      </w:r>
      <w:r>
        <w:rPr>
          <w:rFonts w:cs="黑体;SimHei" w:hint="eastAsia"/>
          <w:color w:val="000000"/>
        </w:rPr>
        <w:t>11</w:t>
      </w:r>
      <w:r>
        <w:rPr>
          <w:rFonts w:cs="黑体;SimHei" w:hint="eastAsia"/>
          <w:color w:val="000000"/>
        </w:rPr>
        <w:t>月</w:t>
      </w:r>
      <w:r>
        <w:rPr>
          <w:rFonts w:cs="黑体;SimHei" w:hint="eastAsia"/>
          <w:color w:val="000000"/>
        </w:rPr>
        <w:t>1</w:t>
      </w:r>
      <w:r>
        <w:rPr>
          <w:rFonts w:cs="黑体;SimHei" w:hint="eastAsia"/>
          <w:color w:val="000000"/>
        </w:rPr>
        <w:t>日起施行。《海口市禁止生产、销售和燃放烟花爆竹的规定》《海口市销售和燃放烟花爆竹管理规定》同时废止。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Calibri">
    <w:charset w:val="00" w:characterSet="windows-1252"/>
    <w:family w:val="swiss"/>
    <w:pitch w:val="variable"/>
  </w:font>
  <w:font w:name="宋体">
    <w:altName w:val="SimSun"/>
    <w:charset w:val="86"/>
    <w:family w:val="auto"/>
    <w:pitch w:val="variable"/>
  </w:font>
  <w:font w:name="方正小标宋简体">
    <w:charset w:val="86"/>
    <w:family w:val="script"/>
    <w:pitch w:val="default"/>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center</wp:align>
              </wp:positionH>
              <wp:positionV relativeFrom="paragraph">
                <wp:posOffset>635</wp:posOffset>
              </wp:positionV>
              <wp:extent cx="58420" cy="139700"/>
              <wp:effectExtent l="0" t="0" r="0" b="0"/>
              <wp:wrapSquare wrapText="bothSides"/>
              <wp:docPr id="1" name="Frame1"/>
              <a:graphic xmlns:a="http://schemas.openxmlformats.org/drawingml/2006/main">
                <a:graphicData uri="http://schemas.microsoft.com/office/word/2010/wordprocessingShape">
                  <wps:wsp>
                    <wps:cNvSpPr txBox="1"/>
                    <wps:spPr>
                      <a:xfrm>
                        <a:off x="0" y="0"/>
                        <a:ext cx="58420" cy="139700"/>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6</w:t>
                          </w:r>
                          <w:r>
                            <w:rPr/>
                            <w:fldChar w:fldCharType="end"/>
                          </w:r>
                        </w:p>
                      </w:txbxContent>
                    </wps:txbx>
                    <wps:bodyPr anchor="t" lIns="0" tIns="0" rIns="0" bIns="0">
                      <a:noAutofit/>
                    </wps:bodyPr>
                  </wps:wsp>
                </a:graphicData>
              </a:graphic>
            </wp:anchor>
          </w:drawing>
        </mc:Choice>
        <mc:Fallback>
          <w:pict>
            <v:rect fillcolor="#FFFFFF" style="position:absolute;rotation:-0;width:4.6pt;height:11pt;mso-wrap-distance-left:0pt;mso-wrap-distance-right:0pt;mso-wrap-distance-top:0pt;mso-wrap-distance-bottom:0pt;margin-top:0.05pt;mso-position-vertical-relative:text;margin-left:205.3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6</w:t>
                    </w:r>
                    <w:r>
                      <w:rPr/>
                      <w:fldChar w:fldCharType="end"/>
                    </w:r>
                  </w:p>
                </w:txbxContent>
              </v:textbox>
              <w10:wrap type="square"/>
            </v:rect>
          </w:pict>
        </mc:Fallback>
      </mc:AlternateContent>
    </w:r>
  </w:p>
</w:ftr>
</file>

<file path=word/settings.xml><?xml version="1.0" encoding="utf-8"?>
<w:settings xmlns:w="http://schemas.openxmlformats.org/wordprocessingml/2006/main">
  <w:zoom w:percent="12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仿宋_GB2312"/>
      <w:color w:val="auto"/>
      <w:kern w:val="2"/>
      <w:sz w:val="32"/>
      <w:szCs w:val="32"/>
      <w:lang w:bidi="ar-SA" w:val="en-US" w:eastAsia="zh-CN"/>
    </w:rPr>
  </w:style>
  <w:style w:type="character" w:styleId="Style14">
    <w:name w:val="默认段落字体"/>
    <w:qFormat/>
    <w:rPr/>
  </w:style>
  <w:style w:type="character" w:styleId="Emphasis">
    <w:name w:val="Emphasis"/>
    <w:qFormat/>
    <w:rPr>
      <w:i/>
      <w:iCs/>
    </w:rPr>
  </w:style>
  <w:style w:type="character" w:styleId="Char">
    <w:name w:val="页脚 Char"/>
    <w:qFormat/>
    <w:rPr>
      <w:sz w:val="18"/>
      <w:szCs w:val="18"/>
    </w:rPr>
  </w:style>
  <w:style w:type="character" w:styleId="PageNumber">
    <w:name w:val="page number"/>
    <w:basedOn w:val="Style14"/>
    <w:rPr/>
  </w:style>
  <w:style w:type="character" w:styleId="Char1">
    <w:name w:val="页眉 Char"/>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SimSun" w:cs="Times New Roman"/>
      <w:kern w:val="0"/>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SimSun" w:cs="Times New Roman"/>
      <w:kern w:val="0"/>
      <w:sz w:val="18"/>
      <w:szCs w:val="18"/>
      <w:lang w:val="en-US"/>
    </w:rPr>
  </w:style>
  <w:style w:type="paragraph" w:styleId="one-p">
    <w:name w:val="one-p"/>
    <w:basedOn w:val="Normal"/>
    <w:qFormat/>
    <w:pPr>
      <w:widowControl/>
      <w:spacing w:before="280" w:after="280"/>
      <w:jc w:val="start"/>
    </w:pPr>
    <w:rPr>
      <w:rFonts w:ascii="宋体;SimSun" w:hAnsi="宋体;SimSun" w:eastAsia="宋体;SimSun" w:cs="宋体;SimSun"/>
      <w:kern w:val="0"/>
      <w:sz w:val="24"/>
      <w:szCs w:val="24"/>
    </w:rPr>
  </w:style>
  <w:style w:type="paragraph" w:styleId="Style15">
    <w:name w:val="普通(网站)"/>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ascii="Times New Roman" w:hAnsi="Times New Roman" w:eastAsia="宋体;SimSun" w:cs="Times New Roman"/>
      <w:sz w:val="24"/>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2020-10-12T11:12:00Z</dcterms:created>
  <dc:creator>Administrator</dc:creator>
  <dc:description/>
  <cp:keywords/>
  <dc:language>en-US</dc:language>
  <cp:lastModifiedBy>刘一倩</cp:lastModifiedBy>
  <cp:lastPrinted>2020-08-03T16:46:00Z</cp:lastPrinted>
  <dcterms:modified xsi:type="dcterms:W3CDTF">2020-10-22T09:47:00Z</dcterms:modified>
  <cp:revision>20</cp:revision>
  <dc:subject/>
  <dc:title>海口市人民代表大会常务委员会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2052-10.8.0.7057</vt:lpwstr>
  </property>
</Properties>
</file>