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false"/>
        <w:autoSpaceDE w:val="true"/>
        <w:bidi w:val="0"/>
        <w:snapToGrid w:val="true"/>
        <w:spacing w:lineRule="exact" w:line="560"/>
        <w:jc w:val="center"/>
        <w:rPr>
          <w:rFonts w:ascii="方正小标宋简体" w:hAnsi="方正小标宋简体" w:eastAsia="方正小标宋简体" w:cs="方正小标宋简体" w:hint="eastAsia"/>
          <w:bCs/>
          <w:color w:val="000000"/>
          <w:sz w:val="44"/>
          <w:szCs w:val="44"/>
        </w:rPr>
      </w:pPr>
      <w:r>
        <w:rPr>
          <w:rFonts w:ascii="方正小标宋简体" w:hAnsi="方正小标宋简体" w:cs="方正小标宋简体" w:hint="eastAsia" w:eastAsia="方正小标宋简体"/>
          <w:bCs/>
          <w:color w:val="000000"/>
          <w:sz w:val="44"/>
          <w:szCs w:val="44"/>
        </w:rPr>
        <w:t>海南省非物质文化遗产规定</w:t>
      </w:r>
    </w:p>
    <w:p>
      <w:pPr>
        <w:pStyle w:val="Normal"/>
        <w:keepNext w:val="false"/>
        <w:keepLines w:val="false"/>
        <w:pageBreakBefore w:val="false"/>
        <w:widowControl w:val="false"/>
        <w:kinsoku w:val="true"/>
        <w:autoSpaceDE w:val="true"/>
        <w:bidi w:val="0"/>
        <w:snapToGrid w:val="true"/>
        <w:spacing w:lineRule="exact" w:line="560"/>
        <w:jc w:val="center"/>
        <w:rPr>
          <w:rFonts w:ascii="楷体;方正楷体_GBK" w:hAnsi="楷体;方正楷体_GBK" w:eastAsia="楷体;方正楷体_GBK" w:cs="楷体;方正楷体_GBK" w:hint="eastAsia"/>
          <w:bCs/>
          <w:color w:val="000000"/>
          <w:sz w:val="28"/>
          <w:szCs w:val="28"/>
        </w:rPr>
      </w:pPr>
      <w:r>
        <w:rPr>
          <w:rFonts w:eastAsia="楷体;方正楷体_GBK" w:cs="楷体;方正楷体_GBK" w:hint="eastAsia" w:ascii="楷体;方正楷体_GBK" w:hAnsi="楷体;方正楷体_GBK"/>
          <w:bCs/>
          <w:color w:val="000000"/>
          <w:sz w:val="28"/>
          <w:szCs w:val="28"/>
        </w:rPr>
      </w:r>
    </w:p>
    <w:p>
      <w:pPr>
        <w:pStyle w:val="Normal"/>
        <w:keepNext w:val="false"/>
        <w:keepLines w:val="false"/>
        <w:pageBreakBefore w:val="false"/>
        <w:widowControl w:val="false"/>
        <w:kinsoku w:val="true"/>
        <w:autoSpaceDE w:val="true"/>
        <w:bidi w:val="0"/>
        <w:snapToGrid w:val="true"/>
        <w:spacing w:lineRule="exact" w:line="560"/>
        <w:jc w:val="center"/>
        <w:rPr>
          <w:rFonts w:ascii="楷体;方正楷体_GBK" w:hAnsi="楷体;方正楷体_GBK" w:eastAsia="楷体;方正楷体_GBK" w:cs="楷体;方正楷体_GBK" w:hint="eastAsia"/>
          <w:sz w:val="28"/>
          <w:szCs w:val="28"/>
        </w:rPr>
      </w:pPr>
      <w:r>
        <w:rPr>
          <w:rFonts w:ascii="楷体;方正楷体_GBK" w:hAnsi="楷体;方正楷体_GBK" w:cs="楷体;方正楷体_GBK" w:hint="eastAsia" w:eastAsia="楷体;方正楷体_GBK"/>
          <w:sz w:val="28"/>
          <w:szCs w:val="28"/>
        </w:rPr>
        <w:t>（</w:t>
      </w:r>
      <w:r>
        <w:rPr>
          <w:rFonts w:eastAsia="楷体;方正楷体_GBK" w:cs="楷体;方正楷体_GBK" w:hint="eastAsia" w:ascii="楷体;方正楷体_GBK" w:hAnsi="楷体;方正楷体_GBK"/>
          <w:sz w:val="28"/>
          <w:szCs w:val="28"/>
        </w:rPr>
        <w:t>2022</w:t>
      </w:r>
      <w:r>
        <w:rPr>
          <w:rFonts w:ascii="楷体;方正楷体_GBK" w:hAnsi="楷体;方正楷体_GBK" w:cs="楷体;方正楷体_GBK" w:hint="eastAsia" w:eastAsia="楷体;方正楷体_GBK"/>
          <w:sz w:val="28"/>
          <w:szCs w:val="28"/>
        </w:rPr>
        <w:t>年</w:t>
      </w:r>
      <w:r>
        <w:rPr>
          <w:rFonts w:eastAsia="楷体;方正楷体_GBK" w:cs="楷体;方正楷体_GBK" w:hint="eastAsia" w:ascii="楷体;方正楷体_GBK" w:hAnsi="楷体;方正楷体_GBK"/>
          <w:sz w:val="28"/>
          <w:szCs w:val="28"/>
        </w:rPr>
        <w:t>5</w:t>
      </w:r>
      <w:r>
        <w:rPr>
          <w:rFonts w:ascii="楷体;方正楷体_GBK" w:hAnsi="楷体;方正楷体_GBK" w:cs="楷体;方正楷体_GBK" w:hint="eastAsia" w:eastAsia="楷体;方正楷体_GBK"/>
          <w:sz w:val="28"/>
          <w:szCs w:val="28"/>
        </w:rPr>
        <w:t>月</w:t>
      </w:r>
      <w:r>
        <w:rPr>
          <w:rFonts w:eastAsia="楷体;方正楷体_GBK" w:cs="楷体;方正楷体_GBK" w:hint="eastAsia" w:ascii="楷体;方正楷体_GBK" w:hAnsi="楷体;方正楷体_GBK"/>
          <w:sz w:val="28"/>
          <w:szCs w:val="28"/>
        </w:rPr>
        <w:t>31</w:t>
      </w:r>
      <w:r>
        <w:rPr>
          <w:rFonts w:ascii="楷体;方正楷体_GBK" w:hAnsi="楷体;方正楷体_GBK" w:cs="楷体;方正楷体_GBK" w:hint="eastAsia" w:eastAsia="楷体;方正楷体_GBK"/>
          <w:sz w:val="28"/>
          <w:szCs w:val="28"/>
        </w:rPr>
        <w:t>日海南省第六届人民代表大会常务委员会</w:t>
      </w:r>
    </w:p>
    <w:p>
      <w:pPr>
        <w:pStyle w:val="Normal"/>
        <w:keepNext w:val="false"/>
        <w:keepLines w:val="false"/>
        <w:pageBreakBefore w:val="false"/>
        <w:widowControl w:val="false"/>
        <w:kinsoku w:val="true"/>
        <w:autoSpaceDE w:val="true"/>
        <w:bidi w:val="0"/>
        <w:snapToGrid w:val="true"/>
        <w:spacing w:lineRule="exact" w:line="560"/>
        <w:jc w:val="center"/>
        <w:rPr>
          <w:rFonts w:ascii="楷体;方正楷体_GBK" w:hAnsi="楷体;方正楷体_GBK" w:eastAsia="楷体;方正楷体_GBK" w:cs="楷体;方正楷体_GBK" w:hint="eastAsia"/>
          <w:sz w:val="28"/>
          <w:szCs w:val="28"/>
        </w:rPr>
      </w:pPr>
      <w:r>
        <w:rPr>
          <w:rFonts w:ascii="楷体;方正楷体_GBK" w:hAnsi="楷体;方正楷体_GBK" w:cs="楷体;方正楷体_GBK" w:hint="eastAsia" w:eastAsia="楷体;方正楷体_GBK"/>
          <w:sz w:val="28"/>
          <w:szCs w:val="28"/>
        </w:rPr>
        <w:t>第三十六次会议通过）</w:t>
      </w:r>
    </w:p>
    <w:p>
      <w:pPr>
        <w:pStyle w:val="BodyText1"/>
        <w:keepNext w:val="false"/>
        <w:keepLines w:val="false"/>
        <w:pageBreakBefore w:val="false"/>
        <w:widowControl w:val="false"/>
        <w:kinsoku w:val="true"/>
        <w:autoSpaceDE w:val="true"/>
        <w:bidi w:val="0"/>
        <w:snapToGrid w:val="true"/>
        <w:spacing w:lineRule="exact" w:line="560"/>
        <w:jc w:val="both"/>
        <w:rPr>
          <w:rFonts w:ascii="楷体;方正楷体_GBK" w:hAnsi="楷体;方正楷体_GBK" w:eastAsia="楷体;方正楷体_GBK" w:cs="楷体;方正楷体_GBK" w:hint="eastAsia"/>
          <w:color w:val="000000"/>
          <w:sz w:val="32"/>
          <w:szCs w:val="32"/>
        </w:rPr>
      </w:pPr>
      <w:r>
        <w:rPr>
          <w:rFonts w:eastAsia="楷体;方正楷体_GBK" w:cs="楷体;方正楷体_GBK" w:hint="eastAsia" w:ascii="楷体;方正楷体_GBK" w:hAnsi="楷体;方正楷体_GBK"/>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第一条</w:t>
      </w:r>
      <w:r>
        <w:rPr>
          <w:rFonts w:ascii="CESI仿宋-GB2312" w:hAnsi="CESI仿宋-GB2312" w:cs="CESI仿宋-GB2312" w:hint="eastAsia" w:eastAsia="CESI仿宋-GB2312"/>
          <w:color w:val="000000"/>
          <w:sz w:val="32"/>
          <w:szCs w:val="32"/>
        </w:rPr>
        <w:t xml:space="preserve">  为了加强非物质文化遗产保护，传承海南历史文脉，弘扬中华优秀传统文化，根据《中华人民共和国非物质文化遗产法》，结合本省实际，制定本规定。</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bCs/>
          <w:color w:val="000000"/>
          <w:sz w:val="32"/>
          <w:szCs w:val="32"/>
        </w:rPr>
      </w:pPr>
      <w:r>
        <w:rPr>
          <w:rFonts w:ascii="黑体;方正黑体_GBK" w:hAnsi="黑体;方正黑体_GBK" w:hint="eastAsia" w:eastAsia="黑体;方正黑体_GBK"/>
          <w:sz w:val="32"/>
          <w:szCs w:val="21"/>
        </w:rPr>
        <w:t>第二条</w:t>
      </w:r>
      <w:r>
        <w:rPr>
          <w:rFonts w:ascii="CESI仿宋-GB2312" w:hAnsi="CESI仿宋-GB2312" w:cs="CESI仿宋-GB2312" w:hint="eastAsia" w:eastAsia="CESI仿宋-GB2312"/>
          <w:bCs/>
          <w:color w:val="000000"/>
          <w:sz w:val="32"/>
          <w:szCs w:val="32"/>
        </w:rPr>
        <w:t xml:space="preserve">  本规定所称非物质文化遗产，是指各族人民世代相传并视为其文化遗产组成部分的各种传统文化表现形式，以及与传统文化表现形式相关的实物和场所。包括：</w:t>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bCs/>
          <w:color w:val="000000"/>
          <w:sz w:val="32"/>
          <w:szCs w:val="32"/>
        </w:rPr>
        <w:t>（一）琼侨歌</w:t>
      </w:r>
      <w:r>
        <w:rPr>
          <w:rFonts w:ascii="CESI仿宋-GB2312" w:hAnsi="CESI仿宋-GB2312" w:cs="CESI仿宋-GB2312" w:hint="eastAsia" w:eastAsia="CESI仿宋-GB2312"/>
          <w:color w:val="000000"/>
          <w:sz w:val="32"/>
          <w:szCs w:val="32"/>
        </w:rPr>
        <w:t>谣等传统口头文学以及作为其载体的语言；</w:t>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（二）琼剧、儋州调声、临高渔歌、崖州民歌、黎族民歌、苗族民歌、海南八音器乐、黎族竹木器乐、黎族打柴舞、苗族盘皇舞、海南椰雕等传统戏剧、音乐、舞蹈、美术；</w:t>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color w:val="000000"/>
          <w:sz w:val="32"/>
          <w:szCs w:val="32"/>
        </w:rPr>
        <w:t>（三）黎族传统纺染织绣技艺、苗族传统刺绣蜡染技艺、东坡笠屐制作技艺、黎族船型屋营造技艺等传统技</w:t>
      </w:r>
      <w:r>
        <w:rPr>
          <w:rFonts w:ascii="CESI仿宋-GB2312" w:hAnsi="CESI仿宋-GB2312" w:cs="CESI仿宋-GB2312" w:hint="eastAsia" w:eastAsia="CESI仿宋-GB2312"/>
          <w:bCs/>
          <w:color w:val="000000"/>
          <w:sz w:val="32"/>
          <w:szCs w:val="32"/>
        </w:rPr>
        <w:t>艺；</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bCs/>
          <w:color w:val="000000"/>
          <w:sz w:val="32"/>
          <w:szCs w:val="32"/>
        </w:rPr>
        <w:t>（四）南海航道更路经、黎族苗族三月三节等传统民俗；</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bCs/>
          <w:color w:val="000000"/>
          <w:sz w:val="32"/>
          <w:szCs w:val="32"/>
        </w:rPr>
        <w:t>（五）黎族传统体育与游艺活动等传统体育和游艺；</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bCs/>
          <w:color w:val="000000"/>
          <w:sz w:val="32"/>
          <w:szCs w:val="32"/>
          <w:u w:val="single"/>
        </w:rPr>
      </w:pPr>
      <w:r>
        <w:rPr>
          <w:rFonts w:ascii="CESI仿宋-GB2312" w:hAnsi="CESI仿宋-GB2312" w:cs="CESI仿宋-GB2312" w:hint="eastAsia" w:eastAsia="CESI仿宋-GB2312"/>
          <w:bCs/>
          <w:color w:val="000000"/>
          <w:sz w:val="32"/>
          <w:szCs w:val="32"/>
        </w:rPr>
        <w:t>（六）其他非物质文化遗产。</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bCs/>
          <w:color w:val="000000"/>
          <w:sz w:val="32"/>
          <w:szCs w:val="32"/>
        </w:rPr>
        <w:t>属于非物质文化遗产组成部分的实物和场所，凡属文物的，适用文物保护法律、法规的有关规定。</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第三条</w:t>
      </w:r>
      <w:r>
        <w:rPr>
          <w:rFonts w:ascii="CESI仿宋-GB2312" w:hAnsi="CESI仿宋-GB2312" w:cs="CESI仿宋-GB2312" w:hint="eastAsia" w:eastAsia="CESI仿宋-GB2312"/>
          <w:bCs/>
          <w:color w:val="000000"/>
          <w:sz w:val="32"/>
          <w:szCs w:val="32"/>
        </w:rPr>
        <w:t xml:space="preserve"> </w:t>
      </w:r>
      <w:r>
        <w:rPr>
          <w:rFonts w:ascii="CESI仿宋-GB2312" w:hAnsi="CESI仿宋-GB2312" w:cs="CESI仿宋-GB2312" w:hint="eastAsia" w:eastAsia="CESI仿宋-GB2312"/>
          <w:color w:val="000000"/>
          <w:sz w:val="32"/>
          <w:szCs w:val="32"/>
        </w:rPr>
        <w:t xml:space="preserve"> 县级以上人民政府应当将非物质文化遗产保护工作纳入本级国民经济和社会发展规划；建立非物质文化遗产保护工作协调机制，解决工作中的重大问题；将非物质文化遗产相关工作经费列入本级财政预算；加强非物质文化遗产保护工作专业队伍建设，完善人才培养机制。</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第四条</w:t>
      </w:r>
      <w:r>
        <w:rPr>
          <w:rFonts w:ascii="CESI仿宋-GB2312" w:hAnsi="CESI仿宋-GB2312" w:cs="CESI仿宋-GB2312" w:hint="eastAsia" w:eastAsia="CESI仿宋-GB2312"/>
          <w:bCs/>
          <w:color w:val="000000"/>
          <w:sz w:val="32"/>
          <w:szCs w:val="32"/>
        </w:rPr>
        <w:t xml:space="preserve">  </w:t>
      </w:r>
      <w:r>
        <w:rPr>
          <w:rFonts w:ascii="CESI仿宋-GB2312" w:hAnsi="CESI仿宋-GB2312" w:cs="CESI仿宋-GB2312" w:hint="eastAsia" w:eastAsia="CESI仿宋-GB2312"/>
          <w:color w:val="000000"/>
          <w:sz w:val="32"/>
          <w:szCs w:val="32"/>
        </w:rPr>
        <w:t>县级以上人民政府旅游和文化主管部门负责本行政区域内非物质文化遗产的保护工作。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县级以上人民政府发展改革、自然资源和规划、农业农村、商务、科技、财政、教育、人力资源和社会保障、卫生健康、民族、住房城乡建设、市场监管、乡村振兴、知识产权等有关部门在各自职责范围内，做好非物质文化遗产保护相关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乡镇人民政府、街道办事处配合做好本辖区内的非物质文化遗产保护工作。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村（居）民委员会协助当地人民政府做好非物质文化遗产保护工作。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第五条</w:t>
      </w:r>
      <w:r>
        <w:rPr>
          <w:rFonts w:ascii="CESI仿宋-GB2312" w:hAnsi="CESI仿宋-GB2312" w:cs="CESI仿宋-GB2312" w:hint="eastAsia" w:eastAsia="CESI仿宋-GB2312"/>
          <w:color w:val="000000"/>
          <w:sz w:val="32"/>
          <w:szCs w:val="32"/>
        </w:rPr>
        <w:t xml:space="preserve">  县级以上人民政府应当建立和公布本级非物质文化遗产代表性项目名录，并可以从本级名录中向上一级人民</w:t>
      </w:r>
      <w:r>
        <w:rPr>
          <w:rFonts w:ascii="CESI仿宋-GB2312" w:hAnsi="CESI仿宋-GB2312" w:cs="CESI仿宋-GB2312" w:hint="eastAsia" w:eastAsia="CESI仿宋-GB2312"/>
          <w:color w:val="000000"/>
          <w:sz w:val="32"/>
          <w:szCs w:val="32"/>
          <w:u w:val="none"/>
        </w:rPr>
        <w:t>政府旅游和文化主管</w:t>
      </w:r>
      <w:r>
        <w:rPr>
          <w:rFonts w:ascii="CESI仿宋-GB2312" w:hAnsi="CESI仿宋-GB2312" w:cs="CESI仿宋-GB2312" w:hint="eastAsia" w:eastAsia="CESI仿宋-GB2312"/>
          <w:color w:val="000000"/>
          <w:sz w:val="32"/>
          <w:szCs w:val="32"/>
        </w:rPr>
        <w:t>部门推荐符合列入上一级名录的项目。</w:t>
      </w:r>
    </w:p>
    <w:p>
      <w:pPr>
        <w:pStyle w:val="Normal"/>
        <w:keepNext w:val="false"/>
        <w:keepLines w:val="false"/>
        <w:pageBreakBefore w:val="false"/>
        <w:widowControl w:val="false"/>
        <w:kinsoku w:val="true"/>
        <w:overflowPunct w:val="false"/>
        <w:autoSpaceDE w:val="true"/>
        <w:bidi w:val="0"/>
        <w:snapToGrid w:val="true"/>
        <w:spacing w:lineRule="exact" w:line="560"/>
        <w:ind w:firstLine="632" w:end="0"/>
        <w:textAlignment w:val="auto"/>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color w:val="000000"/>
          <w:sz w:val="32"/>
          <w:szCs w:val="32"/>
        </w:rPr>
        <w:t>县级以上人民政府旅游和文化主管部门应当加强对少数民族文化、东坡文化、海瑞廉洁文化等</w:t>
      </w:r>
      <w:r>
        <w:rPr>
          <w:rFonts w:ascii="CESI仿宋-GB2312" w:hAnsi="CESI仿宋-GB2312" w:cs="CESI仿宋-GB2312" w:hint="eastAsia" w:eastAsia="CESI仿宋-GB2312"/>
          <w:bCs/>
          <w:color w:val="000000"/>
          <w:sz w:val="32"/>
          <w:szCs w:val="32"/>
        </w:rPr>
        <w:t>体现中华民族优秀传统，具有历史、文学、艺术、科学价值的非物质文化遗产进行调查，并提出列入本级代表性</w:t>
      </w:r>
      <w:r>
        <w:rPr>
          <w:rFonts w:ascii="CESI仿宋-GB2312" w:hAnsi="CESI仿宋-GB2312" w:cs="CESI仿宋-GB2312" w:hint="eastAsia" w:eastAsia="CESI仿宋-GB2312"/>
          <w:bCs/>
          <w:color w:val="000000"/>
          <w:kern w:val="2"/>
          <w:sz w:val="32"/>
          <w:szCs w:val="32"/>
        </w:rPr>
        <w:t>项目</w:t>
      </w:r>
      <w:r>
        <w:rPr>
          <w:rFonts w:ascii="CESI仿宋-GB2312" w:hAnsi="CESI仿宋-GB2312" w:cs="CESI仿宋-GB2312" w:hint="eastAsia" w:eastAsia="CESI仿宋-GB2312"/>
          <w:bCs/>
          <w:color w:val="000000"/>
          <w:sz w:val="32"/>
          <w:szCs w:val="32"/>
        </w:rPr>
        <w:t>名录的建议。</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代表性项目不能以活态形式存续或者无法传承的，县级以上人民政府旅游和文化主管部门应当及时组织记录该项目的核心内容和独到技艺，经专家论证确实无法存续的，报请本级人民政府批准后将其退出名录，并向社会公布。</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黑体;方正黑体_GBK" w:hAnsi="黑体;方正黑体_GBK" w:cs="Times New Roman;Nimbus Roman No9 L" w:hint="eastAsia" w:eastAsia="黑体;方正黑体_GBK"/>
          <w:kern w:val="2"/>
          <w:sz w:val="32"/>
          <w:szCs w:val="21"/>
        </w:rPr>
        <w:t>第六条</w:t>
      </w:r>
      <w:r>
        <w:rPr>
          <w:rFonts w:ascii="CESI仿宋-GB2312" w:hAnsi="CESI仿宋-GB2312" w:cs="CESI仿宋-GB2312" w:hint="eastAsia" w:eastAsia="CESI仿宋-GB2312"/>
          <w:bCs/>
          <w:color w:val="000000"/>
          <w:kern w:val="2"/>
          <w:sz w:val="32"/>
          <w:szCs w:val="32"/>
        </w:rPr>
        <w:t xml:space="preserve">  县级以上人民政府旅游和文化主管部门应当会同有关部门组织制定保护规划，根据非物质文化遗产代表性项目的属性、特点以及存续状况，实行分类保护：</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一）对濒临消失、活态传承困难的代表性项目，应当优先安排保护经费，记录并保存其内容、表现形式、技艺流程，收集相关资料和实物，保护相关场所及遗迹，提供和改善传承场所及其他传承条件，采取特殊措施培养传承人，实行抢救性保护</w:t>
      </w:r>
      <w:r>
        <w:rPr>
          <w:rFonts w:eastAsia="CESI仿宋-GB2312" w:cs="CESI仿宋-GB2312" w:hint="eastAsia" w:ascii="CESI仿宋-GB2312" w:hAnsi="CESI仿宋-GB2312"/>
          <w:bCs/>
          <w:color w:val="000000"/>
          <w:kern w:val="2"/>
          <w:sz w:val="32"/>
          <w:szCs w:val="32"/>
        </w:rPr>
        <w:t>;</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kern w:val="0"/>
          <w:position w:val="0"/>
          <w:sz w:val="32"/>
          <w:szCs w:val="32"/>
          <w:shd w:fill="FFFFFF" w:val="clear"/>
          <w:vertAlign w:val="baseline"/>
          <w:lang w:bidi="ar"/>
        </w:rPr>
      </w:pPr>
      <w:r>
        <w:rPr>
          <w:rFonts w:ascii="CESI仿宋-GB2312" w:hAnsi="CESI仿宋-GB2312" w:cs="CESI仿宋-GB2312" w:hint="eastAsia" w:eastAsia="CESI仿宋-GB2312"/>
          <w:b w:val="false"/>
          <w:bCs w:val="false"/>
          <w:i w:val="false"/>
          <w:caps w:val="false"/>
          <w:smallCaps w:val="false"/>
          <w:color w:val="000000"/>
          <w:spacing w:val="0"/>
          <w:kern w:val="0"/>
          <w:position w:val="0"/>
          <w:sz w:val="32"/>
          <w:szCs w:val="32"/>
          <w:shd w:fill="FFFFFF" w:val="clear"/>
          <w:vertAlign w:val="baseline"/>
          <w:lang w:bidi="ar"/>
        </w:rPr>
        <w:t>（二）对具有生产性技艺和社会需求，能够借助生产、流通、销售等手段转化为文化产品和服务的代表性项目，</w:t>
      </w:r>
      <w:r>
        <w:rPr>
          <w:rFonts w:ascii="CESI仿宋-GB2312" w:hAnsi="CESI仿宋-GB2312" w:cs="CESI仿宋-GB2312" w:hint="eastAsia" w:eastAsia="CESI仿宋-GB2312"/>
          <w:bCs/>
          <w:color w:val="000000"/>
          <w:kern w:val="2"/>
          <w:sz w:val="32"/>
          <w:szCs w:val="32"/>
        </w:rPr>
        <w:t>应当采取扶持生产性保护示范基地建设、扩大传承人队伍、支持提高产品设计制作水平和品质、协助宣传、展示、推介产品和服务等措施，实行生产性保护；</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（三）对代表性项目集中、特色鲜明、形式和内涵保持完整的特定区域，可以设立文化生态保护区，</w:t>
      </w:r>
      <w:r>
        <w:rPr>
          <w:rFonts w:ascii="CESI仿宋-GB2312" w:hAnsi="CESI仿宋-GB2312" w:cs="CESI仿宋-GB2312" w:hint="eastAsia" w:eastAsia="CESI仿宋-GB2312"/>
          <w:bCs/>
          <w:color w:val="000000"/>
          <w:kern w:val="2"/>
          <w:sz w:val="32"/>
          <w:szCs w:val="32"/>
        </w:rPr>
        <w:t>建设非物质文化遗产特色村镇、街区，</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或者结合</w:t>
      </w:r>
      <w:r>
        <w:rPr>
          <w:rFonts w:ascii="CESI仿宋-GB2312" w:hAnsi="CESI仿宋-GB2312" w:cs="CESI仿宋-GB2312" w:hint="eastAsia" w:eastAsia="CESI仿宋-GB2312"/>
          <w:bCs/>
          <w:color w:val="000000"/>
          <w:kern w:val="2"/>
          <w:sz w:val="32"/>
          <w:szCs w:val="32"/>
        </w:rPr>
        <w:t>热带雨林国家公园、</w:t>
      </w:r>
      <w:r>
        <w:rPr>
          <w:rFonts w:ascii="CESI仿宋-GB2312" w:hAnsi="CESI仿宋-GB2312" w:cs="CESI仿宋-GB2312" w:hint="eastAsia" w:eastAsia="CESI仿宋-GB2312"/>
          <w:b w:val="false"/>
          <w:bCs w:val="false"/>
          <w:i w:val="false"/>
          <w:caps w:val="false"/>
          <w:smallCaps w:val="false"/>
          <w:color w:val="000000"/>
          <w:spacing w:val="0"/>
          <w:kern w:val="0"/>
          <w:position w:val="0"/>
          <w:sz w:val="32"/>
          <w:szCs w:val="32"/>
          <w:shd w:fill="FFFFFF" w:val="clear"/>
          <w:vertAlign w:val="baseline"/>
          <w:lang w:bidi="ar"/>
        </w:rPr>
        <w:t>传统村落、</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少数民族特色村寨、</w:t>
      </w:r>
      <w:r>
        <w:rPr>
          <w:rFonts w:ascii="CESI仿宋-GB2312" w:hAnsi="CESI仿宋-GB2312" w:cs="CESI仿宋-GB2312" w:hint="eastAsia" w:eastAsia="CESI仿宋-GB2312"/>
          <w:b w:val="false"/>
          <w:bCs w:val="false"/>
          <w:i w:val="false"/>
          <w:caps w:val="false"/>
          <w:smallCaps w:val="false"/>
          <w:color w:val="000000"/>
          <w:spacing w:val="0"/>
          <w:kern w:val="0"/>
          <w:position w:val="0"/>
          <w:sz w:val="32"/>
          <w:szCs w:val="32"/>
          <w:shd w:fill="FFFFFF" w:val="clear"/>
          <w:vertAlign w:val="baseline"/>
          <w:lang w:bidi="ar"/>
        </w:rPr>
        <w:t>历史文化名城名镇名村保护，对代表性项目及其所依存的自然和人文生态环境实行区域性整体保护</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w:t>
      </w:r>
      <w:r>
        <w:rPr>
          <w:rFonts w:ascii="CESI仿宋-GB2312" w:hAnsi="CESI仿宋-GB2312" w:cs="CESI仿宋-GB2312" w:hint="eastAsia" w:eastAsia="CESI仿宋-GB2312"/>
          <w:bCs/>
          <w:color w:val="000000"/>
          <w:kern w:val="2"/>
          <w:sz w:val="32"/>
          <w:szCs w:val="32"/>
        </w:rPr>
        <w:t>在政策、资金等方面予以扶持。</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黑体;方正黑体_GBK" w:hAnsi="黑体;方正黑体_GBK" w:cs="Times New Roman;Nimbus Roman No9 L" w:hint="eastAsia" w:eastAsia="黑体;方正黑体_GBK"/>
          <w:kern w:val="2"/>
          <w:sz w:val="32"/>
          <w:szCs w:val="21"/>
        </w:rPr>
        <w:t>第七条</w:t>
      </w:r>
      <w:r>
        <w:rPr>
          <w:rFonts w:ascii="CESI仿宋-GB2312" w:hAnsi="CESI仿宋-GB2312" w:cs="CESI仿宋-GB2312" w:hint="eastAsia" w:eastAsia="CESI仿宋-GB2312"/>
          <w:color w:val="000000"/>
          <w:sz w:val="32"/>
          <w:szCs w:val="32"/>
        </w:rPr>
        <w:t xml:space="preserve">  县级以上人民政府旅游和文化主管部门</w:t>
      </w:r>
      <w:r>
        <w:rPr>
          <w:rFonts w:ascii="CESI仿宋-GB2312" w:hAnsi="CESI仿宋-GB2312" w:cs="CESI仿宋-GB2312" w:hint="eastAsia" w:eastAsia="CESI仿宋-GB2312"/>
          <w:bCs/>
          <w:color w:val="000000"/>
          <w:kern w:val="2"/>
          <w:sz w:val="32"/>
          <w:szCs w:val="32"/>
        </w:rPr>
        <w:t>应当</w:t>
      </w:r>
      <w:r>
        <w:rPr>
          <w:rFonts w:ascii="CESI仿宋-GB2312" w:hAnsi="CESI仿宋-GB2312" w:cs="CESI仿宋-GB2312" w:hint="eastAsia" w:eastAsia="CESI仿宋-GB2312"/>
          <w:color w:val="000000"/>
          <w:sz w:val="32"/>
          <w:szCs w:val="32"/>
        </w:rPr>
        <w:t>按照国家和本省有关规定确定和公布代表性项目保护单位，</w:t>
      </w:r>
      <w:r>
        <w:rPr>
          <w:rFonts w:ascii="CESI仿宋-GB2312" w:hAnsi="CESI仿宋-GB2312" w:cs="CESI仿宋-GB2312" w:hint="eastAsia" w:eastAsia="CESI仿宋-GB2312"/>
          <w:bCs/>
          <w:color w:val="000000"/>
          <w:kern w:val="2"/>
          <w:sz w:val="32"/>
          <w:szCs w:val="32"/>
        </w:rPr>
        <w:t>并通过补助、奖励等方式予以支持。鼓励有条件的企业事业单位、社会组织申请成为代表性项目的保护单位。</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sz w:val="32"/>
          <w:szCs w:val="32"/>
        </w:rPr>
      </w:pPr>
      <w:r>
        <w:rPr>
          <w:rFonts w:ascii="CESI仿宋-GB2312" w:hAnsi="CESI仿宋-GB2312" w:cs="CESI仿宋-GB2312" w:hint="eastAsia" w:eastAsia="CESI仿宋-GB2312"/>
          <w:color w:val="000000"/>
          <w:sz w:val="32"/>
          <w:szCs w:val="32"/>
        </w:rPr>
        <w:t>县级以上人民政府旅游和文化主管部门</w:t>
      </w:r>
      <w:r>
        <w:rPr>
          <w:rFonts w:ascii="CESI仿宋-GB2312" w:hAnsi="CESI仿宋-GB2312" w:cs="CESI仿宋-GB2312" w:hint="eastAsia" w:eastAsia="CESI仿宋-GB2312"/>
          <w:bCs/>
          <w:color w:val="000000"/>
          <w:kern w:val="2"/>
          <w:sz w:val="32"/>
          <w:szCs w:val="32"/>
        </w:rPr>
        <w:t>应当</w:t>
      </w:r>
      <w:r>
        <w:rPr>
          <w:rFonts w:ascii="CESI仿宋-GB2312" w:hAnsi="CESI仿宋-GB2312" w:cs="CESI仿宋-GB2312" w:hint="eastAsia" w:eastAsia="CESI仿宋-GB2312"/>
          <w:color w:val="000000"/>
          <w:sz w:val="32"/>
          <w:szCs w:val="32"/>
        </w:rPr>
        <w:t>按照国家和本省有关规定认定和公布代表性传承人、代表性传承团体（群体），并通过</w:t>
      </w:r>
      <w:r>
        <w:rPr>
          <w:rFonts w:ascii="CESI仿宋-GB2312" w:hAnsi="CESI仿宋-GB2312" w:cs="CESI仿宋-GB2312" w:hint="eastAsia" w:eastAsia="CESI仿宋-GB2312"/>
          <w:color w:val="000000"/>
          <w:kern w:val="2"/>
          <w:sz w:val="32"/>
          <w:szCs w:val="32"/>
        </w:rPr>
        <w:t>提供必要的场所、保护补助费用和支持代表性传承人参与社会性公益活动、支持代表性传承人申报专业技术职称、人才认定等方式予以扶</w:t>
      </w:r>
      <w:r>
        <w:rPr>
          <w:rFonts w:ascii="CESI仿宋-GB2312" w:hAnsi="CESI仿宋-GB2312" w:cs="CESI仿宋-GB2312" w:hint="eastAsia" w:eastAsia="CESI仿宋-GB2312"/>
          <w:color w:val="000000"/>
          <w:sz w:val="32"/>
          <w:szCs w:val="32"/>
        </w:rPr>
        <w:t>持。</w:t>
      </w:r>
    </w:p>
    <w:p>
      <w:pPr>
        <w:pStyle w:val="Normal"/>
        <w:keepNext w:val="false"/>
        <w:keepLines w:val="false"/>
        <w:pageBreakBefore w:val="false"/>
        <w:widowControl w:val="false"/>
        <w:shd w:fill="FFFFFF" w:val="clear"/>
        <w:kinsoku w:val="true"/>
        <w:autoSpaceDE w:val="true"/>
        <w:bidi w:val="0"/>
        <w:snapToGrid w:val="true"/>
        <w:spacing w:lineRule="exact" w:line="560"/>
        <w:ind w:firstLine="480" w:end="0"/>
        <w:jc w:val="both"/>
        <w:textAlignment w:val="baseline"/>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代表性项目保护单位、代表性传承人、代表性传承团体（群体）依照国家和本省有关规定享有相应的权利，承担相应的保护义务。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baseline"/>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第八条</w:t>
      </w:r>
      <w:r>
        <w:rPr>
          <w:rFonts w:ascii="CESI仿宋-GB2312" w:hAnsi="CESI仿宋-GB2312" w:cs="CESI仿宋-GB2312" w:hint="eastAsia" w:eastAsia="CESI仿宋-GB2312"/>
          <w:color w:val="000000"/>
          <w:sz w:val="32"/>
          <w:szCs w:val="32"/>
        </w:rPr>
        <w:t xml:space="preserve">  县级以上人民政府旅游和文化主管部门应当定期对本级代表性项目的保护情况进行评估，并向社会公开评估结果，评估结果作为奖惩依据。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jc w:val="both"/>
        <w:textAlignment w:val="baseline"/>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项目保护单位、代表性传承人或者代表性传承团体（群体）存在下列情形之一的，由原认定部门取消其项目保护单位、代表性传承人或者代表性传承团体（群体）资格，向社会公布，并可以重新认定：</w:t>
      </w:r>
    </w:p>
    <w:p>
      <w:pPr>
        <w:pStyle w:val="Normal"/>
        <w:keepNext w:val="false"/>
        <w:keepLines w:val="false"/>
        <w:pageBreakBefore w:val="false"/>
        <w:widowControl w:val="false"/>
        <w:shd w:fill="FFFFFF" w:val="clear"/>
        <w:kinsoku w:val="true"/>
        <w:autoSpaceDE w:val="true"/>
        <w:bidi w:val="0"/>
        <w:snapToGrid w:val="true"/>
        <w:spacing w:lineRule="exact" w:line="560"/>
        <w:ind w:firstLine="496" w:end="0"/>
        <w:jc w:val="both"/>
        <w:textAlignment w:val="baseline"/>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（一）无正当理由不履行规定义务的；</w:t>
      </w:r>
    </w:p>
    <w:p>
      <w:pPr>
        <w:pStyle w:val="Normal"/>
        <w:keepNext w:val="false"/>
        <w:keepLines w:val="false"/>
        <w:pageBreakBefore w:val="false"/>
        <w:widowControl w:val="false"/>
        <w:shd w:fill="FFFFFF" w:val="clear"/>
        <w:kinsoku w:val="true"/>
        <w:autoSpaceDE w:val="true"/>
        <w:bidi w:val="0"/>
        <w:snapToGrid w:val="true"/>
        <w:spacing w:lineRule="exact" w:line="560"/>
        <w:ind w:firstLine="496" w:end="0"/>
        <w:jc w:val="both"/>
        <w:textAlignment w:val="baseline"/>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（二）因保护不力、保护措施不当或者违反合理利用原则，导致代表性项目存续状况恶化或者失去真实性的；</w:t>
      </w:r>
    </w:p>
    <w:p>
      <w:pPr>
        <w:pStyle w:val="Normal"/>
        <w:keepNext w:val="false"/>
        <w:keepLines w:val="false"/>
        <w:pageBreakBefore w:val="false"/>
        <w:widowControl w:val="false"/>
        <w:shd w:fill="FFFFFF" w:val="clear"/>
        <w:kinsoku w:val="true"/>
        <w:autoSpaceDE w:val="true"/>
        <w:bidi w:val="0"/>
        <w:snapToGrid w:val="true"/>
        <w:spacing w:lineRule="exact" w:line="560"/>
        <w:ind w:firstLine="496" w:end="0"/>
        <w:jc w:val="both"/>
        <w:textAlignment w:val="baseline"/>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（三）违反法律法规造成恶劣影响的。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strike w:val="false"/>
          <w:dstrike w:val="false"/>
          <w:color w:val="000000"/>
          <w:sz w:val="32"/>
          <w:szCs w:val="32"/>
        </w:rPr>
      </w:pPr>
      <w:r>
        <w:rPr>
          <w:rFonts w:ascii="CESI仿宋-GB2312" w:hAnsi="CESI仿宋-GB2312" w:cs="CESI仿宋-GB2312" w:hint="eastAsia" w:eastAsia="CESI仿宋-GB2312"/>
          <w:color w:val="000000"/>
          <w:sz w:val="32"/>
          <w:szCs w:val="32"/>
        </w:rPr>
        <w:t>代表性传承人丧失传承能力的，原认定部门可以授予其名誉传承人称号，并重新认定代表性传承人。</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黑体;方正黑体_GBK" w:hAnsi="黑体;方正黑体_GBK" w:cs="Times New Roman;Nimbus Roman No9 L" w:hint="eastAsia" w:eastAsia="黑体;方正黑体_GBK"/>
          <w:kern w:val="2"/>
          <w:sz w:val="32"/>
          <w:szCs w:val="21"/>
        </w:rPr>
        <w:t>第九条</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 xml:space="preserve">  鼓励和支持举办、参加国内外非物质文化遗产宣传、展示、传播和交流活动，加强与香港特别行政区、澳门特别行政区和台湾地区以及“一带一路”沿线国家和地区非物质文化遗产保护的研究、交流与合作。</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鼓励和支持华侨华人参与非物质文化遗产传承、传播、宣传和推广，</w:t>
      </w:r>
      <w:r>
        <w:rPr>
          <w:rFonts w:ascii="CESI仿宋-GB2312" w:hAnsi="CESI仿宋-GB2312" w:cs="CESI仿宋-GB2312" w:hint="eastAsia" w:eastAsia="CESI仿宋-GB2312"/>
          <w:bCs/>
          <w:color w:val="000000"/>
          <w:kern w:val="2"/>
          <w:sz w:val="32"/>
          <w:szCs w:val="32"/>
        </w:rPr>
        <w:t>加强对琼剧等起源于本省且在境外传承的非物质文化遗产的研究、交流和合作，创新合作模式，联合打造特色文化品牌。</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县级以上人民政府应当结合文化和自然遗产日、</w:t>
      </w:r>
      <w:r>
        <w:rPr>
          <w:rFonts w:ascii="CESI仿宋-GB2312" w:hAnsi="CESI仿宋-GB2312" w:cs="CESI仿宋-GB2312" w:hint="eastAsia" w:eastAsia="CESI仿宋-GB2312"/>
          <w:bCs/>
          <w:color w:val="000000"/>
          <w:kern w:val="2"/>
          <w:sz w:val="32"/>
          <w:szCs w:val="32"/>
        </w:rPr>
        <w:t>欢乐节、</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传统节庆等活动以及博鳌亚洲论坛、中国国际消费品博览会、海南岛国际电影节等国际活动，</w:t>
      </w:r>
      <w:r>
        <w:rPr>
          <w:rFonts w:ascii="CESI仿宋-GB2312" w:hAnsi="CESI仿宋-GB2312" w:cs="CESI仿宋-GB2312" w:hint="eastAsia" w:eastAsia="CESI仿宋-GB2312"/>
          <w:bCs/>
          <w:color w:val="000000"/>
          <w:kern w:val="2"/>
          <w:sz w:val="32"/>
          <w:szCs w:val="32"/>
        </w:rPr>
        <w:t>通过搭建文化数据服务平台、推行多语言交互新型数字化体验等方式，</w:t>
      </w: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对非物质文化遗产进行宣传、展示、传播和交流。</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bCs/>
          <w:color w:val="000000"/>
          <w:kern w:val="2"/>
          <w:sz w:val="32"/>
          <w:szCs w:val="32"/>
        </w:rPr>
        <w:t>省和相关市、县、自治县人民政府及有关部门应当履行联合国教科文组织《保护非物质文化遗产公约》，采取扩大原材料种植生产基地和传承体验设施建设、扩大传承人群、扶持产业发展等措施，加强对黎族传统纺染织绣技艺的保护和传承。</w:t>
      </w:r>
      <w:r>
        <w:rPr>
          <w:rFonts w:ascii="CESI仿宋-GB2312" w:hAnsi="CESI仿宋-GB2312" w:cs="CESI仿宋-GB2312" w:hint="eastAsia" w:eastAsia="CESI仿宋-GB2312"/>
          <w:color w:val="000000"/>
          <w:sz w:val="32"/>
          <w:szCs w:val="32"/>
        </w:rPr>
        <w:t xml:space="preserve"> </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黑体;方正黑体_GBK" w:hAnsi="黑体;方正黑体_GBK" w:cs="Times New Roman;Nimbus Roman No9 L" w:hint="eastAsia" w:eastAsia="黑体;方正黑体_GBK"/>
          <w:kern w:val="2"/>
          <w:sz w:val="32"/>
          <w:szCs w:val="21"/>
        </w:rPr>
        <w:t>第十条</w:t>
      </w:r>
      <w:r>
        <w:rPr>
          <w:rFonts w:ascii="CESI仿宋-GB2312" w:hAnsi="CESI仿宋-GB2312" w:cs="CESI仿宋-GB2312" w:hint="eastAsia" w:eastAsia="CESI仿宋-GB2312"/>
          <w:color w:val="000000"/>
          <w:sz w:val="32"/>
          <w:szCs w:val="32"/>
        </w:rPr>
        <w:t xml:space="preserve">  县级以上人民政府应当将具有海南特色、适宜普及推广的传统音乐、舞蹈、戏剧、</w:t>
      </w:r>
      <w:r>
        <w:rPr>
          <w:rFonts w:ascii="CESI仿宋-GB2312" w:hAnsi="CESI仿宋-GB2312" w:cs="CESI仿宋-GB2312" w:hint="eastAsia" w:eastAsia="CESI仿宋-GB2312"/>
          <w:bCs/>
          <w:color w:val="000000"/>
          <w:kern w:val="2"/>
          <w:sz w:val="32"/>
          <w:szCs w:val="32"/>
        </w:rPr>
        <w:t>体育</w:t>
      </w:r>
      <w:r>
        <w:rPr>
          <w:rFonts w:ascii="CESI仿宋-GB2312" w:hAnsi="CESI仿宋-GB2312" w:cs="CESI仿宋-GB2312" w:hint="eastAsia" w:eastAsia="CESI仿宋-GB2312"/>
          <w:color w:val="000000"/>
          <w:sz w:val="32"/>
          <w:szCs w:val="32"/>
        </w:rPr>
        <w:t>等代表性项目纳入公共文化服务目录；</w:t>
      </w:r>
      <w:r>
        <w:rPr>
          <w:rFonts w:ascii="CESI仿宋-GB2312" w:hAnsi="CESI仿宋-GB2312" w:cs="CESI仿宋-GB2312" w:hint="eastAsia" w:eastAsia="CESI仿宋-GB2312"/>
          <w:bCs/>
          <w:color w:val="000000"/>
          <w:kern w:val="2"/>
          <w:sz w:val="32"/>
          <w:szCs w:val="32"/>
        </w:rPr>
        <w:t>将传统体育、游艺代表性项目纳入全民健身活动；推动非物质文化遗产融入社区建设，打造社区特色文化。</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县级以上人民政府相关主管部门应当统筹本地的国有剧场资源，通过免费或者低收费等方式，支持传统音乐、舞蹈、戏剧等代表性项目展示展演</w:t>
      </w:r>
      <w:r>
        <w:rPr>
          <w:rFonts w:ascii="CESI仿宋-GB2312" w:hAnsi="CESI仿宋-GB2312" w:cs="CESI仿宋-GB2312" w:hint="eastAsia" w:eastAsia="CESI仿宋-GB2312"/>
          <w:bCs/>
          <w:color w:val="000000"/>
          <w:kern w:val="2"/>
          <w:sz w:val="32"/>
          <w:szCs w:val="32"/>
        </w:rPr>
        <w:t>。</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黑体;方正黑体_GBK" w:hAnsi="黑体;方正黑体_GBK" w:cs="Times New Roman;Nimbus Roman No9 L" w:hint="eastAsia" w:eastAsia="黑体;方正黑体_GBK"/>
          <w:kern w:val="2"/>
          <w:sz w:val="32"/>
          <w:szCs w:val="21"/>
        </w:rPr>
        <w:t>第十一条</w:t>
      </w:r>
      <w:r>
        <w:rPr>
          <w:rFonts w:ascii="CESI仿宋-GB2312" w:hAnsi="CESI仿宋-GB2312" w:cs="CESI仿宋-GB2312" w:hint="eastAsia" w:eastAsia="CESI仿宋-GB2312"/>
          <w:color w:val="000000"/>
          <w:sz w:val="32"/>
          <w:szCs w:val="32"/>
        </w:rPr>
        <w:t xml:space="preserve">  </w:t>
      </w:r>
      <w:r>
        <w:rPr>
          <w:rFonts w:ascii="CESI仿宋-GB2312" w:hAnsi="CESI仿宋-GB2312" w:cs="CESI仿宋-GB2312" w:hint="eastAsia" w:eastAsia="CESI仿宋-GB2312"/>
          <w:bCs/>
          <w:color w:val="000000"/>
          <w:kern w:val="2"/>
          <w:sz w:val="32"/>
          <w:szCs w:val="32"/>
        </w:rPr>
        <w:t>省人民政府和</w:t>
      </w:r>
      <w:r>
        <w:rPr>
          <w:rFonts w:ascii="CESI仿宋-GB2312" w:hAnsi="CESI仿宋-GB2312" w:cs="CESI仿宋-GB2312" w:hint="eastAsia" w:eastAsia="CESI仿宋-GB2312"/>
          <w:color w:val="000000"/>
          <w:sz w:val="32"/>
          <w:szCs w:val="32"/>
        </w:rPr>
        <w:t>有条件的市、县、自治县人民政府应当建立完善集传承、体验、教育、培训、旅游等功能于一体的非物质文化遗产馆、</w:t>
      </w:r>
      <w:r>
        <w:rPr>
          <w:rFonts w:ascii="CESI仿宋-GB2312" w:hAnsi="CESI仿宋-GB2312" w:cs="CESI仿宋-GB2312" w:hint="eastAsia" w:eastAsia="CESI仿宋-GB2312"/>
          <w:bCs/>
          <w:color w:val="000000"/>
          <w:kern w:val="2"/>
          <w:sz w:val="32"/>
          <w:szCs w:val="32"/>
        </w:rPr>
        <w:t>博物馆、</w:t>
      </w:r>
      <w:r>
        <w:rPr>
          <w:rFonts w:ascii="CESI仿宋-GB2312" w:hAnsi="CESI仿宋-GB2312" w:cs="CESI仿宋-GB2312" w:hint="eastAsia" w:eastAsia="CESI仿宋-GB2312"/>
          <w:color w:val="000000"/>
          <w:sz w:val="32"/>
          <w:szCs w:val="32"/>
        </w:rPr>
        <w:t>传承体验中心（所、点）等传承体验设施，运用现代科技手段对非物质文化遗产进行创新展示。</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color w:val="000000"/>
          <w:sz w:val="32"/>
          <w:szCs w:val="32"/>
        </w:rPr>
        <w:t>鼓励公民、法人和其他组织兴办非物质文化遗产专题馆、</w:t>
      </w:r>
      <w:r>
        <w:rPr>
          <w:rFonts w:ascii="CESI仿宋-GB2312" w:hAnsi="CESI仿宋-GB2312" w:cs="CESI仿宋-GB2312" w:hint="eastAsia" w:eastAsia="CESI仿宋-GB2312"/>
          <w:bCs/>
          <w:color w:val="000000"/>
          <w:kern w:val="2"/>
          <w:sz w:val="32"/>
          <w:szCs w:val="32"/>
        </w:rPr>
        <w:t>博物馆、</w:t>
      </w:r>
      <w:r>
        <w:rPr>
          <w:rFonts w:ascii="CESI仿宋-GB2312" w:hAnsi="CESI仿宋-GB2312" w:cs="CESI仿宋-GB2312" w:hint="eastAsia" w:eastAsia="CESI仿宋-GB2312"/>
          <w:color w:val="000000"/>
          <w:sz w:val="32"/>
          <w:szCs w:val="32"/>
        </w:rPr>
        <w:t>展览馆和传习馆（所）等传承体验设施。县级以上人民政府应当采取定向资助、贷款贴息等政策措施予以支持。</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黑体;方正黑体_GBK" w:hAnsi="黑体;方正黑体_GBK" w:cs="Times New Roman;Nimbus Roman No9 L" w:hint="eastAsia" w:eastAsia="黑体;方正黑体_GBK"/>
          <w:kern w:val="2"/>
          <w:sz w:val="32"/>
          <w:szCs w:val="21"/>
        </w:rPr>
        <w:t>第十二条</w:t>
      </w:r>
      <w:r>
        <w:rPr>
          <w:rFonts w:ascii="CESI仿宋-GB2312" w:hAnsi="CESI仿宋-GB2312" w:cs="CESI仿宋-GB2312" w:hint="eastAsia" w:eastAsia="CESI仿宋-GB2312"/>
          <w:bCs/>
          <w:color w:val="000000"/>
          <w:kern w:val="2"/>
          <w:sz w:val="32"/>
          <w:szCs w:val="32"/>
        </w:rPr>
        <w:t xml:space="preserve">  县级以上人民政府旅游和文化、教育、人力资源和社会保障主管部门应当采取下列措施，培养非物质文化遗产传承人和后继人才：</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（一）组织代表性传承人、后继人才及相关从业者等参加相关研习和培训；</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（二）支持高等院校、职业学校建立非物质文化遗产教学、研究基地，设置相关专业和课程，对就学人员按照规定给予资助；</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（三）支持项目保护单位、代表性传承人或团体（群体）参与非物质文化遗产知识教育和实践活动；</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（四）引导公民、法人和其他组织参与非物质文化遗产教育培训。</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黑体;方正黑体_GBK" w:hAnsi="黑体;方正黑体_GBK" w:cs="Times New Roman;Nimbus Roman No9 L" w:hint="eastAsia" w:eastAsia="黑体;方正黑体_GBK"/>
          <w:kern w:val="2"/>
          <w:sz w:val="32"/>
          <w:szCs w:val="21"/>
        </w:rPr>
        <w:t>第十三条</w:t>
      </w:r>
      <w:r>
        <w:rPr>
          <w:rFonts w:ascii="CESI仿宋-GB2312" w:hAnsi="CESI仿宋-GB2312" w:cs="CESI仿宋-GB2312" w:hint="eastAsia" w:eastAsia="CESI仿宋-GB2312"/>
          <w:b w:val="false"/>
          <w:bCs w:val="false"/>
          <w:color w:val="000000"/>
          <w:sz w:val="32"/>
          <w:szCs w:val="32"/>
        </w:rPr>
        <w:t xml:space="preserve">  </w:t>
      </w:r>
      <w:r>
        <w:rPr>
          <w:rFonts w:ascii="CESI仿宋-GB2312" w:hAnsi="CESI仿宋-GB2312" w:cs="CESI仿宋-GB2312" w:hint="eastAsia" w:eastAsia="CESI仿宋-GB2312"/>
          <w:bCs/>
          <w:color w:val="000000"/>
          <w:kern w:val="2"/>
          <w:sz w:val="32"/>
          <w:szCs w:val="32"/>
        </w:rPr>
        <w:t>支持</w:t>
      </w:r>
      <w:r>
        <w:rPr>
          <w:rFonts w:ascii="CESI仿宋-GB2312" w:hAnsi="CESI仿宋-GB2312" w:cs="CESI仿宋-GB2312" w:hint="eastAsia" w:eastAsia="CESI仿宋-GB2312"/>
          <w:b w:val="false"/>
          <w:bCs w:val="false"/>
          <w:color w:val="000000"/>
          <w:sz w:val="32"/>
          <w:szCs w:val="32"/>
        </w:rPr>
        <w:t>合理利用非物质文化遗产，打造具有海南特色的文化品牌。</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鼓励公民、法人和其他组织合理利用非物质文化遗产创作开发动漫、游戏、演艺、影视、艺术品、文化创意产品等特色文化产品和服务。</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鼓励公民、法人和其他组织合理开发利用传统美术、传统技艺、中药炮制及其他传统工艺，促进传统工艺的传承与振兴。支持符合条件的传统工艺企业申报中华老字号和海南老字号，支持将中华老字号和海南老字号中符合条件的传统技艺申报非物质文化遗产代表性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b w:val="false"/>
          <w:bCs w:val="false"/>
          <w:i w:val="false"/>
          <w:caps w:val="false"/>
          <w:smallCaps w:val="false"/>
          <w:color w:val="000000"/>
          <w:spacing w:val="0"/>
          <w:sz w:val="32"/>
          <w:szCs w:val="32"/>
          <w:shd w:fill="FFFFFF" w:val="clear"/>
        </w:rPr>
      </w:pPr>
      <w:r>
        <w:rPr>
          <w:rFonts w:ascii="CESI仿宋-GB2312" w:hAnsi="CESI仿宋-GB2312" w:cs="CESI仿宋-GB2312" w:hint="eastAsia" w:eastAsia="CESI仿宋-GB2312"/>
          <w:b w:val="false"/>
          <w:bCs w:val="false"/>
          <w:i w:val="false"/>
          <w:caps w:val="false"/>
          <w:smallCaps w:val="false"/>
          <w:color w:val="000000"/>
          <w:spacing w:val="0"/>
          <w:sz w:val="32"/>
          <w:szCs w:val="32"/>
          <w:shd w:fill="FFFFFF" w:val="clear"/>
        </w:rPr>
        <w:t>鼓励公民、法人和其他组织充分利用海南自由贸易港贸易自由便利等政策优势，拓展国际市场，开展非物质文化遗产相关产品和服务跨境贸易。</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color w:val="000000"/>
          <w:sz w:val="32"/>
          <w:szCs w:val="32"/>
        </w:rPr>
      </w:pPr>
      <w:r>
        <w:rPr>
          <w:rFonts w:ascii="黑体;方正黑体_GBK" w:hAnsi="黑体;方正黑体_GBK" w:cs="Times New Roman;Nimbus Roman No9 L" w:hint="eastAsia" w:eastAsia="黑体;方正黑体_GBK"/>
          <w:kern w:val="2"/>
          <w:sz w:val="32"/>
          <w:szCs w:val="21"/>
        </w:rPr>
        <w:t>第十四条</w:t>
      </w:r>
      <w:r>
        <w:rPr>
          <w:rFonts w:ascii="CESI仿宋-GB2312" w:hAnsi="CESI仿宋-GB2312" w:cs="CESI仿宋-GB2312" w:hint="eastAsia" w:eastAsia="CESI仿宋-GB2312"/>
          <w:color w:val="000000"/>
          <w:sz w:val="32"/>
          <w:szCs w:val="32"/>
        </w:rPr>
        <w:t xml:space="preserve">  县级以上人民政府应当</w:t>
      </w:r>
      <w:r>
        <w:rPr>
          <w:rFonts w:ascii="CESI仿宋-GB2312" w:hAnsi="CESI仿宋-GB2312" w:cs="CESI仿宋-GB2312" w:hint="eastAsia" w:eastAsia="CESI仿宋-GB2312"/>
          <w:bCs/>
          <w:color w:val="000000"/>
          <w:kern w:val="2"/>
          <w:sz w:val="32"/>
          <w:szCs w:val="32"/>
        </w:rPr>
        <w:t>结合国际旅游消费中心建设，</w:t>
      </w:r>
      <w:r>
        <w:rPr>
          <w:rFonts w:ascii="CESI仿宋-GB2312" w:hAnsi="CESI仿宋-GB2312" w:cs="CESI仿宋-GB2312" w:hint="eastAsia" w:eastAsia="CESI仿宋-GB2312"/>
          <w:color w:val="000000"/>
          <w:sz w:val="32"/>
          <w:szCs w:val="32"/>
        </w:rPr>
        <w:t>推动非物质文化遗产与旅游融合发展。推进非物质文化遗产有机融入景区、度假区、</w:t>
      </w:r>
      <w:r>
        <w:rPr>
          <w:rFonts w:ascii="CESI仿宋-GB2312" w:hAnsi="CESI仿宋-GB2312" w:cs="CESI仿宋-GB2312" w:hint="eastAsia" w:eastAsia="CESI仿宋-GB2312"/>
          <w:bCs/>
          <w:color w:val="000000"/>
          <w:kern w:val="2"/>
          <w:sz w:val="32"/>
          <w:szCs w:val="32"/>
        </w:rPr>
        <w:t>公园、</w:t>
      </w:r>
      <w:r>
        <w:rPr>
          <w:rFonts w:ascii="CESI仿宋-GB2312" w:hAnsi="CESI仿宋-GB2312" w:cs="CESI仿宋-GB2312" w:hint="eastAsia" w:eastAsia="CESI仿宋-GB2312"/>
          <w:color w:val="000000"/>
          <w:sz w:val="32"/>
          <w:szCs w:val="32"/>
        </w:rPr>
        <w:t>酒店、商场；支持利用非物质文化遗产传承体验设施，培育旅游体验基地；鼓励开发具有非物质文化遗产特色的主题旅游线路、研学旅游产品和演艺作品。</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黑体;方正黑体_GBK" w:hAnsi="黑体;方正黑体_GBK" w:cs="Times New Roman;Nimbus Roman No9 L" w:hint="eastAsia" w:eastAsia="黑体;方正黑体_GBK"/>
          <w:kern w:val="2"/>
          <w:sz w:val="32"/>
          <w:szCs w:val="21"/>
        </w:rPr>
        <w:t>第十五条</w:t>
      </w:r>
      <w:r>
        <w:rPr>
          <w:rFonts w:ascii="CESI仿宋-GB2312" w:hAnsi="CESI仿宋-GB2312" w:cs="CESI仿宋-GB2312" w:hint="eastAsia" w:eastAsia="CESI仿宋-GB2312"/>
          <w:bCs/>
          <w:color w:val="000000"/>
          <w:kern w:val="2"/>
          <w:sz w:val="32"/>
          <w:szCs w:val="32"/>
        </w:rPr>
        <w:t xml:space="preserve">  县级以上人民政府应当结合乡村振兴战略，依托区域内独具特色的非物质文化遗产，支持设立非物质文化遗产就业工坊、合作社、家庭工场等，推动乡村地区传统工艺振兴，发展乡村特色文化体育产业、乡村旅游，建设文明乡村。</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黑体;方正黑体_GBK" w:hAnsi="黑体;方正黑体_GBK" w:cs="Times New Roman;Nimbus Roman No9 L" w:hint="eastAsia" w:eastAsia="黑体;方正黑体_GBK"/>
          <w:kern w:val="2"/>
          <w:sz w:val="32"/>
          <w:szCs w:val="21"/>
        </w:rPr>
        <w:t>第十六条</w:t>
      </w:r>
      <w:r>
        <w:rPr>
          <w:rFonts w:ascii="CESI仿宋-GB2312" w:hAnsi="CESI仿宋-GB2312" w:cs="CESI仿宋-GB2312" w:hint="eastAsia" w:eastAsia="CESI仿宋-GB2312"/>
          <w:bCs/>
          <w:color w:val="000000"/>
          <w:kern w:val="2"/>
          <w:sz w:val="32"/>
          <w:szCs w:val="32"/>
        </w:rPr>
        <w:t xml:space="preserve">  县级以上人民政府及有关部门应当对合理利用代表性项目的公民、法人和其他组织，在场所提供、宣传推介、产品销售等方面予以支持，按照国家和本省有关规定保障其在税收、行政事业性收费等方面所享受的优惠政策和待遇，并可以根据工作需要采购非物质文化遗产相关产品和服务。</w:t>
      </w:r>
    </w:p>
    <w:p>
      <w:pPr>
        <w:pStyle w:val="Style16"/>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560" w:before="0" w:after="0"/>
        <w:ind w:firstLineChars="200" w:startChars="0" w:start="0" w:endChars="0" w:end="0"/>
        <w:jc w:val="both"/>
        <w:textAlignment w:val="auto"/>
        <w:rPr>
          <w:rFonts w:ascii="CESI仿宋-GB2312" w:hAnsi="CESI仿宋-GB2312" w:eastAsia="CESI仿宋-GB2312" w:cs="CESI仿宋-GB2312" w:hint="eastAsia"/>
          <w:bCs/>
          <w:color w:val="000000"/>
          <w:kern w:val="2"/>
          <w:sz w:val="32"/>
          <w:szCs w:val="32"/>
        </w:rPr>
      </w:pPr>
      <w:r>
        <w:rPr>
          <w:rFonts w:ascii="CESI仿宋-GB2312" w:hAnsi="CESI仿宋-GB2312" w:cs="CESI仿宋-GB2312" w:hint="eastAsia" w:eastAsia="CESI仿宋-GB2312"/>
          <w:bCs/>
          <w:color w:val="000000"/>
          <w:kern w:val="2"/>
          <w:sz w:val="32"/>
          <w:szCs w:val="32"/>
        </w:rPr>
        <w:t>鼓励和引导金融机构通过创新金融产品等方式，为开发利用代表性项目提供金融支持。</w:t>
      </w:r>
    </w:p>
    <w:p>
      <w:pPr>
        <w:pStyle w:val="Normal"/>
        <w:keepNext w:val="false"/>
        <w:keepLines w:val="false"/>
        <w:pageBreakBefore w:val="false"/>
        <w:widowControl w:val="false"/>
        <w:shd w:fill="FFFFFF" w:val="clear"/>
        <w:kinsoku w:val="true"/>
        <w:autoSpaceDE w:val="true"/>
        <w:bidi w:val="0"/>
        <w:snapToGrid w:val="true"/>
        <w:spacing w:lineRule="exact" w:line="560"/>
        <w:ind w:firstLineChars="200" w:startChars="0" w:start="0" w:endChars="0" w:end="0"/>
        <w:jc w:val="both"/>
        <w:textAlignment w:val="baseline"/>
        <w:rPr>
          <w:rFonts w:ascii="CESI仿宋-GB2312" w:hAnsi="CESI仿宋-GB2312" w:eastAsia="CESI仿宋-GB2312" w:cs="CESI仿宋-GB2312" w:hint="eastAsia"/>
          <w:color w:val="000000"/>
          <w:sz w:val="32"/>
          <w:szCs w:val="32"/>
        </w:rPr>
      </w:pPr>
      <w:r>
        <w:rPr>
          <w:rFonts w:ascii="黑体;方正黑体_GBK" w:hAnsi="黑体;方正黑体_GBK" w:hint="eastAsia" w:eastAsia="黑体;方正黑体_GBK"/>
          <w:sz w:val="32"/>
          <w:szCs w:val="21"/>
        </w:rPr>
        <w:t>第十七条</w:t>
      </w:r>
      <w:r>
        <w:rPr>
          <w:rFonts w:ascii="CESI仿宋-GB2312" w:hAnsi="CESI仿宋-GB2312" w:cs="CESI仿宋-GB2312" w:hint="eastAsia" w:eastAsia="CESI仿宋-GB2312"/>
          <w:bCs/>
          <w:color w:val="000000"/>
          <w:sz w:val="32"/>
          <w:szCs w:val="32"/>
        </w:rPr>
        <w:t xml:space="preserve">  </w:t>
      </w:r>
      <w:r>
        <w:rPr>
          <w:rFonts w:ascii="CESI仿宋-GB2312" w:hAnsi="CESI仿宋-GB2312" w:cs="CESI仿宋-GB2312" w:hint="eastAsia" w:eastAsia="CESI仿宋-GB2312"/>
          <w:color w:val="000000"/>
          <w:sz w:val="32"/>
          <w:szCs w:val="32"/>
        </w:rPr>
        <w:t>县级以上人民政府旅游和文化主管部门应当会同有关部门支持、指导非物质文化遗产项目保护单位、代表性传承人、代表性传承团体（群体）等，将涉及知识产权的传统手工技艺、生产工具、艺术表现形式等申请专利、注册商标、申报地理标志和著作权登记。</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rFonts w:ascii="CESI仿宋-GB2312" w:hAnsi="CESI仿宋-GB2312" w:eastAsia="CESI仿宋-GB2312" w:cs="CESI仿宋-GB2312" w:hint="eastAsia"/>
          <w:strike w:val="false"/>
          <w:dstrike w:val="false"/>
          <w:color w:val="000000"/>
          <w:sz w:val="32"/>
          <w:szCs w:val="32"/>
        </w:rPr>
      </w:pPr>
      <w:r>
        <w:rPr>
          <w:rFonts w:ascii="CESI仿宋-GB2312" w:hAnsi="CESI仿宋-GB2312" w:cs="CESI仿宋-GB2312" w:hint="eastAsia" w:eastAsia="CESI仿宋-GB2312"/>
          <w:strike w:val="false"/>
          <w:dstrike w:val="false"/>
          <w:color w:val="000000"/>
          <w:sz w:val="32"/>
          <w:szCs w:val="32"/>
        </w:rPr>
        <w:t>支持非物质文化遗产相关行业组织依法为项目保护单位、代表性传承人、代表性传承团体（群体）的知识产权保护提供指导、咨询、信息等服务。</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rPr/>
      </w:pPr>
      <w:r>
        <w:rPr>
          <w:rFonts w:ascii="黑体;方正黑体_GBK" w:hAnsi="黑体;方正黑体_GBK" w:hint="eastAsia" w:eastAsia="黑体;方正黑体_GBK"/>
          <w:sz w:val="32"/>
          <w:szCs w:val="21"/>
        </w:rPr>
        <w:t>第十八条</w:t>
      </w:r>
      <w:r>
        <w:rPr>
          <w:rFonts w:ascii="CESI仿宋-GB2312" w:hAnsi="CESI仿宋-GB2312" w:cs="CESI仿宋-GB2312" w:hint="eastAsia" w:eastAsia="CESI仿宋-GB2312"/>
          <w:color w:val="000000"/>
          <w:sz w:val="32"/>
          <w:szCs w:val="32"/>
        </w:rPr>
        <w:t xml:space="preserve">  本规定自</w:t>
      </w:r>
      <w:r>
        <w:rPr>
          <w:rFonts w:eastAsia="CESI仿宋-GB2312" w:cs="CESI仿宋-GB2312" w:hint="eastAsia" w:ascii="CESI仿宋-GB2312" w:hAnsi="CESI仿宋-GB2312"/>
          <w:color w:val="000000"/>
          <w:sz w:val="32"/>
          <w:szCs w:val="32"/>
        </w:rPr>
        <w:t>2022</w:t>
      </w:r>
      <w:r>
        <w:rPr>
          <w:rFonts w:ascii="CESI仿宋-GB2312" w:hAnsi="CESI仿宋-GB2312" w:cs="CESI仿宋-GB2312" w:hint="eastAsia" w:eastAsia="CESI仿宋-GB2312"/>
          <w:color w:val="000000"/>
          <w:sz w:val="32"/>
          <w:szCs w:val="32"/>
        </w:rPr>
        <w:t>年</w:t>
      </w:r>
      <w:r>
        <w:rPr>
          <w:rFonts w:eastAsia="CESI仿宋-GB2312" w:cs="CESI仿宋-GB2312" w:hint="eastAsia" w:ascii="CESI仿宋-GB2312" w:hAnsi="CESI仿宋-GB2312"/>
          <w:color w:val="000000"/>
          <w:sz w:val="32"/>
          <w:szCs w:val="32"/>
        </w:rPr>
        <w:t>7</w:t>
      </w:r>
      <w:r>
        <w:rPr>
          <w:rFonts w:ascii="CESI仿宋-GB2312" w:hAnsi="CESI仿宋-GB2312" w:cs="CESI仿宋-GB2312" w:hint="eastAsia" w:eastAsia="CESI仿宋-GB2312"/>
          <w:color w:val="000000"/>
          <w:sz w:val="32"/>
          <w:szCs w:val="32"/>
        </w:rPr>
        <w:t>月</w:t>
      </w:r>
      <w:r>
        <w:rPr>
          <w:rFonts w:eastAsia="CESI仿宋-GB2312" w:cs="CESI仿宋-GB2312" w:hint="eastAsia" w:ascii="CESI仿宋-GB2312" w:hAnsi="CESI仿宋-GB2312"/>
          <w:color w:val="000000"/>
          <w:sz w:val="32"/>
          <w:szCs w:val="32"/>
        </w:rPr>
        <w:t>1</w:t>
      </w:r>
      <w:r>
        <w:rPr>
          <w:rFonts w:ascii="CESI仿宋-GB2312" w:hAnsi="CESI仿宋-GB2312" w:cs="CESI仿宋-GB2312" w:hint="eastAsia" w:eastAsia="CESI仿宋-GB2312"/>
          <w:color w:val="000000"/>
          <w:sz w:val="32"/>
          <w:szCs w:val="32"/>
        </w:rPr>
        <w:t>日起施行。</w:t>
      </w:r>
    </w:p>
    <w:sectPr>
      <w:footerReference w:type="default" r:id="rId2"/>
      <w:type w:val="nextPage"/>
      <w:pgSz w:w="11906" w:h="16838"/>
      <w:pgMar w:left="1531" w:right="1531" w:gutter="0" w:header="0" w:top="2211"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等线">
    <w:altName w:val="汉仪中圆B5"/>
    <w:charset w:val="00" w:characterSet="windows-1252"/>
    <w:family w:val="auto"/>
    <w:pitch w:val="default"/>
  </w:font>
  <w:font w:name="方正小标宋简体">
    <w:charset w:val="86"/>
    <w:family w:val="auto"/>
    <w:pitch w:val="default"/>
  </w:font>
  <w:font w:name="楷体">
    <w:altName w:val="方正楷体_GBK"/>
    <w:charset w:val="00" w:characterSet="windows-1252"/>
    <w:family w:val="auto"/>
    <w:pitch w:val="default"/>
  </w:font>
  <w:font w:name="黑体">
    <w:altName w:val="方正黑体_GBK"/>
    <w:charset w:val="00" w:characterSet="windows-1252"/>
    <w:family w:val="auto"/>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18.8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方正仿宋_GBK"/>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jc w:val="start"/>
    </w:pPr>
    <w:rPr>
      <w:rFonts w:ascii="宋体;方正书宋_GBK" w:hAnsi="宋体;方正书宋_GBK" w:cs="宋体;方正书宋_GBK"/>
      <w:kern w:val="0"/>
      <w:sz w:val="24"/>
      <w:szCs w:val="24"/>
    </w:rPr>
  </w:style>
  <w:style w:type="paragraph" w:styleId="BodyText1">
    <w:name w:val="BodyText"/>
    <w:basedOn w:val="Normal"/>
    <w:qFormat/>
    <w:pPr>
      <w:textAlignment w:val="baseline"/>
    </w:pPr>
    <w:rPr>
      <w:rFonts w:ascii="等线;汉仪中圆B5" w:hAnsi="等线;汉仪中圆B5" w:eastAsia="等线;汉仪中圆B5" w:cs="等线;汉仪中圆B5"/>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2022-05-11T00:36:00Z</dcterms:created>
  <dc:creator>uos</dc:creator>
  <dc:description/>
  <dc:language>en-US</dc:language>
  <cp:lastModifiedBy>uos</cp:lastModifiedBy>
  <cp:lastPrinted>2022-06-01T07:11:00Z</cp:lastPrinted>
  <dcterms:modified xsi:type="dcterms:W3CDTF">2022-06-01T00:01:42Z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D1CE462AEF264E0F9598FCCAE90A18DC</vt:lpwstr>
  </property>
  <property fmtid="{D5CDD505-2E9C-101B-9397-08002B2CF9AE}" pid="3" name="KSOProductBuildVer">
    <vt:lpwstr>2052-11.8.2.10125</vt:lpwstr>
  </property>
</Properties>
</file>