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uppressAutoHyphens w:val="false"/>
        <w:spacing w:lineRule="exact" w:line="640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海南省人民代表大会常务委员会关于将排污</w:t>
      </w:r>
    </w:p>
    <w:p>
      <w:pPr>
        <w:pStyle w:val="Normal"/>
        <w:suppressAutoHyphens w:val="false"/>
        <w:spacing w:lineRule="exact" w:line="640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许可证核发等省级管理权限调整</w:t>
      </w:r>
    </w:p>
    <w:p>
      <w:pPr>
        <w:pStyle w:val="Normal"/>
        <w:suppressAutoHyphens w:val="false"/>
        <w:spacing w:lineRule="exact" w:line="640"/>
        <w:jc w:val="center"/>
        <w:rPr>
          <w:szCs w:val="30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由儋州市实施的决定</w:t>
      </w:r>
    </w:p>
    <w:p>
      <w:pPr>
        <w:pStyle w:val="Normal"/>
        <w:overflowPunct w:val="false"/>
        <w:spacing w:lineRule="exact" w:line="240"/>
        <w:ind w:firstLineChars="200" w:startChars="0" w:start="0" w:endChars="0" w:end="0"/>
        <w:rPr>
          <w:szCs w:val="30"/>
        </w:rPr>
      </w:pPr>
      <w:r>
        <w:rPr>
          <w:szCs w:val="3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false"/>
        <w:bidi w:val="0"/>
        <w:snapToGrid w:val="true"/>
        <w:spacing w:lineRule="atLeast" w:line="560"/>
        <w:ind w:firstLineChars="0" w:firstLine="0" w:startChars="400" w:endChars="400"/>
        <w:jc w:val="both"/>
        <w:textAlignment w:val="auto"/>
        <w:rPr>
          <w:rFonts w:ascii="楷体_GB2312;楷体" w:hAnsi="楷体_GB2312;楷体" w:eastAsia="楷体_GB2312;楷体" w:cs="楷体_GB2312;楷体" w:hint="eastAsia"/>
          <w:bCs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bCs/>
          <w:sz w:val="32"/>
          <w:szCs w:val="32"/>
        </w:rPr>
        <w:t>（</w:t>
      </w:r>
      <w:r>
        <w:rPr>
          <w:rFonts w:eastAsia="楷体_GB2312;楷体" w:cs="Times New Roman" w:ascii="Times New Roman" w:hAnsi="Times New Roman"/>
          <w:bCs/>
          <w:sz w:val="32"/>
          <w:szCs w:val="32"/>
        </w:rPr>
        <w:t>202</w:t>
      </w:r>
      <w:r>
        <w:rPr>
          <w:rFonts w:eastAsia="楷体_GB2312;楷体" w:cs="Times New Roman" w:ascii="Times New Roman" w:hAnsi="Times New Roman"/>
          <w:bCs/>
          <w:sz w:val="32"/>
          <w:szCs w:val="32"/>
          <w:lang w:val="en"/>
        </w:rPr>
        <w:t>2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年</w:t>
      </w:r>
      <w:r>
        <w:rPr>
          <w:rFonts w:eastAsia="楷体_GB2312;楷体" w:cs="Times New Roman" w:hint="eastAsia" w:ascii="Times New Roman" w:hAnsi="Times New Roman"/>
          <w:bCs/>
          <w:sz w:val="32"/>
          <w:szCs w:val="32"/>
        </w:rPr>
        <w:t>1</w:t>
      </w:r>
      <w:r>
        <w:rPr>
          <w:rFonts w:eastAsia="楷体_GB2312;楷体" w:cs="Times New Roman" w:ascii="Times New Roman" w:hAnsi="Times New Roman"/>
          <w:bCs/>
          <w:sz w:val="32"/>
          <w:szCs w:val="32"/>
          <w:lang w:val="en"/>
        </w:rPr>
        <w:t>1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月</w:t>
      </w:r>
      <w:r>
        <w:rPr>
          <w:rFonts w:eastAsia="楷体_GB2312;楷体" w:hint="eastAsia"/>
          <w:bCs/>
          <w:sz w:val="32"/>
          <w:szCs w:val="32"/>
        </w:rPr>
        <w:t>30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日</w:t>
      </w:r>
      <w:r>
        <w:rPr>
          <w:rFonts w:ascii="楷体_GB2312;楷体" w:hAnsi="楷体_GB2312;楷体" w:cs="楷体_GB2312;楷体" w:hint="eastAsia" w:eastAsia="楷体_GB2312;楷体"/>
          <w:bCs/>
          <w:sz w:val="32"/>
          <w:szCs w:val="32"/>
        </w:rPr>
        <w:t>海南省第六届人民代表大会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false"/>
        <w:bidi w:val="0"/>
        <w:snapToGrid w:val="true"/>
        <w:spacing w:lineRule="atLeast" w:line="560"/>
        <w:ind w:firstLineChars="0" w:firstLine="0" w:startChars="400" w:endChars="400"/>
        <w:jc w:val="both"/>
        <w:textAlignment w:val="auto"/>
        <w:rPr>
          <w:rFonts w:ascii="仿宋_GB2312;仿宋" w:hAnsi="仿宋_GB2312;仿宋" w:eastAsia="仿宋_GB2312;仿宋" w:cs="Times New Roman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bCs/>
          <w:sz w:val="32"/>
          <w:szCs w:val="32"/>
        </w:rPr>
        <w:t>常务委员会第三十九次会议通过）</w:t>
      </w:r>
    </w:p>
    <w:p>
      <w:pPr>
        <w:pStyle w:val="Normal"/>
        <w:overflowPunct w:val="false"/>
        <w:spacing w:lineRule="atLeast" w:line="560"/>
        <w:ind w:firstLineChars="200" w:startChars="0" w:start="0" w:endChars="0" w:end="0"/>
        <w:rPr>
          <w:rFonts w:ascii="仿宋_GB2312;仿宋" w:hAnsi="仿宋_GB2312;仿宋" w:eastAsia="仿宋_GB2312;仿宋" w:cs="Times New Roman"/>
          <w:sz w:val="32"/>
          <w:szCs w:val="30"/>
        </w:rPr>
      </w:pPr>
      <w:r>
        <w:rPr>
          <w:rFonts w:eastAsia="仿宋_GB2312;仿宋" w:cs="Times New Roman" w:ascii="仿宋_GB2312;仿宋" w:hAnsi="仿宋_GB2312;仿宋"/>
          <w:sz w:val="32"/>
          <w:szCs w:val="30"/>
        </w:rPr>
      </w:r>
    </w:p>
    <w:p>
      <w:pPr>
        <w:pStyle w:val="Normal"/>
        <w:overflowPunct w:val="false"/>
        <w:spacing w:lineRule="atLeast" w:line="560"/>
        <w:ind w:firstLineChars="200" w:startChars="0" w:start="0" w:endChars="0" w:end="0"/>
        <w:rPr>
          <w:rFonts w:ascii="仿宋_GB2312;仿宋" w:hAnsi="仿宋_GB2312;仿宋" w:eastAsia="仿宋_GB2312;仿宋" w:cs="Times New Roman"/>
          <w:sz w:val="32"/>
          <w:szCs w:val="32"/>
        </w:rPr>
      </w:pPr>
      <w:r>
        <w:rPr>
          <w:rFonts w:ascii="仿宋_GB2312;仿宋" w:hAnsi="仿宋_GB2312;仿宋" w:cs="Times New Roman" w:eastAsia="仿宋_GB2312;仿宋"/>
          <w:sz w:val="32"/>
          <w:szCs w:val="32"/>
        </w:rPr>
        <w:t>为进一步推进行政审批制度改革，提高审批效率，加快推进儋州洋浦一体化发展，营造法治化、国际化、便利化的营商环境，根据有关法律法规，结合海南自由贸易港建设实际，海南省人民代表大会常务委员会决定将</w:t>
      </w:r>
      <w:r>
        <w:rPr>
          <w:rFonts w:eastAsia="仿宋_GB2312;仿宋" w:cs="Times New Roman" w:ascii="Times New Roman" w:hAnsi="Times New Roman"/>
          <w:sz w:val="32"/>
          <w:szCs w:val="32"/>
        </w:rPr>
        <w:t>4</w:t>
      </w:r>
      <w:r>
        <w:rPr>
          <w:rFonts w:ascii="仿宋_GB2312;仿宋" w:hAnsi="仿宋_GB2312;仿宋" w:cs="Times New Roman" w:eastAsia="仿宋_GB2312;仿宋"/>
          <w:sz w:val="32"/>
          <w:szCs w:val="32"/>
        </w:rPr>
        <w:t>项省级管理权限调整由儋州市实施（目录附后）。</w:t>
      </w:r>
    </w:p>
    <w:p>
      <w:pPr>
        <w:pStyle w:val="Normal"/>
        <w:overflowPunct w:val="false"/>
        <w:spacing w:lineRule="atLeast" w:line="560"/>
        <w:ind w:firstLineChars="200" w:startChars="0" w:start="0" w:endChars="0" w:end="0"/>
        <w:rPr>
          <w:rFonts w:ascii="仿宋_GB2312;仿宋" w:hAnsi="仿宋_GB2312;仿宋" w:eastAsia="仿宋_GB2312;仿宋" w:cs="Times New Roman"/>
          <w:sz w:val="32"/>
          <w:szCs w:val="32"/>
        </w:rPr>
      </w:pPr>
      <w:r>
        <w:rPr>
          <w:rFonts w:ascii="仿宋_GB2312;仿宋" w:hAnsi="仿宋_GB2312;仿宋" w:cs="Times New Roman" w:eastAsia="仿宋_GB2312;仿宋"/>
          <w:sz w:val="32"/>
          <w:szCs w:val="32"/>
        </w:rPr>
        <w:t>儋州市</w:t>
      </w:r>
      <w:r>
        <w:rPr>
          <w:rFonts w:ascii="仿宋_GB2312;仿宋" w:hAnsi="仿宋_GB2312;仿宋" w:cs="Times New Roman" w:hint="eastAsia" w:eastAsia="仿宋_GB2312;仿宋"/>
          <w:sz w:val="32"/>
          <w:szCs w:val="32"/>
        </w:rPr>
        <w:t>和</w:t>
      </w:r>
      <w:r>
        <w:rPr>
          <w:rFonts w:ascii="仿宋_GB2312;仿宋" w:hAnsi="仿宋_GB2312;仿宋" w:cs="Times New Roman" w:eastAsia="仿宋_GB2312;仿宋"/>
          <w:sz w:val="32"/>
          <w:szCs w:val="32"/>
        </w:rPr>
        <w:t>原实施机关要做好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调整实施事项的衔接落实工</w:t>
      </w:r>
      <w:r>
        <w:rPr>
          <w:rFonts w:ascii="仿宋_GB2312;仿宋" w:hAnsi="仿宋_GB2312;仿宋" w:cs="Times New Roman" w:eastAsia="仿宋_GB2312;仿宋"/>
          <w:sz w:val="32"/>
          <w:szCs w:val="32"/>
        </w:rPr>
        <w:t>作，制定配套管理措施，强化事中事后监管，确保放得下、接得住、管得好。儋州市应当建立健全承接的有效机制，周密部署、认真组织，优化流程、提升服务，切实提高审批和监管效能。原实施机关应当加强业务培训指导，对于尚未承接到位的事项要严格履行相关审批职责，避免工作脱节；适时对调整实施的事项进行评估，经评估施行效果不好的，及时按照法定程序收回相关管理权限。</w:t>
      </w:r>
    </w:p>
    <w:p>
      <w:pPr>
        <w:pStyle w:val="Normal"/>
        <w:overflowPunct w:val="false"/>
        <w:spacing w:lineRule="atLeast" w:line="560"/>
        <w:ind w:firstLineChars="200" w:startChars="0" w:start="0" w:endChars="0" w:end="0"/>
        <w:rPr>
          <w:rFonts w:ascii="仿宋_GB2312;仿宋" w:hAnsi="仿宋_GB2312;仿宋" w:eastAsia="仿宋_GB2312;仿宋" w:cs="Times New Roman"/>
          <w:sz w:val="32"/>
          <w:szCs w:val="32"/>
        </w:rPr>
      </w:pPr>
      <w:r>
        <w:rPr>
          <w:rFonts w:ascii="仿宋_GB2312;仿宋" w:hAnsi="仿宋_GB2312;仿宋" w:cs="Times New Roman" w:eastAsia="仿宋_GB2312;仿宋"/>
          <w:sz w:val="32"/>
          <w:szCs w:val="32"/>
        </w:rPr>
        <w:t>本决定自公布之日起施行。</w:t>
      </w:r>
    </w:p>
    <w:p>
      <w:pPr>
        <w:pStyle w:val="Normal"/>
        <w:overflowPunct w:val="false"/>
        <w:spacing w:lineRule="atLeast" w:line="560"/>
        <w:ind w:firstLineChars="200" w:startChars="0" w:start="0" w:endChars="0" w:end="0"/>
        <w:rPr>
          <w:rFonts w:ascii="仿宋_GB2312;仿宋" w:hAnsi="仿宋_GB2312;仿宋" w:eastAsia="仿宋_GB2312;仿宋" w:cs="Times New Roman"/>
          <w:sz w:val="32"/>
          <w:szCs w:val="32"/>
        </w:rPr>
      </w:pPr>
      <w:r>
        <w:rPr>
          <w:rFonts w:eastAsia="仿宋_GB2312;仿宋" w:cs="Times New Roman" w:ascii="仿宋_GB2312;仿宋" w:hAnsi="仿宋_GB2312;仿宋"/>
          <w:sz w:val="32"/>
          <w:szCs w:val="32"/>
        </w:rPr>
      </w:r>
    </w:p>
    <w:p>
      <w:pPr>
        <w:pStyle w:val="Normal"/>
        <w:overflowPunct w:val="false"/>
        <w:spacing w:lineRule="atLeast" w:line="560"/>
        <w:ind w:firstLineChars="200" w:startChars="0" w:start="0" w:endChars="0" w:end="0"/>
        <w:rPr>
          <w:rFonts w:ascii="仿宋_GB2312;仿宋" w:hAnsi="仿宋_GB2312;仿宋" w:eastAsia="仿宋_GB2312;仿宋" w:cs="Times New Roman"/>
          <w:sz w:val="32"/>
          <w:szCs w:val="32"/>
        </w:rPr>
        <w:sectPr>
          <w:footerReference w:type="default" r:id="rId2"/>
          <w:type w:val="nextPage"/>
          <w:pgSz w:w="11906" w:h="16838"/>
          <w:pgMar w:left="1446" w:right="1418" w:gutter="0" w:header="0" w:top="1928" w:footer="1247" w:bottom="1644"/>
          <w:pgNumType w:fmt="decimal"/>
          <w:formProt w:val="false"/>
          <w:textDirection w:val="lrTb"/>
          <w:docGrid w:type="default" w:linePitch="312" w:charSpace="0"/>
        </w:sectPr>
      </w:pPr>
      <w:r>
        <w:rPr>
          <w:rFonts w:ascii="仿宋_GB2312;仿宋" w:hAnsi="仿宋_GB2312;仿宋" w:cs="Times New Roman" w:eastAsia="仿宋_GB2312;仿宋"/>
          <w:sz w:val="32"/>
          <w:szCs w:val="32"/>
        </w:rPr>
        <w:t>附件：调整由儋州市实施的省级管理权限目录（</w:t>
      </w:r>
      <w:r>
        <w:rPr>
          <w:rFonts w:eastAsia="仿宋_GB2312;仿宋" w:cs="Times New Roman" w:ascii="Times New Roman" w:hAnsi="Times New Roman"/>
          <w:sz w:val="32"/>
          <w:szCs w:val="32"/>
        </w:rPr>
        <w:t>4</w:t>
      </w:r>
      <w:r>
        <w:rPr>
          <w:rFonts w:ascii="仿宋_GB2312;仿宋" w:hAnsi="仿宋_GB2312;仿宋" w:cs="Times New Roman" w:eastAsia="仿宋_GB2312;仿宋"/>
          <w:sz w:val="32"/>
          <w:szCs w:val="32"/>
        </w:rPr>
        <w:t>项）</w:t>
      </w:r>
    </w:p>
    <w:p>
      <w:pPr>
        <w:pStyle w:val="Normal"/>
        <w:spacing w:lineRule="exact" w:line="560"/>
        <w:rPr>
          <w:rFonts w:ascii="黑体" w:hAnsi="黑体" w:eastAsia="黑体" w:cs="仿宋_GB2312;仿宋" w:hint="eastAsia"/>
          <w:sz w:val="30"/>
          <w:szCs w:val="30"/>
        </w:rPr>
      </w:pPr>
      <w:r>
        <w:rPr>
          <w:rFonts w:ascii="黑体" w:hAnsi="黑体" w:cs="仿宋_GB2312;仿宋" w:hint="eastAsia" w:eastAsia="黑体"/>
          <w:sz w:val="30"/>
          <w:szCs w:val="30"/>
        </w:rPr>
        <w:t>附件</w:t>
      </w:r>
    </w:p>
    <w:p>
      <w:pPr>
        <w:pStyle w:val="Normal"/>
        <w:spacing w:lineRule="exact" w:line="560"/>
        <w:rPr>
          <w:rFonts w:ascii="黑体" w:hAnsi="黑体" w:eastAsia="黑体" w:cs="仿宋_GB2312;仿宋" w:hint="eastAsia"/>
          <w:sz w:val="30"/>
          <w:szCs w:val="30"/>
        </w:rPr>
      </w:pPr>
      <w:r>
        <w:rPr>
          <w:rFonts w:eastAsia="黑体" w:cs="仿宋_GB2312;仿宋" w:hint="eastAsia" w:ascii="黑体" w:hAnsi="黑体"/>
          <w:sz w:val="30"/>
          <w:szCs w:val="30"/>
        </w:rPr>
      </w:r>
    </w:p>
    <w:p>
      <w:pPr>
        <w:pStyle w:val="Normal"/>
        <w:spacing w:lineRule="exact" w:line="560" w:before="0" w:after="192"/>
        <w:jc w:val="center"/>
        <w:rPr>
          <w:rFonts w:ascii="方正小标宋_GBK" w:hAnsi="方正小标宋_GBK" w:eastAsia="方正小标宋_GBK" w:cs="方正小标宋_GBK" w:hint="eastAsia"/>
          <w:color w:val="000000"/>
          <w:sz w:val="40"/>
          <w:szCs w:val="40"/>
        </w:rPr>
      </w:pPr>
      <w:r>
        <w:rPr>
          <w:rFonts w:ascii="方正小标宋_GBK" w:hAnsi="方正小标宋_GBK" w:cs="方正小标宋_GBK" w:hint="eastAsia" w:eastAsia="方正小标宋_GBK"/>
          <w:color w:val="000000"/>
          <w:sz w:val="40"/>
          <w:szCs w:val="40"/>
        </w:rPr>
        <w:t>调整由儋州市实施的省级管理权限目录（</w:t>
      </w:r>
      <w:r>
        <w:rPr>
          <w:rFonts w:eastAsia="方正小标宋_GBK" w:cs="方正小标宋_GBK" w:hint="eastAsia" w:ascii="方正小标宋_GBK" w:hAnsi="方正小标宋_GBK"/>
          <w:color w:val="000000"/>
          <w:sz w:val="40"/>
          <w:szCs w:val="40"/>
        </w:rPr>
        <w:t>4</w:t>
      </w:r>
      <w:r>
        <w:rPr>
          <w:rFonts w:ascii="方正小标宋_GBK" w:hAnsi="方正小标宋_GBK" w:cs="方正小标宋_GBK" w:hint="eastAsia" w:eastAsia="方正小标宋_GBK"/>
          <w:color w:val="000000"/>
          <w:sz w:val="40"/>
          <w:szCs w:val="40"/>
        </w:rPr>
        <w:t>项）</w:t>
      </w:r>
    </w:p>
    <w:tbl>
      <w:tblPr>
        <w:tblW w:w="9324" w:type="dxa"/>
        <w:jc w:val="center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624"/>
        <w:gridCol w:w="3637"/>
        <w:gridCol w:w="2058"/>
        <w:gridCol w:w="2200"/>
        <w:gridCol w:w="805"/>
      </w:tblGrid>
      <w:tr>
        <w:trPr>
          <w:trHeight w:val="801" w:hRule="exac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sz w:val="24"/>
              </w:rPr>
            </w:pPr>
            <w:r>
              <w:rPr>
                <w:rFonts w:ascii="黑体" w:hAnsi="黑体" w:cs="黑体" w:hint="eastAsia" w:eastAsia="黑体"/>
                <w:sz w:val="24"/>
              </w:rPr>
              <w:t>序号</w:t>
            </w:r>
          </w:p>
        </w:tc>
        <w:tc>
          <w:tcPr>
            <w:tcW w:w="3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sz w:val="24"/>
              </w:rPr>
            </w:pPr>
            <w:r>
              <w:rPr>
                <w:rFonts w:ascii="黑体" w:hAnsi="黑体" w:cs="黑体" w:hint="eastAsia" w:eastAsia="黑体"/>
                <w:sz w:val="24"/>
              </w:rPr>
              <w:t>项目名称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sz w:val="24"/>
              </w:rPr>
            </w:pPr>
            <w:r>
              <w:rPr>
                <w:rFonts w:ascii="黑体" w:hAnsi="黑体" w:cs="黑体" w:hint="eastAsia" w:eastAsia="黑体"/>
                <w:sz w:val="24"/>
              </w:rPr>
              <w:t>原实施机关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sz w:val="24"/>
              </w:rPr>
            </w:pPr>
            <w:r>
              <w:rPr>
                <w:rFonts w:ascii="黑体" w:hAnsi="黑体" w:cs="黑体" w:hint="eastAsia" w:eastAsia="黑体"/>
                <w:sz w:val="24"/>
              </w:rPr>
              <w:t>承接机关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sz w:val="24"/>
              </w:rPr>
            </w:pPr>
            <w:r>
              <w:rPr>
                <w:rFonts w:ascii="黑体" w:hAnsi="黑体" w:cs="黑体" w:hint="eastAsia" w:eastAsia="黑体"/>
                <w:sz w:val="24"/>
              </w:rPr>
              <w:t>调整</w:t>
            </w:r>
          </w:p>
          <w:p>
            <w:pPr>
              <w:pStyle w:val="Normal"/>
              <w:jc w:val="center"/>
              <w:rPr>
                <w:rFonts w:ascii="黑体" w:hAnsi="黑体" w:eastAsia="黑体" w:cs="黑体" w:hint="eastAsia"/>
                <w:sz w:val="24"/>
              </w:rPr>
            </w:pPr>
            <w:r>
              <w:rPr>
                <w:rFonts w:ascii="黑体" w:hAnsi="黑体" w:cs="黑体" w:hint="eastAsia" w:eastAsia="黑体"/>
                <w:sz w:val="24"/>
              </w:rPr>
              <w:t>方式</w:t>
            </w:r>
          </w:p>
        </w:tc>
      </w:tr>
      <w:tr>
        <w:trPr>
          <w:trHeight w:val="1130" w:hRule="exac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仿宋_GB2312;仿宋" w:cs="Times New Roman"/>
                <w:sz w:val="24"/>
              </w:rPr>
            </w:pPr>
            <w:r>
              <w:rPr>
                <w:rFonts w:eastAsia="仿宋_GB2312;仿宋" w:cs="Times New Roman" w:ascii="Times New Roman" w:hAnsi="Times New Roman"/>
                <w:sz w:val="24"/>
              </w:rPr>
              <w:t>1</w:t>
            </w:r>
          </w:p>
        </w:tc>
        <w:tc>
          <w:tcPr>
            <w:tcW w:w="3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extAlignment w:val="center"/>
              <w:rPr>
                <w:rFonts w:ascii="仿宋_GB2312;仿宋" w:hAnsi="仿宋_GB2312;仿宋" w:eastAsia="仿宋_GB2312;仿宋" w:cs="仿宋_GB2312;仿宋" w:hint="eastAsia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排污许可证核发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省生态环境厅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儋州市生态环境</w:t>
            </w:r>
          </w:p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主管部门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_GB2312;仿宋" w:hint="eastAsia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sz w:val="24"/>
              </w:rPr>
              <w:t>下放</w:t>
            </w:r>
          </w:p>
        </w:tc>
      </w:tr>
      <w:tr>
        <w:trPr>
          <w:trHeight w:val="1593" w:hRule="exac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仿宋_GB2312;仿宋" w:cs="Times New Roman"/>
                <w:sz w:val="24"/>
              </w:rPr>
            </w:pPr>
            <w:r>
              <w:rPr>
                <w:rFonts w:eastAsia="仿宋_GB2312;仿宋" w:cs="Times New Roman" w:ascii="Times New Roman" w:hAnsi="Times New Roman"/>
                <w:sz w:val="24"/>
              </w:rPr>
              <w:t>2</w:t>
            </w:r>
          </w:p>
        </w:tc>
        <w:tc>
          <w:tcPr>
            <w:tcW w:w="3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extAlignment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省际普通货船运输企业、省内水路运输企业《国内水路运输经营许可证》核发（办理、换发、补办、注销）和相关备案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省交通运输厅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儋州市交通运输</w:t>
            </w:r>
          </w:p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主管部门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_GB2312;仿宋" w:hint="eastAsia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sz w:val="24"/>
              </w:rPr>
              <w:t>下放</w:t>
            </w:r>
          </w:p>
        </w:tc>
      </w:tr>
      <w:tr>
        <w:trPr>
          <w:trHeight w:val="1255" w:hRule="exac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仿宋_GB2312;仿宋" w:cs="Times New Roman"/>
                <w:sz w:val="24"/>
              </w:rPr>
            </w:pPr>
            <w:r>
              <w:rPr>
                <w:rFonts w:eastAsia="仿宋_GB2312;仿宋" w:cs="Times New Roman" w:ascii="Times New Roman" w:hAnsi="Times New Roman"/>
                <w:sz w:val="24"/>
              </w:rPr>
              <w:t>3</w:t>
            </w:r>
          </w:p>
        </w:tc>
        <w:tc>
          <w:tcPr>
            <w:tcW w:w="3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省际普通货船运输企业、省内水路运输企业《船舶营业运输证》核发（办理、换发、注销）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省交通运输厅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儋州市交通运输</w:t>
            </w:r>
          </w:p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主管部门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_GB2312;仿宋" w:hint="eastAsia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sz w:val="24"/>
              </w:rPr>
              <w:t>下放</w:t>
            </w:r>
          </w:p>
        </w:tc>
      </w:tr>
      <w:tr>
        <w:trPr>
          <w:trHeight w:val="1178" w:hRule="exac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仿宋_GB2312;仿宋" w:cs="Times New Roman"/>
                <w:sz w:val="24"/>
              </w:rPr>
            </w:pPr>
            <w:r>
              <w:rPr>
                <w:rFonts w:eastAsia="仿宋_GB2312;仿宋" w:cs="Times New Roman" w:ascii="Times New Roman" w:hAnsi="Times New Roman"/>
                <w:sz w:val="24"/>
              </w:rPr>
              <w:t>4</w:t>
            </w:r>
          </w:p>
        </w:tc>
        <w:tc>
          <w:tcPr>
            <w:tcW w:w="3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4"/>
              </w:rPr>
              <w:t>拍卖企业设立、变更备案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4"/>
              </w:rPr>
              <w:t>省商务厅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kern w:val="0"/>
                <w:sz w:val="24"/>
              </w:rPr>
              <w:t>儋州市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4"/>
              </w:rPr>
              <w:t>负责管理</w:t>
            </w:r>
          </w:p>
          <w:p>
            <w:pPr>
              <w:pStyle w:val="Normal"/>
              <w:widowControl/>
              <w:jc w:val="center"/>
              <w:textAlignment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4"/>
              </w:rPr>
              <w:t>拍卖业的部门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_GB2312;仿宋" w:hint="eastAsia"/>
                <w:sz w:val="24"/>
              </w:rPr>
            </w:pPr>
            <w:r>
              <w:rPr>
                <w:rFonts w:ascii="仿宋_GB2312;仿宋" w:hAnsi="仿宋_GB2312;仿宋" w:cs="仿宋_GB2312;仿宋" w:hint="eastAsia" w:eastAsia="仿宋_GB2312;仿宋"/>
                <w:sz w:val="24"/>
              </w:rPr>
              <w:t>下放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3"/>
      <w:footerReference w:type="first" r:id="rId4"/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0" w:characterSet="windows-1252"/>
    <w:family w:val="swiss"/>
    <w:pitch w:val="default"/>
  </w:font>
  <w:font w:name="方正小标宋_GBK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Times New Roman">
    <w:charset w:val="cc" w:characterSet="windows-1251"/>
    <w:family w:val="roman"/>
    <w:pitch w:val="default"/>
  </w:font>
  <w:font w:name="仿宋_GB2312">
    <w:altName w:val="仿宋"/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1"/>
        <w:szCs w:val="21"/>
      </w:rPr>
    </w:pPr>
    <w:r>
      <w:rPr>
        <w:rFonts w:cs="Times New Roman" w:ascii="Times New Roman" w:hAnsi="Times New Roman"/>
        <w:sz w:val="21"/>
        <w:szCs w:val="21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8580" cy="14922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end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4pt;height:11.75pt;mso-wrap-distance-left:9.05pt;mso-wrap-distance-right:0pt;mso-wrap-distance-top:0pt;mso-wrap-distance-bottom:0pt;margin-top:0pt;mso-position-vertical-relative:text;margin-left:446.7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jc w:val="end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1"/>
        <w:szCs w:val="21"/>
      </w:rPr>
    </w:pPr>
    <w:r>
      <w:rPr>
        <w:rFonts w:cs="Times New Roman" w:ascii="Times New Roman" w:hAnsi="Times New Roman"/>
        <w:sz w:val="21"/>
        <w:szCs w:val="21"/>
      </w:rPr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8580" cy="14922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end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4pt;height:11.75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jc w:val="end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t>2</w: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10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  <w:docVars>
    <w:docVar w:name="commondata" w:val="eyJoZGlkIjoiNWMxNDUyNTNkNWNiNDMxOWIzZjFiY2Q4ZWUyOWU2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1I"/>
    <w:qFormat/>
    <w:pPr>
      <w:widowControl w:val="false"/>
      <w:suppressAutoHyphens w:val="true"/>
      <w:bidi w:val="0"/>
      <w:jc w:val="both"/>
    </w:pPr>
    <w:rPr>
      <w:rFonts w:ascii="Calibri" w:hAnsi="Calibri" w:eastAsia="宋体" w:cs="Times New Roman"/>
      <w:color w:val="000000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1">
    <w:name w:val="默认段落字体1"/>
    <w:qFormat/>
    <w:rPr/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Segoe Print" w:hAnsi="Liberation Sans;Segoe Print" w:eastAsia="Noto Sans CJK SC Regular;宋体" w:cs="Noto Sans CJK SC Regular;宋体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BodyText1">
    <w:name w:val="BodyText"/>
    <w:basedOn w:val="Normal"/>
    <w:qFormat/>
    <w:pPr>
      <w:suppressAutoHyphens w:val="true"/>
      <w:bidi w:val="0"/>
      <w:spacing w:lineRule="auto" w:line="276" w:before="0" w:after="140"/>
      <w:jc w:val="both"/>
      <w:textAlignment w:val="baseline"/>
    </w:pPr>
    <w:rPr/>
  </w:style>
  <w:style w:type="paragraph" w:styleId="BodyText1I">
    <w:name w:val="BodyText1I"/>
    <w:basedOn w:val="BodyText1"/>
    <w:next w:val="Header"/>
    <w:qFormat/>
    <w:pPr>
      <w:suppressAutoHyphens w:val="true"/>
      <w:bidi w:val="0"/>
      <w:spacing w:lineRule="auto" w:line="276" w:before="0" w:after="140"/>
      <w:ind w:firstLineChars="100" w:startChars="0" w:start="0" w:endChars="0" w:end="0"/>
      <w:jc w:val="both"/>
      <w:textAlignment w:val="baseline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5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2018-11-27T09:47:00Z</dcterms:created>
  <dc:creator>uos</dc:creator>
  <dc:description/>
  <dc:language>en-US</dc:language>
  <cp:lastModifiedBy>PC400</cp:lastModifiedBy>
  <dcterms:modified xsi:type="dcterms:W3CDTF">2023-03-30T16:08:33Z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CE59FD421BAB4DA1A98438954EE44457</vt:lpwstr>
  </property>
  <property fmtid="{D5CDD505-2E9C-101B-9397-08002B2CF9AE}" pid="3" name="KSOProductBuildVer">
    <vt:lpwstr>2052-11.1.0.13703</vt:lpwstr>
  </property>
</Properties>
</file>