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Times New Roman" w:hAnsi="Times New Roman" w:eastAsia="微软简标宋" w:cs="Times New Roman" w:hint="eastAsia"/>
          <w:color w:val="000000"/>
          <w:sz w:val="44"/>
          <w:szCs w:val="44"/>
        </w:rPr>
      </w:pPr>
      <w:r>
        <w:rPr>
          <w:rFonts w:ascii="Times New Roman" w:hAnsi="Times New Roman" w:cs="Times New Roman" w:hint="eastAsia" w:eastAsia="微软简标宋"/>
          <w:color w:val="000000"/>
          <w:sz w:val="44"/>
          <w:szCs w:val="44"/>
        </w:rPr>
        <w:t>海南省人民代表大会常务委员会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60"/>
        <w:jc w:val="center"/>
        <w:rPr>
          <w:rFonts w:ascii="Times New Roman" w:hAnsi="Times New Roman" w:eastAsia="微软简标宋" w:cs="Times New Roman"/>
          <w:color w:val="000000"/>
          <w:sz w:val="44"/>
          <w:szCs w:val="44"/>
        </w:rPr>
      </w:pPr>
      <w:r>
        <w:rPr>
          <w:rFonts w:ascii="Times New Roman" w:hAnsi="Times New Roman" w:cs="Times New Roman" w:eastAsia="微软简标宋"/>
          <w:color w:val="000000"/>
          <w:sz w:val="44"/>
          <w:szCs w:val="44"/>
        </w:rPr>
        <w:t>关于海南省资源税具体适用税率等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Times New Roman" w:hAnsi="Times New Roman" w:eastAsia="微软简标宋" w:cs="Times New Roman" w:hint="eastAsia"/>
          <w:color w:val="000000"/>
          <w:sz w:val="44"/>
          <w:szCs w:val="44"/>
        </w:rPr>
      </w:pPr>
      <w:r>
        <w:rPr>
          <w:rFonts w:ascii="Times New Roman" w:hAnsi="Times New Roman" w:cs="Times New Roman" w:eastAsia="微软简标宋"/>
          <w:color w:val="000000"/>
          <w:sz w:val="44"/>
          <w:szCs w:val="44"/>
        </w:rPr>
        <w:t>有关事项的决定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Times New Roman" w:hAnsi="Times New Roman" w:eastAsia="微软简标宋" w:cs="Times New Roman" w:hint="eastAsia"/>
          <w:color w:val="000000"/>
          <w:sz w:val="44"/>
          <w:szCs w:val="44"/>
        </w:rPr>
      </w:pPr>
      <w:r>
        <w:rPr>
          <w:rFonts w:eastAsia="微软简标宋" w:cs="Times New Roman" w:hint="eastAsia" w:ascii="Times New Roman" w:hAnsi="Times New Roman"/>
          <w:color w:val="000000"/>
          <w:sz w:val="44"/>
          <w:szCs w:val="44"/>
        </w:rPr>
      </w:r>
    </w:p>
    <w:p>
      <w:pPr>
        <w:pStyle w:val="Normal"/>
        <w:snapToGrid w:val="false"/>
        <w:spacing w:lineRule="exact" w:line="560"/>
        <w:jc w:val="center"/>
        <w:rPr>
          <w:rFonts w:ascii="Times New Roman" w:hAnsi="Times New Roman" w:eastAsia="楷体_GB2312;楷体" w:cs="Times New Roman" w:hint="eastAsia"/>
          <w:bCs/>
          <w:color w:val="000000"/>
          <w:sz w:val="32"/>
          <w:szCs w:val="32"/>
          <w:lang w:bidi="ar"/>
        </w:rPr>
      </w:pP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（</w:t>
      </w:r>
      <w:r>
        <w:rPr>
          <w:rFonts w:eastAsia="楷体_GB2312;楷体" w:cs="Times New Roman" w:hint="eastAsia" w:ascii="Times New Roman" w:hAnsi="Times New Roman"/>
          <w:bCs/>
          <w:color w:val="000000"/>
          <w:sz w:val="32"/>
          <w:szCs w:val="32"/>
          <w:lang w:bidi="ar"/>
        </w:rPr>
        <w:t>20</w:t>
      </w:r>
      <w:r>
        <w:rPr>
          <w:rFonts w:eastAsia="楷体_GB2312;楷体" w:cs="Times New Roman" w:hint="eastAsia" w:ascii="Times New Roman" w:hAnsi="Times New Roman"/>
          <w:bCs/>
          <w:color w:val="000000"/>
          <w:sz w:val="32"/>
          <w:szCs w:val="32"/>
          <w:lang w:bidi="ar"/>
        </w:rPr>
        <w:t>20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年</w:t>
      </w:r>
      <w:r>
        <w:rPr>
          <w:rFonts w:eastAsia="楷体_GB2312;楷体" w:cs="Times New Roman" w:hint="eastAsia" w:ascii="Times New Roman" w:hAnsi="Times New Roman"/>
          <w:bCs/>
          <w:color w:val="000000"/>
          <w:sz w:val="32"/>
          <w:szCs w:val="32"/>
          <w:lang w:bidi="ar"/>
        </w:rPr>
        <w:t>7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月</w:t>
      </w:r>
      <w:r>
        <w:rPr>
          <w:rFonts w:eastAsia="楷体_GB2312;楷体" w:cs="Times New Roman" w:hint="eastAsia" w:ascii="Times New Roman" w:hAnsi="Times New Roman"/>
          <w:bCs/>
          <w:color w:val="000000"/>
          <w:sz w:val="32"/>
          <w:szCs w:val="32"/>
          <w:lang w:bidi="ar"/>
        </w:rPr>
        <w:t>31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日海南省第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六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届人民代表大会</w:t>
      </w:r>
    </w:p>
    <w:p>
      <w:pPr>
        <w:pStyle w:val="Normal"/>
        <w:snapToGrid w:val="false"/>
        <w:spacing w:lineRule="exact" w:line="560"/>
        <w:jc w:val="center"/>
        <w:rPr>
          <w:rFonts w:ascii="Times New Roman" w:hAnsi="Times New Roman" w:eastAsia="楷体_GB2312;楷体" w:cs="Times New Roman" w:hint="eastAsia"/>
          <w:bCs/>
          <w:color w:val="000000"/>
          <w:sz w:val="32"/>
          <w:szCs w:val="32"/>
          <w:lang w:bidi="ar"/>
        </w:rPr>
      </w:pP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常务委员会第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二十一</w:t>
      </w:r>
      <w:r>
        <w:rPr>
          <w:rFonts w:ascii="Times New Roman" w:hAnsi="Times New Roman" w:cs="Times New Roman" w:hint="eastAsia" w:eastAsia="楷体_GB2312;楷体"/>
          <w:bCs/>
          <w:color w:val="000000"/>
          <w:sz w:val="32"/>
          <w:szCs w:val="32"/>
          <w:lang w:bidi="ar"/>
        </w:rPr>
        <w:t>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textAlignment w:val="auto"/>
        <w:rPr>
          <w:rFonts w:ascii="宋体" w:hAnsi="宋体" w:eastAsia="宋体" w:cs="宋体" w:hint="eastAsia"/>
          <w:bCs/>
          <w:color w:val="000000"/>
          <w:sz w:val="32"/>
          <w:szCs w:val="32"/>
          <w:lang w:bidi="ar"/>
        </w:rPr>
      </w:pPr>
      <w:r>
        <w:rPr>
          <w:rFonts w:eastAsia="宋体" w:cs="宋体" w:hint="eastAsia" w:ascii="宋体" w:hAnsi="宋体"/>
          <w:bCs/>
          <w:color w:val="000000"/>
          <w:sz w:val="32"/>
          <w:szCs w:val="32"/>
          <w:lang w:bidi="ar"/>
        </w:rPr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为了保护生态环境，合理利用资源，加强资源管理，根据《中华人民共和国资源税法》（以下简称《资源税法》）规定，结合本省应税资源的品位、开采条件以及对生态环境的影响等情况，现就《资源税法》授权事项，作出如下决定：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一、《资源税法》规定实行幅度税率的，本省相关资源税的具体适用税率在国家规定的税率幅度内，具体按照《海南省资源税税目税率表》执行。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60" w:before="0" w:after="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二、《资源税法》规定可以实行从价计征或者从量计征的，本省地热、石灰岩、其他粘土、矿泉水税目实行从量计征，砂石税目实行从价计征。地热水、矿泉水的水资源费并入资源税。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三、符合下列条件之一的，减征或者免征资源税：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（一）纳税人开采或者生产应税产品过程中，因意外事故或者自然灾害等原因遭受重大损失的，可以按损失金额的</w:t>
      </w:r>
      <w:r>
        <w:rPr>
          <w:rFonts w:eastAsia="仿宋" w:cs="仿宋" w:hint="eastAsia" w:ascii="仿宋" w:hAnsi="仿宋"/>
          <w:sz w:val="32"/>
          <w:szCs w:val="32"/>
          <w:shd w:fill="FFFFFF" w:val="clear"/>
        </w:rPr>
        <w:t>50%</w:t>
      </w:r>
      <w:r>
        <w:rPr>
          <w:rFonts w:ascii="仿宋" w:hAnsi="仿宋" w:cs="仿宋" w:hint="eastAsia" w:eastAsia="仿宋"/>
          <w:sz w:val="32"/>
          <w:szCs w:val="32"/>
          <w:shd w:fill="FFFFFF" w:val="clear"/>
        </w:rPr>
        <w:t>减征资源税，但减税额最高不超过其遭受重大损失当年应纳的资源税；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（二）纳税人开采共生矿，共生矿与主矿产品销售额分开核算的，共生矿减征</w:t>
      </w:r>
      <w:r>
        <w:rPr>
          <w:rFonts w:eastAsia="仿宋" w:cs="仿宋" w:hint="eastAsia" w:ascii="仿宋" w:hAnsi="仿宋"/>
          <w:sz w:val="32"/>
          <w:szCs w:val="32"/>
          <w:shd w:fill="FFFFFF" w:val="clear"/>
        </w:rPr>
        <w:t>10%</w:t>
      </w:r>
      <w:r>
        <w:rPr>
          <w:rFonts w:ascii="仿宋" w:hAnsi="仿宋" w:cs="仿宋" w:hint="eastAsia" w:eastAsia="仿宋"/>
          <w:sz w:val="32"/>
          <w:szCs w:val="32"/>
          <w:shd w:fill="FFFFFF" w:val="clear"/>
        </w:rPr>
        <w:t>资源税；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（三）纳税人开采伴生矿，伴生矿与主矿产品销售额分开核算的，对伴生矿免征资源税；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（四）纳税人开采低品位矿减征</w:t>
      </w:r>
      <w:r>
        <w:rPr>
          <w:rFonts w:eastAsia="仿宋" w:cs="仿宋" w:hint="eastAsia" w:ascii="仿宋" w:hAnsi="仿宋"/>
          <w:sz w:val="32"/>
          <w:szCs w:val="32"/>
          <w:shd w:fill="FFFFFF" w:val="clear"/>
        </w:rPr>
        <w:t>50%</w:t>
      </w:r>
      <w:r>
        <w:rPr>
          <w:rFonts w:ascii="仿宋" w:hAnsi="仿宋" w:cs="仿宋" w:hint="eastAsia" w:eastAsia="仿宋"/>
          <w:sz w:val="32"/>
          <w:szCs w:val="32"/>
          <w:shd w:fill="FFFFFF" w:val="clear"/>
        </w:rPr>
        <w:t>资源税；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（五）纳税人开采尾矿免征资源税。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符合前款规定的，由纳税人申报享受各项优惠政策，相关资料留存备查。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四、根据工作需要，主管税务机关可以要求当地自然资源和规划主管部门提供共伴生矿、低品位矿、尾矿等应税矿产品的认定情况以及与减免税相关的其他信息，有关自然资源和规划主管部门应予以协助支持。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本决定自</w:t>
      </w:r>
      <w:r>
        <w:rPr>
          <w:rFonts w:eastAsia="仿宋" w:cs="仿宋" w:hint="eastAsia" w:ascii="仿宋" w:hAnsi="仿宋"/>
          <w:sz w:val="32"/>
          <w:szCs w:val="32"/>
          <w:shd w:fill="FFFFFF" w:val="clear"/>
        </w:rPr>
        <w:t>2020</w:t>
      </w:r>
      <w:r>
        <w:rPr>
          <w:rFonts w:ascii="仿宋" w:hAnsi="仿宋" w:cs="仿宋" w:hint="eastAsia" w:eastAsia="仿宋"/>
          <w:sz w:val="32"/>
          <w:szCs w:val="32"/>
          <w:shd w:fill="FFFFFF" w:val="clear"/>
        </w:rPr>
        <w:t>年</w:t>
      </w:r>
      <w:r>
        <w:rPr>
          <w:rFonts w:eastAsia="仿宋" w:cs="仿宋" w:hint="eastAsia" w:ascii="仿宋" w:hAnsi="仿宋"/>
          <w:sz w:val="32"/>
          <w:szCs w:val="32"/>
          <w:shd w:fill="FFFFFF" w:val="clear"/>
        </w:rPr>
        <w:t>9</w:t>
      </w:r>
      <w:r>
        <w:rPr>
          <w:rFonts w:ascii="仿宋" w:hAnsi="仿宋" w:cs="仿宋" w:hint="eastAsia" w:eastAsia="仿宋"/>
          <w:sz w:val="32"/>
          <w:szCs w:val="32"/>
          <w:shd w:fill="FFFFFF" w:val="clear"/>
        </w:rPr>
        <w:t>月</w:t>
      </w:r>
      <w:r>
        <w:rPr>
          <w:rFonts w:eastAsia="仿宋" w:cs="仿宋" w:hint="eastAsia" w:ascii="仿宋" w:hAnsi="仿宋"/>
          <w:sz w:val="32"/>
          <w:szCs w:val="32"/>
          <w:shd w:fill="FFFFFF" w:val="clear"/>
        </w:rPr>
        <w:t>1</w:t>
      </w:r>
      <w:r>
        <w:rPr>
          <w:rFonts w:ascii="仿宋" w:hAnsi="仿宋" w:cs="仿宋" w:hint="eastAsia" w:eastAsia="仿宋"/>
          <w:sz w:val="32"/>
          <w:szCs w:val="32"/>
          <w:shd w:fill="FFFFFF" w:val="clear"/>
        </w:rPr>
        <w:t>日起施行。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32"/>
          <w:szCs w:val="32"/>
          <w:shd w:fill="FFFFFF" w:val="clear"/>
        </w:rPr>
      </w:pPr>
      <w:r>
        <w:rPr>
          <w:rFonts w:eastAsia="仿宋" w:cs="仿宋" w:hint="eastAsia" w:ascii="仿宋" w:hAnsi="仿宋"/>
          <w:sz w:val="32"/>
          <w:szCs w:val="32"/>
          <w:shd w:fill="FFFFFF" w:val="clear"/>
        </w:rPr>
      </w:r>
    </w:p>
    <w:p>
      <w:pPr>
        <w:pStyle w:val="Style15"/>
        <w:spacing w:lineRule="exact" w:line="578" w:before="0" w:after="0"/>
        <w:ind w:firstLineChars="200" w:startChars="0" w:start="0" w:endChars="0" w:end="0"/>
        <w:rPr>
          <w:rFonts w:ascii="仿宋" w:hAnsi="仿宋" w:eastAsia="仿宋" w:cs="仿宋" w:hint="eastAsia"/>
          <w:color w:val="000000"/>
          <w:sz w:val="32"/>
          <w:szCs w:val="32"/>
          <w:shd w:fill="FFFFFF" w:val="clear"/>
        </w:rPr>
      </w:pPr>
      <w:r>
        <w:rPr>
          <w:rFonts w:ascii="仿宋" w:hAnsi="仿宋" w:cs="仿宋" w:hint="eastAsia" w:eastAsia="仿宋"/>
          <w:sz w:val="32"/>
          <w:szCs w:val="32"/>
          <w:shd w:fill="FFFFFF" w:val="clear"/>
        </w:rPr>
        <w:t>附件：海南省资源税税目税率表</w:t>
      </w:r>
    </w:p>
    <w:p>
      <w:pPr>
        <w:pStyle w:val="Style15"/>
        <w:spacing w:lineRule="exact" w:line="578" w:before="0" w:after="0"/>
        <w:rPr>
          <w:rFonts w:ascii="仿宋" w:hAnsi="仿宋" w:eastAsia="仿宋" w:cs="仿宋" w:hint="eastAsia"/>
          <w:color w:val="000000"/>
          <w:sz w:val="32"/>
          <w:szCs w:val="32"/>
          <w:shd w:fill="FFFFFF" w:val="clear"/>
        </w:rPr>
      </w:pPr>
      <w:r>
        <w:rPr>
          <w:rFonts w:eastAsia="仿宋" w:cs="仿宋" w:hint="eastAsia" w:ascii="仿宋" w:hAnsi="仿宋"/>
          <w:color w:val="000000"/>
          <w:sz w:val="32"/>
          <w:szCs w:val="32"/>
          <w:shd w:fill="FFFFFF" w:val="clear"/>
        </w:rPr>
      </w:r>
      <w:r>
        <w:br w:type="page"/>
      </w:r>
    </w:p>
    <w:p>
      <w:pPr>
        <w:pStyle w:val="Style15"/>
        <w:spacing w:lineRule="exact" w:line="530" w:before="0" w:after="0"/>
        <w:rPr>
          <w:rFonts w:ascii="黑体" w:hAnsi="黑体" w:eastAsia="黑体" w:cs="仿宋" w:hint="eastAsia"/>
          <w:color w:val="000000"/>
          <w:sz w:val="32"/>
          <w:szCs w:val="32"/>
          <w:shd w:fill="FFFFFF" w:val="clear"/>
        </w:rPr>
      </w:pPr>
      <w:r>
        <w:rPr>
          <w:rFonts w:ascii="黑体" w:hAnsi="黑体" w:cs="仿宋" w:hint="eastAsia" w:eastAsia="黑体"/>
          <w:color w:val="000000"/>
          <w:sz w:val="32"/>
          <w:szCs w:val="32"/>
          <w:shd w:fill="FFFFFF" w:val="clear"/>
        </w:rPr>
        <w:t>附件</w:t>
      </w:r>
    </w:p>
    <w:p>
      <w:pPr>
        <w:pStyle w:val="Style15"/>
        <w:spacing w:lineRule="exact" w:line="530" w:before="0" w:after="0"/>
        <w:jc w:val="center"/>
        <w:rPr>
          <w:rFonts w:ascii="宋体" w:hAnsi="宋体" w:cs="宋体" w:hint="eastAsia"/>
          <w:b/>
          <w:bCs/>
          <w:color w:val="000000"/>
          <w:sz w:val="44"/>
          <w:szCs w:val="44"/>
          <w:shd w:fill="FFFFFF" w:val="clear"/>
        </w:rPr>
      </w:pPr>
      <w:r>
        <w:rPr>
          <w:rFonts w:ascii="宋体" w:hAnsi="宋体" w:cs="宋体" w:hint="eastAsia"/>
          <w:b/>
          <w:bCs/>
          <w:color w:val="000000"/>
          <w:sz w:val="44"/>
          <w:szCs w:val="44"/>
          <w:shd w:fill="FFFFFF" w:val="clear"/>
        </w:rPr>
        <w:t>海南省资源税税目税率表</w:t>
      </w:r>
    </w:p>
    <w:p>
      <w:pPr>
        <w:pStyle w:val="Style15"/>
        <w:spacing w:lineRule="exact" w:line="530" w:before="0" w:after="0"/>
        <w:jc w:val="center"/>
        <w:rPr>
          <w:rFonts w:ascii="宋体" w:hAnsi="宋体" w:cs="宋体" w:hint="eastAsia"/>
          <w:b/>
          <w:bCs/>
          <w:color w:val="000000"/>
          <w:sz w:val="44"/>
          <w:szCs w:val="44"/>
          <w:shd w:fill="FFFFFF" w:val="clear"/>
        </w:rPr>
      </w:pPr>
      <w:r>
        <w:rPr>
          <w:rFonts w:cs="宋体" w:hint="eastAsia" w:ascii="宋体" w:hAnsi="宋体"/>
          <w:b/>
          <w:bCs/>
          <w:color w:val="000000"/>
          <w:sz w:val="44"/>
          <w:szCs w:val="44"/>
          <w:shd w:fill="FFFFFF" w:val="clear"/>
        </w:rPr>
      </w:r>
    </w:p>
    <w:tbl>
      <w:tblPr>
        <w:tblW w:w="8789" w:type="dxa"/>
        <w:jc w:val="center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66"/>
        <w:gridCol w:w="1505"/>
        <w:gridCol w:w="2747"/>
        <w:gridCol w:w="1609"/>
        <w:gridCol w:w="1962"/>
      </w:tblGrid>
      <w:tr>
        <w:trPr>
          <w:trHeight w:val="23" w:hRule="atLeast"/>
        </w:trPr>
        <w:tc>
          <w:tcPr>
            <w:tcW w:w="52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黑体"/>
                <w:b/>
                <w:color w:val="000000"/>
                <w:szCs w:val="21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Cs w:val="21"/>
              </w:rPr>
              <w:t>税目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黑体" w:hint="eastAsia"/>
                <w:b/>
                <w:color w:val="000000"/>
                <w:szCs w:val="21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Cs w:val="21"/>
              </w:rPr>
              <w:t>征税对象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黑体" w:hint="eastAsia"/>
                <w:b/>
                <w:color w:val="000000"/>
                <w:szCs w:val="21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Cs w:val="21"/>
              </w:rPr>
              <w:t>税率</w:t>
            </w:r>
          </w:p>
        </w:tc>
      </w:tr>
      <w:tr>
        <w:trPr>
          <w:trHeight w:val="23" w:hRule="atLeast"/>
        </w:trPr>
        <w:tc>
          <w:tcPr>
            <w:tcW w:w="24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能源矿产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地热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元</w:t>
            </w: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立方米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金属矿产</w:t>
            </w:r>
          </w:p>
        </w:tc>
        <w:tc>
          <w:tcPr>
            <w:tcW w:w="15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黑色金属</w:t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铁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9%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4%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钛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9%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有色金属</w:t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锌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3.5%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铝土矿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3.5%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金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6%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锆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10%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非金属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矿产</w:t>
            </w:r>
          </w:p>
        </w:tc>
        <w:tc>
          <w:tcPr>
            <w:tcW w:w="15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矿物类</w:t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高岭土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4%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石灰岩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元</w:t>
            </w: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吨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5.5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元</w:t>
            </w: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 xml:space="preserve">吨 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天然石英砂、脉石英、粉石英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7%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3.5%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其他粘土（铸型用粘土、砖瓦用粘土、陶粒用粘土、水泥配料用粘土、水泥配料用红土、水泥配料用黄土、水泥配料用泥岩、保温材料用粘土）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元</w:t>
            </w: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立方米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元</w:t>
            </w: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立方米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岩石类</w:t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大理岩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6%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6%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花岗岩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6%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4.5%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0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其他岩石类（白云岩、石英岩、砂岩、辉绿岩、安山岩、闪长岩、板岩、玄武岩、片麻岩、角闪岩、页岩、浮石、凝灰岩、黑曜岩、霞石正长岩、蛇纹岩、麦饭石、泥灰岩、含钾岩石、含钾砂页岩、天然油石、橄榄岩、松脂岩、粗面岩、辉长岩、辉石岩、正长岩、火山灰、火山渣、泥炭）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5%</w:t>
            </w:r>
          </w:p>
        </w:tc>
      </w:tr>
      <w:tr>
        <w:trPr>
          <w:trHeight w:val="4430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3.5%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砂石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4%</w:t>
            </w:r>
          </w:p>
        </w:tc>
      </w:tr>
      <w:tr>
        <w:trPr>
          <w:trHeight w:val="23" w:hRule="atLeast"/>
        </w:trPr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27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选矿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4%</w:t>
            </w:r>
          </w:p>
        </w:tc>
      </w:tr>
      <w:tr>
        <w:trPr>
          <w:trHeight w:val="23" w:hRule="atLeast"/>
        </w:trPr>
        <w:tc>
          <w:tcPr>
            <w:tcW w:w="24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水气矿产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矿泉水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原矿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7.2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元</w:t>
            </w: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立方米</w:t>
            </w:r>
          </w:p>
        </w:tc>
      </w:tr>
      <w:tr>
        <w:trPr>
          <w:trHeight w:val="23" w:hRule="atLeast"/>
        </w:trPr>
        <w:tc>
          <w:tcPr>
            <w:tcW w:w="24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盐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ascii="宋体" w:hAnsi="宋体" w:cs="仿宋" w:hint="eastAsia"/>
                <w:color w:val="000000"/>
                <w:kern w:val="0"/>
                <w:szCs w:val="21"/>
              </w:rPr>
              <w:t>海盐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560" w:before="0" w:after="0"/>
              <w:ind w:firstLineChars="0" w:firstLine="0" w:startChars="0" w:start="0" w:endChars="0" w:end="0"/>
              <w:jc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szCs w:val="21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pacing w:lineRule="exact" w:line="560" w:before="0" w:after="0"/>
              <w:ind w:firstLineChars="0" w:firstLine="0" w:startChars="0" w:start="0" w:endChars="0" w:end="0"/>
              <w:jc w:val="center"/>
              <w:textAlignment w:val="center"/>
              <w:rPr>
                <w:rFonts w:ascii="宋体" w:hAnsi="宋体" w:cs="仿宋" w:hint="eastAsia"/>
                <w:color w:val="000000"/>
                <w:szCs w:val="21"/>
              </w:rPr>
            </w:pPr>
            <w:r>
              <w:rPr>
                <w:rFonts w:cs="仿宋" w:hint="eastAsia" w:ascii="宋体" w:hAnsi="宋体"/>
                <w:color w:val="000000"/>
                <w:kern w:val="0"/>
                <w:szCs w:val="21"/>
              </w:rPr>
              <w:t>2%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689" w:right="1689" w:gutter="0" w:header="851" w:top="1553" w:footer="992" w:bottom="155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仿宋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default"/>
  </w:font>
  <w:font w:name="宋体">
    <w:charset w:val="86"/>
    <w:family w:val="auto"/>
    <w:pitch w:val="default"/>
  </w:font>
  <w:font w:name="仿宋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>
      <w:rFonts w:ascii="仿宋_GB2312" w:hAnsi="仿宋_GB2312" w:eastAsia="仿宋_GB2312" w:cs="新宋体"/>
      <w:sz w:val="32"/>
      <w:szCs w:val="24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1CharCharChar">
    <w:name w:val="正文1 Char Char Char"/>
    <w:basedOn w:val="Normal"/>
    <w:qFormat/>
    <w:pPr>
      <w:spacing w:lineRule="auto" w:line="360"/>
      <w:ind w:firstLineChars="200" w:startChars="0" w:start="0" w:endChars="0" w:end="0"/>
    </w:pPr>
    <w:rPr>
      <w:rFonts w:ascii="仿宋_GB2312" w:hAnsi="仿宋_GB2312" w:eastAsia="仿宋_GB2312" w:cs="新宋体"/>
      <w:sz w:val="32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ee</dc:creator>
  <dc:description/>
  <dc:language>en-US</dc:language>
  <cp:lastModifiedBy>lenovo</cp:lastModifiedBy>
  <cp:lastPrinted>2020-08-03T11:19:00Z</cp:lastPrinted>
  <dcterms:modified xsi:type="dcterms:W3CDTF">2020-08-03T11:21:51Z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