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jc w:val="center"/>
        <w:rPr>
          <w:rFonts w:ascii="宋体;方正书宋_GBK" w:hAnsi="宋体;方正书宋_GBK" w:cs="宋体;方正书宋_GBK" w:hint="eastAsia"/>
          <w:kern w:val="0"/>
          <w:sz w:val="44"/>
          <w:szCs w:val="44"/>
        </w:rPr>
      </w:pPr>
      <w:r>
        <w:rPr>
          <w:rFonts w:ascii="宋体;方正书宋_GBK" w:hAnsi="宋体;方正书宋_GBK" w:cs="宋体;方正书宋_GBK" w:hint="eastAsia"/>
          <w:kern w:val="0"/>
          <w:sz w:val="44"/>
          <w:szCs w:val="44"/>
        </w:rPr>
        <w:t>广西壮族自治区规章设定罚款限额规定</w:t>
      </w:r>
    </w:p>
    <w:p>
      <w:pPr>
        <w:pStyle w:val="Normal"/>
        <w:tabs>
          <w:tab w:val="clear" w:pos="420"/>
          <w:tab w:val="left" w:pos="8505" w:leader="none"/>
        </w:tabs>
        <w:overflowPunct w:val="false"/>
        <w:snapToGrid w:val="false"/>
        <w:spacing w:lineRule="exact" w:line="600"/>
        <w:rPr>
          <w:rFonts w:ascii="宋体;方正书宋_GBK" w:hAnsi="宋体;方正书宋_GBK" w:eastAsia="仿宋_GB2312" w:cs="宋体;方正书宋_GBK" w:hint="eastAsia"/>
          <w:kern w:val="0"/>
          <w:sz w:val="32"/>
          <w:szCs w:val="32"/>
        </w:rPr>
      </w:pPr>
      <w:r>
        <w:rPr>
          <w:rFonts w:eastAsia="仿宋_GB2312" w:cs="宋体;方正书宋_GBK" w:hint="eastAsia" w:ascii="宋体;方正书宋_GBK" w:hAnsi="宋体;方正书宋_GBK"/>
          <w:kern w:val="0"/>
          <w:sz w:val="32"/>
          <w:szCs w:val="32"/>
        </w:rPr>
      </w:r>
    </w:p>
    <w:p>
      <w:pPr>
        <w:pStyle w:val="Normal"/>
        <w:tabs>
          <w:tab w:val="clear" w:pos="420"/>
          <w:tab w:val="left" w:pos="8505" w:leader="none"/>
        </w:tabs>
        <w:overflowPunct w:val="false"/>
        <w:snapToGrid w:val="false"/>
        <w:spacing w:lineRule="exact" w:line="600"/>
        <w:ind w:firstLineChars="0" w:firstLine="0" w:startChars="295" w:endChars="316"/>
        <w:rPr>
          <w:rFonts w:eastAsia="楷体_GB2312;楷体"/>
          <w:kern w:val="0"/>
          <w:sz w:val="32"/>
          <w:szCs w:val="32"/>
        </w:rPr>
      </w:pPr>
      <w:r>
        <w:rPr>
          <w:rFonts w:eastAsia="楷体_GB2312;楷体"/>
          <w:kern w:val="0"/>
          <w:sz w:val="32"/>
          <w:szCs w:val="32"/>
        </w:rPr>
        <w:t>（</w:t>
      </w:r>
      <w:r>
        <w:rPr>
          <w:rFonts w:eastAsia="楷体_GB2312;楷体"/>
          <w:kern w:val="0"/>
          <w:sz w:val="32"/>
          <w:szCs w:val="32"/>
        </w:rPr>
        <w:t>1996</w:t>
      </w:r>
      <w:r>
        <w:rPr>
          <w:rFonts w:eastAsia="楷体_GB2312;楷体"/>
          <w:kern w:val="0"/>
          <w:sz w:val="32"/>
          <w:szCs w:val="32"/>
        </w:rPr>
        <w:t>年</w:t>
      </w:r>
      <w:r>
        <w:rPr>
          <w:rFonts w:eastAsia="楷体_GB2312;楷体"/>
          <w:kern w:val="0"/>
          <w:sz w:val="32"/>
          <w:szCs w:val="32"/>
        </w:rPr>
        <w:t>8</w:t>
      </w:r>
      <w:r>
        <w:rPr>
          <w:rFonts w:eastAsia="楷体_GB2312;楷体"/>
          <w:kern w:val="0"/>
          <w:sz w:val="32"/>
          <w:szCs w:val="32"/>
        </w:rPr>
        <w:t>月</w:t>
      </w:r>
      <w:r>
        <w:rPr>
          <w:rFonts w:eastAsia="楷体_GB2312;楷体"/>
          <w:kern w:val="0"/>
          <w:sz w:val="32"/>
          <w:szCs w:val="32"/>
        </w:rPr>
        <w:t>6</w:t>
      </w:r>
      <w:r>
        <w:rPr>
          <w:rFonts w:eastAsia="楷体_GB2312;楷体"/>
          <w:kern w:val="0"/>
          <w:sz w:val="32"/>
          <w:szCs w:val="32"/>
        </w:rPr>
        <w:t>日广西壮族自治区第八届人民代表大会常务委员会第二十三次会议通过</w:t>
      </w:r>
      <w:r>
        <w:rPr>
          <w:rFonts w:hint="eastAsia" w:eastAsia="楷体_GB2312;楷体"/>
          <w:kern w:val="0"/>
          <w:sz w:val="32"/>
          <w:szCs w:val="32"/>
        </w:rPr>
        <w:t xml:space="preserve">  </w:t>
      </w:r>
      <w:r>
        <w:rPr>
          <w:rFonts w:eastAsia="楷体_GB2312;楷体"/>
          <w:kern w:val="0"/>
          <w:sz w:val="32"/>
          <w:szCs w:val="32"/>
        </w:rPr>
        <w:t>2021</w:t>
      </w:r>
      <w:r>
        <w:rPr>
          <w:rFonts w:eastAsia="楷体_GB2312;楷体"/>
          <w:kern w:val="0"/>
          <w:sz w:val="32"/>
          <w:szCs w:val="32"/>
        </w:rPr>
        <w:t>年</w:t>
      </w:r>
      <w:r>
        <w:rPr>
          <w:rFonts w:eastAsia="楷体_GB2312;楷体"/>
          <w:kern w:val="0"/>
          <w:sz w:val="32"/>
          <w:szCs w:val="32"/>
        </w:rPr>
        <w:t>9</w:t>
      </w:r>
      <w:r>
        <w:rPr>
          <w:rFonts w:eastAsia="楷体_GB2312;楷体"/>
          <w:kern w:val="0"/>
          <w:sz w:val="32"/>
          <w:szCs w:val="32"/>
        </w:rPr>
        <w:t>月</w:t>
      </w:r>
      <w:r>
        <w:rPr>
          <w:rFonts w:eastAsia="楷体_GB2312;楷体"/>
          <w:kern w:val="0"/>
          <w:sz w:val="32"/>
          <w:szCs w:val="32"/>
        </w:rPr>
        <w:t>28</w:t>
      </w:r>
      <w:r>
        <w:rPr>
          <w:rFonts w:eastAsia="楷体_GB2312;楷体"/>
          <w:kern w:val="0"/>
          <w:sz w:val="32"/>
          <w:szCs w:val="32"/>
        </w:rPr>
        <w:t>日广西壮族自治区第十三届人民代表大会常务委员会第二十五次会议修订）</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w:t>
      </w:r>
      <w:r>
        <w:rPr>
          <w:rFonts w:ascii="黑体" w:hAnsi="黑体" w:cs="黑体" w:hint="eastAsia" w:eastAsia="黑体"/>
          <w:kern w:val="0"/>
          <w:sz w:val="32"/>
          <w:szCs w:val="32"/>
        </w:rPr>
        <w:t xml:space="preserve">第一条 </w:t>
      </w:r>
      <w:r>
        <w:rPr>
          <w:rFonts w:hint="eastAsia" w:eastAsia="仿宋_GB2312"/>
          <w:kern w:val="0"/>
          <w:sz w:val="32"/>
          <w:szCs w:val="32"/>
        </w:rPr>
        <w:t xml:space="preserve"> 根据《中华人民共和国立法法》《中华人民共和国行政处罚法》的有关规定，结合本自治区实际，制定本规定。</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w:t>
      </w:r>
      <w:r>
        <w:rPr>
          <w:rFonts w:ascii="黑体" w:hAnsi="黑体" w:cs="黑体" w:hint="eastAsia" w:eastAsia="黑体"/>
          <w:kern w:val="0"/>
          <w:sz w:val="32"/>
          <w:szCs w:val="32"/>
        </w:rPr>
        <w:t>第二条</w:t>
      </w:r>
      <w:r>
        <w:rPr>
          <w:rFonts w:hint="eastAsia" w:eastAsia="仿宋_GB2312"/>
          <w:kern w:val="0"/>
          <w:sz w:val="32"/>
          <w:szCs w:val="32"/>
        </w:rPr>
        <w:t xml:space="preserve">  自治区人民政府和设区的市人民政府制定的规章对违反行政管理秩序的行为设定罚款限额，适用本规定。</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w:t>
      </w:r>
      <w:r>
        <w:rPr>
          <w:rFonts w:ascii="黑体" w:hAnsi="黑体" w:cs="黑体" w:hint="eastAsia" w:eastAsia="黑体"/>
          <w:kern w:val="0"/>
          <w:sz w:val="32"/>
          <w:szCs w:val="32"/>
        </w:rPr>
        <w:t>第三条</w:t>
      </w:r>
      <w:r>
        <w:rPr>
          <w:rFonts w:hint="eastAsia" w:eastAsia="仿宋_GB2312"/>
          <w:kern w:val="0"/>
          <w:sz w:val="32"/>
          <w:szCs w:val="32"/>
        </w:rPr>
        <w:t xml:space="preserve">  规章可以在法律、法规规定的给予行政处罚的行为、种类和幅度的范围内作出具体规定。尚未制定法律、法规的，规章对违反行政管理秩序的行为设定罚款，其数额不得超过五万元；但是，对涉及公共安全、生态环境保护、历史文化保护、有限自然资源开发利用以及食品药品安全等直接关系人身健康、生命财产安全的违反行政管理秩序的行为，可以设定不超过二十万元的罚款。</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hint="eastAsia" w:eastAsia="仿宋_GB2312"/>
          <w:kern w:val="0"/>
          <w:sz w:val="32"/>
          <w:szCs w:val="32"/>
        </w:rPr>
        <w:t>　　</w:t>
      </w:r>
      <w:r>
        <w:rPr>
          <w:rFonts w:ascii="黑体" w:hAnsi="黑体" w:cs="黑体" w:hint="eastAsia" w:eastAsia="黑体"/>
          <w:kern w:val="0"/>
          <w:sz w:val="32"/>
          <w:szCs w:val="32"/>
        </w:rPr>
        <w:t>第四条</w:t>
      </w:r>
      <w:r>
        <w:rPr>
          <w:rFonts w:hint="eastAsia" w:eastAsia="仿宋_GB2312"/>
          <w:kern w:val="0"/>
          <w:sz w:val="32"/>
          <w:szCs w:val="32"/>
        </w:rPr>
        <w:t xml:space="preserve">  对违反行政管理秩序的同一行为，设区的市人民政府制定的规章设定的罚款数额，不得超过自治区人民政府制定的规章设定的罚款数额。</w:t>
      </w:r>
    </w:p>
    <w:p>
      <w:pPr>
        <w:pStyle w:val="Normal"/>
        <w:tabs>
          <w:tab w:val="clear" w:pos="420"/>
          <w:tab w:val="left" w:pos="8505" w:leader="none"/>
        </w:tabs>
        <w:overflowPunct w:val="false"/>
        <w:snapToGrid w:val="false"/>
        <w:spacing w:lineRule="exact" w:line="600"/>
        <w:rPr>
          <w:rFonts w:eastAsia="仿宋_GB2312" w:hint="eastAsia"/>
          <w:kern w:val="0"/>
          <w:sz w:val="32"/>
          <w:szCs w:val="32"/>
        </w:rPr>
      </w:pPr>
      <w:r>
        <w:rPr>
          <w:rFonts w:eastAsia="黑体" w:cs="黑体" w:hint="eastAsia" w:ascii="黑体" w:hAnsi="黑体"/>
          <w:kern w:val="0"/>
          <w:sz w:val="32"/>
          <w:szCs w:val="32"/>
        </w:rPr>
        <w:t xml:space="preserve">    </w:t>
      </w:r>
      <w:r>
        <w:rPr>
          <w:rFonts w:ascii="黑体" w:hAnsi="黑体" w:cs="黑体" w:hint="eastAsia" w:eastAsia="黑体"/>
          <w:kern w:val="0"/>
          <w:sz w:val="32"/>
          <w:szCs w:val="32"/>
        </w:rPr>
        <w:t>第五条</w:t>
      </w:r>
      <w:r>
        <w:rPr>
          <w:rFonts w:hint="eastAsia" w:eastAsia="仿宋_GB2312"/>
          <w:kern w:val="0"/>
          <w:sz w:val="32"/>
          <w:szCs w:val="32"/>
        </w:rPr>
        <w:t xml:space="preserve">  本规定自公布之日起施行。　</w:t>
      </w:r>
    </w:p>
    <w:p>
      <w:pPr>
        <w:pStyle w:val="Normal"/>
        <w:spacing w:lineRule="exact" w:line="600"/>
        <w:jc w:val="both"/>
        <w:rPr>
          <w:rFonts w:ascii="仿宋_GB2312" w:hAnsi="仿宋_GB2312" w:eastAsia="仿宋_GB2312" w:hint="eastAsia"/>
          <w:bCs/>
          <w:kern w:val="0"/>
          <w:sz w:val="32"/>
          <w:szCs w:val="32"/>
        </w:rPr>
      </w:pPr>
      <w:r>
        <w:rPr>
          <w:rFonts w:eastAsia="仿宋_GB2312" w:hint="eastAsia" w:ascii="仿宋_GB2312" w:hAnsi="仿宋_GB2312"/>
          <w:bCs/>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Liberation Sans">
    <w:altName w:val="Arial"/>
    <w:charset w:val="01" w:characterSet="utf-8"/>
    <w:family w:val="swiss"/>
    <w:pitch w:val="variable"/>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 behindDoc="0" locked="0" layoutInCell="0" allowOverlap="1">
              <wp:simplePos x="0" y="0"/>
              <wp:positionH relativeFrom="page">
                <wp:posOffset>1219835</wp:posOffset>
              </wp:positionH>
              <wp:positionV relativeFrom="paragraph">
                <wp:posOffset>-85090</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6.7pt;mso-position-vertical-relative:text;margin-left:96.0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方正书宋_GBK" w:hAnsi="宋体;方正书宋_GBK" w:cs="Courier New;DejaVu Sans"/>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4"/>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方正书宋_GBK" w:hAnsi="宋体;方正书宋_GBK" w:cs="Courier New;DejaVu Sans"/>
      <w:kern w:val="0"/>
      <w:szCs w:val="21"/>
    </w:rPr>
  </w:style>
  <w:style w:type="paragraph" w:styleId="Style17">
    <w:name w:val="日期"/>
    <w:basedOn w:val="Normal"/>
    <w:next w:val="Normal"/>
    <w:qFormat/>
    <w:pPr>
      <w:ind w:firstLineChars="0" w:firstLine="0" w:startChars="2500" w:endChars="0" w:end="0"/>
    </w:pPr>
    <w:rPr>
      <w:rFonts w:eastAsia="仿宋_GB2312"/>
      <w:sz w:val="32"/>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CharChar2">
    <w:name w:val=" Char Char2"/>
    <w:basedOn w:val="Normal"/>
    <w:qFormat/>
    <w:pPr>
      <w:widowControl/>
      <w:spacing w:lineRule="exact" w:line="240" w:before="0" w:after="160"/>
      <w:jc w:val="start"/>
    </w:pPr>
    <w:rPr>
      <w:szCs w:val="20"/>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2020-09-29T02:10:00Z</dcterms:created>
  <dc:creator>严露</dc:creator>
  <dc:description/>
  <dc:language>en-US</dc:language>
  <cp:lastModifiedBy>chenz</cp:lastModifiedBy>
  <cp:lastPrinted>2021-09-29T15:56:00Z</cp:lastPrinted>
  <dcterms:modified xsi:type="dcterms:W3CDTF">2021-10-15T17:44:18Z</dcterms:modified>
  <cp:revision>5</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2052-11.8.2.9958</vt:lpwstr>
  </property>
</Properties>
</file>