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Normal"/>
        <w:numPr>
          <w:ilvl w:val="0"/>
          <w:numId w:val="0"/>
        </w:numPr>
        <w:tabs>
          <w:tab w:val="clear" w:pos="709"/>
          <w:tab w:val="center" w:pos="9169" w:leader="none"/>
        </w:tabs>
        <w:snapToGrid w:val="false"/>
        <w:spacing w:lineRule="exact" w:line="580"/>
        <w:outlineLvl w:val="0"/>
        <w:rPr>
          <w:rFonts w:ascii="黑体" w:hAnsi="黑体" w:eastAsia="黑体" w:cs="方正小标宋_GBK;微软雅黑" w:hint="eastAsia"/>
          <w:kern w:val="2"/>
          <w:sz w:val="32"/>
          <w:szCs w:val="32"/>
          <w:lang w:val="zh-CN"/>
        </w:rPr>
      </w:pPr>
      <w:r>
        <w:rPr>
          <w:rFonts w:eastAsia="黑体" w:cs="方正小标宋_GBK;微软雅黑" w:hint="eastAsia" w:ascii="黑体" w:hAnsi="黑体"/>
          <w:kern w:val="2"/>
          <w:sz w:val="32"/>
          <w:szCs w:val="32"/>
          <w:lang w:val="zh-CN"/>
        </w:rPr>
      </w:r>
    </w:p>
    <w:p>
      <w:pPr>
        <w:pStyle w:val="Normal"/>
        <w:numPr>
          <w:ilvl w:val="0"/>
          <w:numId w:val="0"/>
        </w:numPr>
        <w:tabs>
          <w:tab w:val="clear" w:pos="709"/>
          <w:tab w:val="center" w:pos="9169" w:leader="none"/>
        </w:tabs>
        <w:snapToGrid w:val="false"/>
        <w:spacing w:lineRule="exact" w:line="580"/>
        <w:jc w:val="center"/>
        <w:outlineLvl w:val="0"/>
        <w:rPr>
          <w:rFonts w:ascii="黑体" w:hAnsi="黑体" w:eastAsia="黑体" w:cs="方正小标宋_GBK;微软雅黑" w:hint="eastAsia"/>
          <w:kern w:val="2"/>
          <w:sz w:val="32"/>
          <w:szCs w:val="32"/>
          <w:lang w:val="zh-CN"/>
        </w:rPr>
      </w:pPr>
      <w:r>
        <w:rPr>
          <w:rFonts w:eastAsia="黑体" w:cs="方正小标宋_GBK;微软雅黑" w:hint="eastAsia" w:ascii="黑体" w:hAnsi="黑体"/>
          <w:kern w:val="2"/>
          <w:sz w:val="32"/>
          <w:szCs w:val="32"/>
          <w:lang w:val="zh-CN"/>
        </w:rPr>
      </w:r>
    </w:p>
    <w:p>
      <w:pPr>
        <w:pStyle w:val="Normal"/>
        <w:numPr>
          <w:ilvl w:val="0"/>
          <w:numId w:val="0"/>
        </w:numPr>
        <w:tabs>
          <w:tab w:val="clear" w:pos="709"/>
          <w:tab w:val="center" w:pos="9169" w:leader="none"/>
        </w:tabs>
        <w:snapToGrid w:val="false"/>
        <w:spacing w:lineRule="exact" w:line="580"/>
        <w:jc w:val="center"/>
        <w:outlineLvl w:val="0"/>
        <w:rPr>
          <w:rFonts w:ascii="黑体" w:hAnsi="黑体" w:eastAsia="黑体" w:cs="方正小标宋_GBK;微软雅黑" w:hint="eastAsia"/>
          <w:kern w:val="2"/>
          <w:sz w:val="44"/>
          <w:szCs w:val="44"/>
          <w:lang w:val="zh-CN"/>
        </w:rPr>
      </w:pPr>
      <w:r>
        <w:rPr>
          <w:rFonts w:ascii="黑体" w:hAnsi="黑体" w:cs="方正小标宋_GBK;微软雅黑" w:hint="eastAsia" w:eastAsia="黑体"/>
          <w:kern w:val="2"/>
          <w:sz w:val="44"/>
          <w:szCs w:val="44"/>
          <w:lang w:val="zh-CN"/>
        </w:rPr>
        <w:t>广西壮族自治区社会信用条例</w:t>
      </w:r>
    </w:p>
    <w:p>
      <w:pPr>
        <w:pStyle w:val="-1"/>
        <w:spacing w:lineRule="exact" w:line="580"/>
        <w:ind w:firstLineChars="0" w:firstLine="0" w:endChars="0" w:end="0"/>
        <w:rPr>
          <w:rFonts w:ascii="黑体" w:hAnsi="黑体" w:eastAsia="黑体" w:cs="方正小标宋_GBK;微软雅黑" w:hint="eastAsia"/>
          <w:kern w:val="2"/>
          <w:sz w:val="32"/>
          <w:szCs w:val="32"/>
          <w:lang w:val="zh-CN"/>
        </w:rPr>
      </w:pPr>
      <w:r>
        <w:rPr>
          <w:rFonts w:eastAsia="黑体" w:cs="方正小标宋_GBK;微软雅黑" w:hint="eastAsia" w:ascii="黑体" w:hAnsi="黑体"/>
          <w:kern w:val="2"/>
          <w:sz w:val="32"/>
          <w:szCs w:val="32"/>
          <w:lang w:val="zh-CN"/>
        </w:rPr>
      </w:r>
    </w:p>
    <w:p>
      <w:pPr>
        <w:pStyle w:val="Normal"/>
        <w:spacing w:lineRule="exact" w:line="580"/>
        <w:ind w:firstLine="640" w:end="0"/>
        <w:jc w:val="both"/>
        <w:rPr>
          <w:rFonts w:ascii="楷体" w:hAnsi="楷体" w:eastAsia="楷体" w:cs="楷体"/>
          <w:sz w:val="32"/>
          <w:szCs w:val="32"/>
        </w:rPr>
      </w:pPr>
      <w:r>
        <w:rPr>
          <w:rFonts w:eastAsia="楷体" w:cs="楷体" w:hint="eastAsia" w:ascii="楷体" w:hAnsi="楷体"/>
          <w:sz w:val="32"/>
          <w:szCs w:val="32"/>
        </w:rPr>
        <w:t>(2023</w:t>
      </w:r>
      <w:r>
        <w:rPr>
          <w:rFonts w:ascii="楷体" w:hAnsi="楷体" w:cs="楷体" w:hint="eastAsia" w:eastAsia="楷体"/>
          <w:sz w:val="32"/>
          <w:szCs w:val="32"/>
        </w:rPr>
        <w:t>年</w:t>
      </w:r>
      <w:r>
        <w:rPr>
          <w:rFonts w:eastAsia="楷体" w:cs="楷体" w:hint="eastAsia" w:ascii="楷体" w:hAnsi="楷体"/>
          <w:sz w:val="32"/>
          <w:szCs w:val="32"/>
        </w:rPr>
        <w:t>3</w:t>
      </w:r>
      <w:r>
        <w:rPr>
          <w:rFonts w:ascii="楷体" w:hAnsi="楷体" w:cs="楷体" w:hint="eastAsia" w:eastAsia="楷体"/>
          <w:sz w:val="32"/>
          <w:szCs w:val="32"/>
        </w:rPr>
        <w:t>月</w:t>
      </w:r>
      <w:r>
        <w:rPr>
          <w:rFonts w:eastAsia="楷体" w:cs="楷体" w:hint="eastAsia" w:ascii="楷体" w:hAnsi="楷体"/>
          <w:sz w:val="32"/>
          <w:szCs w:val="32"/>
        </w:rPr>
        <w:t>28</w:t>
      </w:r>
      <w:r>
        <w:rPr>
          <w:rFonts w:ascii="楷体" w:hAnsi="楷体" w:cs="楷体" w:hint="eastAsia" w:eastAsia="楷体"/>
          <w:sz w:val="32"/>
          <w:szCs w:val="32"/>
        </w:rPr>
        <w:t>日广西壮族自治区第十四届人民代表</w:t>
      </w:r>
    </w:p>
    <w:p>
      <w:pPr>
        <w:pStyle w:val="Normal"/>
        <w:spacing w:lineRule="exact" w:line="580"/>
        <w:ind w:firstLine="640" w:end="0"/>
        <w:jc w:val="both"/>
        <w:rPr>
          <w:rFonts w:ascii="楷体" w:hAnsi="楷体" w:eastAsia="楷体" w:cs="Calibri" w:hint="eastAsia"/>
          <w:sz w:val="32"/>
          <w:szCs w:val="32"/>
        </w:rPr>
      </w:pPr>
      <w:r>
        <w:rPr>
          <w:rFonts w:ascii="楷体" w:hAnsi="楷体" w:cs="楷体" w:hint="eastAsia" w:eastAsia="楷体"/>
          <w:sz w:val="32"/>
          <w:szCs w:val="32"/>
        </w:rPr>
        <w:t>大会常务委员会第二次会议通过）</w:t>
      </w:r>
    </w:p>
    <w:p>
      <w:pPr>
        <w:pStyle w:val="-1"/>
        <w:spacing w:lineRule="exact" w:line="580"/>
        <w:ind w:firstLineChars="66" w:endChars="0" w:end="0"/>
        <w:jc w:val="start"/>
        <w:rPr>
          <w:rFonts w:ascii="楷体" w:hAnsi="楷体" w:eastAsia="楷体" w:cs="Calibri" w:hint="eastAsia"/>
          <w:sz w:val="32"/>
          <w:szCs w:val="32"/>
        </w:rPr>
      </w:pPr>
      <w:r>
        <w:rPr>
          <w:rFonts w:eastAsia="楷体" w:cs="Calibri" w:hint="eastAsia" w:ascii="楷体" w:hAnsi="楷体"/>
          <w:sz w:val="32"/>
          <w:szCs w:val="32"/>
        </w:rPr>
      </w:r>
    </w:p>
    <w:p>
      <w:pPr>
        <w:pStyle w:val="Normal"/>
        <w:snapToGrid w:val="false"/>
        <w:spacing w:lineRule="exact" w:line="580"/>
        <w:jc w:val="center"/>
        <w:rPr>
          <w:rFonts w:ascii="华文楷体" w:hAnsi="华文楷体" w:eastAsia="华文楷体" w:cs="方正仿宋_GBK;微软雅黑" w:hint="eastAsia"/>
          <w:kern w:val="2"/>
          <w:sz w:val="32"/>
          <w:szCs w:val="32"/>
        </w:rPr>
      </w:pPr>
      <w:r>
        <w:rPr>
          <w:rFonts w:ascii="华文楷体" w:hAnsi="华文楷体" w:cs="方正仿宋_GBK;微软雅黑" w:hint="eastAsia" w:eastAsia="华文楷体"/>
          <w:kern w:val="2"/>
          <w:sz w:val="32"/>
          <w:szCs w:val="32"/>
        </w:rPr>
        <w:t>目  录</w:t>
      </w:r>
    </w:p>
    <w:p>
      <w:pPr>
        <w:pStyle w:val="Normal"/>
        <w:snapToGrid w:val="false"/>
        <w:spacing w:lineRule="exact" w:line="580"/>
        <w:ind w:firstLineChars="200" w:startChars="0" w:start="0" w:endChars="0" w:end="0"/>
        <w:rPr>
          <w:rFonts w:ascii="华文楷体" w:hAnsi="华文楷体" w:eastAsia="方正仿宋_GBK;微软雅黑" w:cs="方正仿宋_GBK;微软雅黑" w:hint="eastAsia"/>
          <w:kern w:val="2"/>
          <w:sz w:val="32"/>
          <w:szCs w:val="32"/>
        </w:rPr>
      </w:pPr>
      <w:r>
        <w:rPr>
          <w:rFonts w:eastAsia="方正仿宋_GBK;微软雅黑" w:cs="方正仿宋_GBK;微软雅黑" w:hint="eastAsia" w:ascii="华文楷体" w:hAnsi="华文楷体"/>
          <w:kern w:val="2"/>
          <w:sz w:val="32"/>
          <w:szCs w:val="32"/>
        </w:rPr>
      </w:r>
    </w:p>
    <w:p>
      <w:pPr>
        <w:pStyle w:val="Normal"/>
        <w:snapToGrid w:val="false"/>
        <w:spacing w:lineRule="exact" w:line="580"/>
        <w:ind w:firstLineChars="200" w:startChars="0" w:start="0" w:endChars="0" w:end="0"/>
        <w:rPr>
          <w:rFonts w:ascii="楷体_GB2312;楷体" w:hAnsi="楷体_GB2312;楷体" w:eastAsia="楷体_GB2312;楷体" w:cs="楷体_GB2312;楷体" w:hint="eastAsia"/>
          <w:kern w:val="2"/>
          <w:sz w:val="32"/>
          <w:szCs w:val="32"/>
        </w:rPr>
      </w:pPr>
      <w:r>
        <w:rPr>
          <w:rFonts w:ascii="楷体_GB2312;楷体" w:hAnsi="楷体_GB2312;楷体" w:cs="楷体_GB2312;楷体" w:hint="eastAsia" w:eastAsia="楷体_GB2312;楷体"/>
          <w:kern w:val="2"/>
          <w:sz w:val="32"/>
          <w:szCs w:val="32"/>
        </w:rPr>
        <w:t>第一章  总  则</w:t>
      </w:r>
    </w:p>
    <w:p>
      <w:pPr>
        <w:pStyle w:val="Normal"/>
        <w:snapToGrid w:val="false"/>
        <w:spacing w:lineRule="exact" w:line="580"/>
        <w:ind w:firstLineChars="200" w:startChars="0" w:start="0" w:endChars="0" w:end="0"/>
        <w:rPr>
          <w:rFonts w:ascii="华文楷体" w:hAnsi="华文楷体" w:eastAsia="华文楷体" w:cs="方正仿宋_GBK;微软雅黑" w:hint="eastAsia"/>
          <w:kern w:val="2"/>
          <w:sz w:val="32"/>
          <w:szCs w:val="32"/>
        </w:rPr>
      </w:pPr>
      <w:r>
        <w:rPr>
          <w:rFonts w:ascii="楷体_GB2312;楷体" w:hAnsi="楷体_GB2312;楷体" w:cs="楷体_GB2312;楷体" w:hint="eastAsia" w:eastAsia="楷体_GB2312;楷体"/>
          <w:kern w:val="2"/>
          <w:sz w:val="32"/>
          <w:szCs w:val="32"/>
        </w:rPr>
        <w:t>第二章  社会信用体系建设</w:t>
      </w:r>
    </w:p>
    <w:p>
      <w:pPr>
        <w:pStyle w:val="Normal"/>
        <w:snapToGrid w:val="false"/>
        <w:spacing w:lineRule="exact" w:line="580"/>
        <w:ind w:firstLineChars="200" w:startChars="0" w:start="0" w:endChars="0" w:end="0"/>
        <w:rPr>
          <w:rFonts w:ascii="楷体_GB2312;楷体" w:hAnsi="楷体_GB2312;楷体" w:eastAsia="楷体_GB2312;楷体" w:cs="楷体_GB2312;楷体" w:hint="eastAsia"/>
          <w:kern w:val="2"/>
          <w:sz w:val="32"/>
          <w:szCs w:val="32"/>
        </w:rPr>
      </w:pPr>
      <w:r>
        <w:rPr>
          <w:rFonts w:ascii="楷体_GB2312;楷体" w:hAnsi="楷体_GB2312;楷体" w:cs="楷体_GB2312;楷体" w:hint="eastAsia" w:eastAsia="楷体_GB2312;楷体"/>
          <w:kern w:val="2"/>
          <w:sz w:val="32"/>
          <w:szCs w:val="32"/>
        </w:rPr>
        <w:t>第三章  信用信息管理</w:t>
      </w:r>
    </w:p>
    <w:p>
      <w:pPr>
        <w:pStyle w:val="Normal"/>
        <w:snapToGrid w:val="false"/>
        <w:spacing w:lineRule="exact" w:line="580"/>
        <w:ind w:firstLineChars="200" w:startChars="0" w:start="0" w:endChars="0" w:end="0"/>
        <w:rPr>
          <w:rFonts w:ascii="楷体_GB2312;楷体" w:hAnsi="楷体_GB2312;楷体" w:eastAsia="楷体_GB2312;楷体" w:cs="楷体_GB2312;楷体" w:hint="eastAsia"/>
          <w:kern w:val="2"/>
          <w:sz w:val="32"/>
          <w:szCs w:val="32"/>
        </w:rPr>
      </w:pPr>
      <w:r>
        <w:rPr>
          <w:rFonts w:ascii="楷体_GB2312;楷体" w:hAnsi="楷体_GB2312;楷体" w:cs="楷体_GB2312;楷体" w:hint="eastAsia" w:eastAsia="楷体_GB2312;楷体"/>
          <w:kern w:val="2"/>
          <w:sz w:val="32"/>
          <w:szCs w:val="32"/>
        </w:rPr>
        <w:t>第四章  守信激励和失信惩戒</w:t>
      </w:r>
    </w:p>
    <w:p>
      <w:pPr>
        <w:pStyle w:val="Normal"/>
        <w:snapToGrid w:val="false"/>
        <w:spacing w:lineRule="exact" w:line="580"/>
        <w:ind w:firstLineChars="200" w:startChars="0" w:start="0" w:endChars="0" w:end="0"/>
        <w:rPr>
          <w:rFonts w:ascii="楷体_GB2312;楷体" w:hAnsi="楷体_GB2312;楷体" w:eastAsia="楷体_GB2312;楷体" w:cs="楷体_GB2312;楷体" w:hint="eastAsia"/>
          <w:kern w:val="2"/>
          <w:sz w:val="32"/>
          <w:szCs w:val="32"/>
        </w:rPr>
      </w:pPr>
      <w:r>
        <w:rPr>
          <w:rFonts w:ascii="楷体_GB2312;楷体" w:hAnsi="楷体_GB2312;楷体" w:cs="楷体_GB2312;楷体" w:hint="eastAsia" w:eastAsia="楷体_GB2312;楷体"/>
          <w:kern w:val="2"/>
          <w:sz w:val="32"/>
          <w:szCs w:val="32"/>
        </w:rPr>
        <w:t xml:space="preserve">第五章  信用主体权益保护 </w:t>
      </w:r>
    </w:p>
    <w:p>
      <w:pPr>
        <w:pStyle w:val="Normal"/>
        <w:snapToGrid w:val="false"/>
        <w:spacing w:lineRule="exact" w:line="580"/>
        <w:ind w:firstLineChars="200" w:startChars="0" w:start="0" w:endChars="0" w:end="0"/>
        <w:rPr>
          <w:rFonts w:ascii="楷体_GB2312;楷体" w:hAnsi="楷体_GB2312;楷体" w:eastAsia="楷体_GB2312;楷体" w:cs="楷体_GB2312;楷体" w:hint="eastAsia"/>
          <w:kern w:val="2"/>
          <w:sz w:val="32"/>
          <w:szCs w:val="32"/>
        </w:rPr>
      </w:pPr>
      <w:r>
        <w:rPr>
          <w:rFonts w:ascii="楷体_GB2312;楷体" w:hAnsi="楷体_GB2312;楷体" w:cs="楷体_GB2312;楷体" w:hint="eastAsia" w:eastAsia="楷体_GB2312;楷体"/>
          <w:kern w:val="2"/>
          <w:sz w:val="32"/>
          <w:szCs w:val="32"/>
        </w:rPr>
        <w:t>第六章  信用服务行业发展</w:t>
      </w:r>
    </w:p>
    <w:p>
      <w:pPr>
        <w:pStyle w:val="Normal"/>
        <w:snapToGrid w:val="false"/>
        <w:spacing w:lineRule="exact" w:line="580"/>
        <w:ind w:firstLineChars="200" w:startChars="0" w:start="0" w:endChars="0" w:end="0"/>
        <w:rPr>
          <w:rFonts w:ascii="楷体_GB2312;楷体" w:hAnsi="楷体_GB2312;楷体" w:eastAsia="楷体_GB2312;楷体" w:cs="楷体_GB2312;楷体" w:hint="eastAsia"/>
          <w:kern w:val="2"/>
          <w:sz w:val="32"/>
          <w:szCs w:val="32"/>
        </w:rPr>
      </w:pPr>
      <w:r>
        <w:rPr>
          <w:rFonts w:ascii="楷体_GB2312;楷体" w:hAnsi="楷体_GB2312;楷体" w:cs="楷体_GB2312;楷体" w:hint="eastAsia" w:eastAsia="楷体_GB2312;楷体"/>
          <w:kern w:val="2"/>
          <w:sz w:val="32"/>
          <w:szCs w:val="32"/>
        </w:rPr>
        <w:t>第七章  法律责任</w:t>
      </w:r>
    </w:p>
    <w:p>
      <w:pPr>
        <w:pStyle w:val="Normal"/>
        <w:snapToGrid w:val="false"/>
        <w:spacing w:lineRule="exact" w:line="580"/>
        <w:ind w:firstLineChars="200" w:startChars="0" w:start="0" w:endChars="0" w:end="0"/>
        <w:rPr>
          <w:rFonts w:ascii="楷体_GB2312;楷体" w:hAnsi="楷体_GB2312;楷体" w:eastAsia="楷体_GB2312;楷体" w:cs="楷体_GB2312;楷体" w:hint="eastAsia"/>
          <w:kern w:val="2"/>
          <w:sz w:val="32"/>
          <w:szCs w:val="32"/>
        </w:rPr>
      </w:pPr>
      <w:r>
        <w:rPr>
          <w:rFonts w:ascii="楷体_GB2312;楷体" w:hAnsi="楷体_GB2312;楷体" w:cs="楷体_GB2312;楷体" w:hint="eastAsia" w:eastAsia="楷体_GB2312;楷体"/>
          <w:kern w:val="2"/>
          <w:sz w:val="32"/>
          <w:szCs w:val="32"/>
        </w:rPr>
        <w:t>第八章  附  则</w:t>
      </w:r>
    </w:p>
    <w:p>
      <w:pPr>
        <w:pStyle w:val="-1"/>
        <w:spacing w:lineRule="exact" w:line="580"/>
        <w:ind w:endChars="0" w:end="0"/>
        <w:rPr>
          <w:rFonts w:ascii="楷体_GB2312;楷体" w:hAnsi="楷体_GB2312;楷体" w:eastAsia="楷体_GB2312;楷体" w:cs="楷体_GB2312;楷体" w:hint="eastAsia"/>
          <w:kern w:val="2"/>
          <w:sz w:val="32"/>
          <w:szCs w:val="32"/>
        </w:rPr>
      </w:pPr>
      <w:r>
        <w:rPr>
          <w:rFonts w:eastAsia="楷体_GB2312;楷体" w:cs="楷体_GB2312;楷体" w:hint="eastAsia" w:ascii="楷体_GB2312;楷体" w:hAnsi="楷体_GB2312;楷体"/>
          <w:kern w:val="2"/>
          <w:sz w:val="32"/>
          <w:szCs w:val="32"/>
        </w:rPr>
      </w:r>
    </w:p>
    <w:p>
      <w:pPr>
        <w:pStyle w:val="Normal"/>
        <w:numPr>
          <w:ilvl w:val="0"/>
          <w:numId w:val="0"/>
        </w:numPr>
        <w:snapToGrid w:val="false"/>
        <w:spacing w:lineRule="exact" w:line="580"/>
        <w:ind w:firstLineChars="200" w:startChars="0" w:start="0" w:endChars="0" w:end="0"/>
        <w:jc w:val="center"/>
        <w:outlineLvl w:val="1"/>
        <w:rPr>
          <w:rFonts w:ascii="黑体" w:hAnsi="黑体" w:eastAsia="黑体" w:cs="方正仿宋_GBK;微软雅黑" w:hint="eastAsia"/>
          <w:kern w:val="2"/>
          <w:sz w:val="32"/>
          <w:szCs w:val="32"/>
        </w:rPr>
      </w:pPr>
      <w:r>
        <w:rPr>
          <w:rFonts w:ascii="黑体" w:hAnsi="黑体" w:cs="方正仿宋_GBK;微软雅黑" w:hint="eastAsia" w:eastAsia="黑体"/>
          <w:kern w:val="2"/>
          <w:sz w:val="32"/>
          <w:szCs w:val="32"/>
        </w:rPr>
        <w:t>第一章  总  则</w:t>
      </w:r>
    </w:p>
    <w:p>
      <w:pPr>
        <w:pStyle w:val="Normal"/>
        <w:snapToGrid w:val="false"/>
        <w:spacing w:lineRule="exact" w:line="580"/>
        <w:ind w:firstLineChars="200" w:startChars="0" w:start="0" w:endChars="0" w:end="0"/>
        <w:rPr>
          <w:rFonts w:ascii="黑体" w:hAnsi="黑体" w:eastAsia="方正仿宋_GBK;微软雅黑" w:cs="方正仿宋_GBK;微软雅黑" w:hint="eastAsia"/>
          <w:kern w:val="2"/>
          <w:sz w:val="32"/>
          <w:szCs w:val="32"/>
        </w:rPr>
      </w:pPr>
      <w:r>
        <w:rPr>
          <w:rFonts w:eastAsia="方正仿宋_GBK;微软雅黑" w:cs="方正仿宋_GBK;微软雅黑" w:hint="eastAsia" w:ascii="黑体" w:hAnsi="黑体"/>
          <w:kern w:val="2"/>
          <w:sz w:val="32"/>
          <w:szCs w:val="32"/>
        </w:rPr>
      </w:r>
    </w:p>
    <w:p>
      <w:pPr>
        <w:pStyle w:val="Normal"/>
        <w:numPr>
          <w:ilvl w:val="0"/>
          <w:numId w:val="0"/>
        </w:numPr>
        <w:snapToGrid w:val="false"/>
        <w:spacing w:lineRule="exact" w:line="580"/>
        <w:ind w:firstLineChars="200" w:startChars="0" w:start="0" w:endChars="0" w:end="0"/>
        <w:outlineLvl w:val="2"/>
        <w:rPr>
          <w:rFonts w:ascii="仿宋_GB2312;仿宋" w:hAnsi="仿宋_GB2312;仿宋" w:eastAsia="仿宋_GB2312;仿宋" w:cs="方正仿宋_GBK;微软雅黑" w:hint="eastAsia"/>
          <w:kern w:val="2"/>
          <w:sz w:val="32"/>
          <w:szCs w:val="32"/>
        </w:rPr>
      </w:pPr>
      <w:r>
        <w:rPr>
          <w:rFonts w:ascii="黑体" w:hAnsi="黑体" w:cs="方正仿宋_GBK;微软雅黑" w:hint="eastAsia" w:eastAsia="黑体"/>
          <w:kern w:val="2"/>
          <w:sz w:val="32"/>
          <w:szCs w:val="32"/>
        </w:rPr>
        <w:t>第一条</w:t>
      </w:r>
      <w:r>
        <w:rPr>
          <w:rFonts w:ascii="楷体_GB2312;楷体" w:hAnsi="楷体_GB2312;楷体" w:cs="方正仿宋_GBK;微软雅黑" w:hint="eastAsia" w:eastAsia="楷体_GB2312;楷体"/>
          <w:kern w:val="2"/>
          <w:sz w:val="32"/>
          <w:szCs w:val="32"/>
        </w:rPr>
        <w:t xml:space="preserve"> </w:t>
      </w:r>
      <w:r>
        <w:rPr>
          <w:rFonts w:ascii="仿宋_GB2312;仿宋" w:hAnsi="仿宋_GB2312;仿宋" w:cs="方正仿宋_GBK;微软雅黑" w:hint="eastAsia" w:eastAsia="仿宋_GB2312;仿宋"/>
          <w:kern w:val="2"/>
          <w:sz w:val="32"/>
          <w:szCs w:val="32"/>
        </w:rPr>
        <w:t xml:space="preserve"> 为了规范社会信用监管，保障信用主体合法权益，促进社会信用体系建设，提高社会信用水平，增强社会诚信意识，培育和践行</w:t>
      </w:r>
      <w:r>
        <w:rPr>
          <w:rFonts w:ascii="仿宋_GB2312;仿宋" w:hAnsi="仿宋_GB2312;仿宋" w:cs="方正仿宋_GBK;微软雅黑" w:eastAsia="仿宋_GB2312;仿宋"/>
          <w:kern w:val="2"/>
          <w:sz w:val="32"/>
          <w:szCs w:val="32"/>
        </w:rPr>
        <w:t>社会主义核心价值观，优化营商环境</w:t>
      </w:r>
      <w:r>
        <w:rPr>
          <w:rFonts w:ascii="仿宋_GB2312;仿宋" w:hAnsi="仿宋_GB2312;仿宋" w:cs="方正仿宋_GBK;微软雅黑" w:hint="eastAsia" w:eastAsia="仿宋_GB2312;仿宋"/>
          <w:kern w:val="2"/>
          <w:sz w:val="32"/>
          <w:szCs w:val="32"/>
        </w:rPr>
        <w:t>，加强和</w:t>
      </w:r>
      <w:r>
        <w:rPr>
          <w:rFonts w:ascii="仿宋_GB2312;仿宋" w:hAnsi="仿宋_GB2312;仿宋" w:cs="方正仿宋_GBK;微软雅黑" w:eastAsia="仿宋_GB2312;仿宋"/>
          <w:kern w:val="2"/>
          <w:sz w:val="32"/>
          <w:szCs w:val="32"/>
        </w:rPr>
        <w:t>创新社会治理</w:t>
      </w:r>
      <w:r>
        <w:rPr>
          <w:rFonts w:ascii="仿宋_GB2312;仿宋" w:hAnsi="仿宋_GB2312;仿宋" w:cs="方正仿宋_GBK;微软雅黑" w:hint="eastAsia" w:eastAsia="仿宋_GB2312;仿宋"/>
          <w:kern w:val="2"/>
          <w:sz w:val="32"/>
          <w:szCs w:val="32"/>
        </w:rPr>
        <w:t>，根据有关法律、行政法规，结合本自治区实际，制定本条例。</w:t>
      </w:r>
    </w:p>
    <w:p>
      <w:pPr>
        <w:pStyle w:val="Normal"/>
        <w:numPr>
          <w:ilvl w:val="0"/>
          <w:numId w:val="0"/>
        </w:numPr>
        <w:snapToGrid w:val="false"/>
        <w:spacing w:lineRule="exact" w:line="580"/>
        <w:ind w:firstLineChars="200" w:startChars="0" w:start="0" w:endChars="0" w:end="0"/>
        <w:outlineLvl w:val="2"/>
        <w:rPr>
          <w:rFonts w:ascii="仿宋_GB2312;仿宋" w:hAnsi="仿宋_GB2312;仿宋" w:eastAsia="仿宋_GB2312;仿宋" w:cs="方正仿宋_GBK;微软雅黑" w:hint="eastAsia"/>
          <w:kern w:val="2"/>
          <w:sz w:val="32"/>
          <w:szCs w:val="32"/>
        </w:rPr>
      </w:pPr>
      <w:r>
        <w:rPr>
          <w:rFonts w:ascii="黑体" w:hAnsi="黑体" w:cs="方正仿宋_GBK;微软雅黑" w:hint="eastAsia" w:eastAsia="黑体"/>
          <w:kern w:val="2"/>
          <w:sz w:val="32"/>
          <w:szCs w:val="32"/>
        </w:rPr>
        <w:t>第二条</w:t>
      </w:r>
      <w:r>
        <w:rPr>
          <w:rFonts w:ascii="仿宋_GB2312;仿宋" w:hAnsi="仿宋_GB2312;仿宋" w:cs="方正仿宋_GBK;微软雅黑" w:hint="eastAsia" w:eastAsia="仿宋_GB2312;仿宋"/>
          <w:kern w:val="2"/>
          <w:sz w:val="32"/>
          <w:szCs w:val="32"/>
        </w:rPr>
        <w:t xml:space="preserve">  在本自治区行政区域内从事社会信用体系建设、信用信息管理、守信激励和失信惩戒、信用主体权益保护以及信用服务行业发展等活动，适用本条例。</w:t>
      </w:r>
    </w:p>
    <w:p>
      <w:pPr>
        <w:pStyle w:val="Normal"/>
        <w:snapToGrid w:val="false"/>
        <w:spacing w:lineRule="exact" w:line="580"/>
        <w:ind w:firstLineChars="200" w:startChars="0" w:start="0" w:endChars="0" w:end="0"/>
        <w:rPr>
          <w:rFonts w:ascii="仿宋_GB2312;仿宋" w:hAnsi="仿宋_GB2312;仿宋" w:eastAsia="仿宋_GB2312;仿宋" w:cs="方正仿宋_GBK;微软雅黑" w:hint="eastAsia"/>
          <w:kern w:val="2"/>
          <w:sz w:val="32"/>
          <w:szCs w:val="32"/>
        </w:rPr>
      </w:pPr>
      <w:r>
        <w:rPr>
          <w:rFonts w:ascii="仿宋_GB2312;仿宋" w:hAnsi="仿宋_GB2312;仿宋" w:cs="方正仿宋_GBK;微软雅黑" w:hint="eastAsia" w:eastAsia="仿宋_GB2312;仿宋"/>
          <w:kern w:val="2"/>
          <w:sz w:val="32"/>
          <w:szCs w:val="32"/>
        </w:rPr>
        <w:t>法律、行政法规对征信、企业信息公示等另有规定的，从其规定。</w:t>
      </w:r>
    </w:p>
    <w:p>
      <w:pPr>
        <w:pStyle w:val="Normal"/>
        <w:numPr>
          <w:ilvl w:val="0"/>
          <w:numId w:val="0"/>
        </w:numPr>
        <w:snapToGrid w:val="false"/>
        <w:spacing w:lineRule="exact" w:line="580"/>
        <w:ind w:firstLineChars="200" w:startChars="0" w:start="0" w:endChars="0" w:end="0"/>
        <w:outlineLvl w:val="2"/>
        <w:rPr>
          <w:rFonts w:ascii="仿宋_GB2312;仿宋" w:hAnsi="仿宋_GB2312;仿宋" w:eastAsia="仿宋_GB2312;仿宋" w:cs="方正仿宋_GBK;微软雅黑" w:hint="eastAsia"/>
          <w:kern w:val="2"/>
          <w:sz w:val="32"/>
          <w:szCs w:val="32"/>
        </w:rPr>
      </w:pPr>
      <w:r>
        <w:rPr>
          <w:rFonts w:ascii="黑体" w:hAnsi="黑体" w:cs="方正仿宋_GBK;微软雅黑" w:hint="eastAsia" w:eastAsia="黑体"/>
          <w:kern w:val="2"/>
          <w:sz w:val="32"/>
          <w:szCs w:val="32"/>
        </w:rPr>
        <w:t>第三条</w:t>
      </w:r>
      <w:r>
        <w:rPr>
          <w:rFonts w:ascii="仿宋_GB2312;仿宋" w:hAnsi="仿宋_GB2312;仿宋" w:cs="方正仿宋_GBK;微软雅黑" w:hint="eastAsia" w:eastAsia="仿宋_GB2312;仿宋"/>
          <w:kern w:val="2"/>
          <w:sz w:val="32"/>
          <w:szCs w:val="32"/>
        </w:rPr>
        <w:t xml:space="preserve">  本条例所称社会信用，是指具有完全民事行为能力的自然人、法人和非法人组织（以下统称信用主体），在社会和经济活动中履行法定职责、法定义务或者约定义务的状态。</w:t>
      </w:r>
    </w:p>
    <w:p>
      <w:pPr>
        <w:pStyle w:val="Normal"/>
        <w:numPr>
          <w:ilvl w:val="0"/>
          <w:numId w:val="0"/>
        </w:numPr>
        <w:snapToGrid w:val="false"/>
        <w:spacing w:lineRule="exact" w:line="580"/>
        <w:ind w:firstLineChars="200" w:startChars="0" w:start="0" w:endChars="0" w:end="0"/>
        <w:outlineLvl w:val="2"/>
        <w:rPr>
          <w:rFonts w:ascii="仿宋_GB2312;仿宋" w:hAnsi="仿宋_GB2312;仿宋" w:eastAsia="仿宋_GB2312;仿宋" w:cs="方正仿宋_GBK;微软雅黑" w:hint="eastAsia"/>
          <w:kern w:val="2"/>
          <w:sz w:val="32"/>
          <w:szCs w:val="32"/>
        </w:rPr>
      </w:pPr>
      <w:r>
        <w:rPr>
          <w:rFonts w:ascii="黑体" w:hAnsi="黑体" w:cs="方正仿宋_GBK;微软雅黑" w:hint="eastAsia" w:eastAsia="黑体"/>
          <w:kern w:val="2"/>
          <w:sz w:val="32"/>
          <w:szCs w:val="32"/>
        </w:rPr>
        <w:t>第四条</w:t>
      </w:r>
      <w:r>
        <w:rPr>
          <w:rFonts w:ascii="仿宋_GB2312;仿宋" w:hAnsi="仿宋_GB2312;仿宋" w:cs="方正仿宋_GBK;微软雅黑" w:hint="eastAsia" w:eastAsia="仿宋_GB2312;仿宋"/>
          <w:kern w:val="2"/>
          <w:sz w:val="32"/>
          <w:szCs w:val="32"/>
        </w:rPr>
        <w:t xml:space="preserve">  社会信用体系建设应当遵循政府推动、社会共建、统筹规划、信息共享、奖惩结合、权益保护的原则。</w:t>
      </w:r>
    </w:p>
    <w:p>
      <w:pPr>
        <w:pStyle w:val="Normal"/>
        <w:numPr>
          <w:ilvl w:val="0"/>
          <w:numId w:val="0"/>
        </w:numPr>
        <w:snapToGrid w:val="false"/>
        <w:spacing w:lineRule="exact" w:line="580"/>
        <w:ind w:firstLineChars="200" w:startChars="0" w:start="0" w:endChars="0" w:end="0"/>
        <w:outlineLvl w:val="2"/>
        <w:rPr>
          <w:rFonts w:ascii="仿宋_GB2312;仿宋" w:hAnsi="仿宋_GB2312;仿宋" w:eastAsia="仿宋_GB2312;仿宋" w:cs="方正仿宋_GBK;微软雅黑" w:hint="eastAsia"/>
          <w:kern w:val="2"/>
          <w:sz w:val="32"/>
          <w:szCs w:val="32"/>
        </w:rPr>
      </w:pPr>
      <w:r>
        <w:rPr>
          <w:rFonts w:ascii="黑体" w:hAnsi="黑体" w:cs="方正仿宋_GBK;微软雅黑" w:hint="eastAsia" w:eastAsia="黑体"/>
          <w:kern w:val="2"/>
          <w:sz w:val="32"/>
          <w:szCs w:val="32"/>
        </w:rPr>
        <w:t>第五条</w:t>
      </w:r>
      <w:r>
        <w:rPr>
          <w:rFonts w:ascii="仿宋_GB2312;仿宋" w:hAnsi="仿宋_GB2312;仿宋" w:cs="方正仿宋_GBK;微软雅黑" w:hint="eastAsia" w:eastAsia="仿宋_GB2312;仿宋"/>
          <w:kern w:val="2"/>
          <w:sz w:val="32"/>
          <w:szCs w:val="32"/>
        </w:rPr>
        <w:t xml:space="preserve">  县级以上人民政府应当将社会信用体系建设纳入国民经济和社会发展规划</w:t>
      </w:r>
      <w:r>
        <w:rPr>
          <w:rFonts w:ascii="仿宋_GB2312;仿宋" w:hAnsi="仿宋_GB2312;仿宋" w:cs="方正仿宋_GBK;微软雅黑" w:eastAsia="仿宋_GB2312;仿宋"/>
          <w:kern w:val="2"/>
          <w:sz w:val="32"/>
          <w:szCs w:val="32"/>
        </w:rPr>
        <w:t>以及政府目标责任制考核体系</w:t>
      </w:r>
      <w:r>
        <w:rPr>
          <w:rFonts w:ascii="仿宋_GB2312;仿宋" w:hAnsi="仿宋_GB2312;仿宋" w:cs="方正仿宋_GBK;微软雅黑" w:hint="eastAsia" w:eastAsia="仿宋_GB2312;仿宋"/>
          <w:kern w:val="2"/>
          <w:sz w:val="32"/>
          <w:szCs w:val="32"/>
        </w:rPr>
        <w:t>，建立健全协调推进机制，并将社会信用体系建设所需工作经费列入本级预算，统筹推进本行政区域社会信用体系建设。</w:t>
      </w:r>
    </w:p>
    <w:p>
      <w:pPr>
        <w:pStyle w:val="Normal"/>
        <w:numPr>
          <w:ilvl w:val="0"/>
          <w:numId w:val="0"/>
        </w:numPr>
        <w:snapToGrid w:val="false"/>
        <w:spacing w:lineRule="exact" w:line="580"/>
        <w:ind w:firstLineChars="200" w:startChars="0" w:start="0" w:endChars="0" w:end="0"/>
        <w:outlineLvl w:val="2"/>
        <w:rPr>
          <w:rFonts w:ascii="仿宋_GB2312;仿宋" w:hAnsi="仿宋_GB2312;仿宋" w:eastAsia="仿宋_GB2312;仿宋" w:cs="方正仿宋_GBK;微软雅黑" w:hint="eastAsia"/>
          <w:kern w:val="2"/>
          <w:sz w:val="32"/>
          <w:szCs w:val="32"/>
        </w:rPr>
      </w:pPr>
      <w:r>
        <w:rPr>
          <w:rFonts w:ascii="黑体" w:hAnsi="黑体" w:cs="方正仿宋_GBK;微软雅黑" w:hint="eastAsia" w:eastAsia="黑体"/>
          <w:kern w:val="2"/>
          <w:sz w:val="32"/>
          <w:szCs w:val="32"/>
        </w:rPr>
        <w:t>第六条</w:t>
      </w:r>
      <w:r>
        <w:rPr>
          <w:rFonts w:ascii="仿宋_GB2312;仿宋" w:hAnsi="仿宋_GB2312;仿宋" w:cs="方正仿宋_GBK;微软雅黑" w:hint="eastAsia" w:eastAsia="仿宋_GB2312;仿宋"/>
          <w:kern w:val="2"/>
          <w:sz w:val="32"/>
          <w:szCs w:val="32"/>
        </w:rPr>
        <w:t xml:space="preserve">  县级以上人民政府发展改革部门负责本行政区域社会信用体系建设综合协调和监督管理工作。</w:t>
      </w:r>
    </w:p>
    <w:p>
      <w:pPr>
        <w:pStyle w:val="Normal"/>
        <w:numPr>
          <w:ilvl w:val="0"/>
          <w:numId w:val="0"/>
        </w:numPr>
        <w:snapToGrid w:val="false"/>
        <w:spacing w:lineRule="exact" w:line="580"/>
        <w:ind w:firstLineChars="200" w:startChars="0" w:start="0" w:endChars="0" w:end="0"/>
        <w:outlineLvl w:val="2"/>
        <w:rPr>
          <w:rFonts w:ascii="仿宋_GB2312;仿宋" w:hAnsi="仿宋_GB2312;仿宋" w:eastAsia="仿宋_GB2312;仿宋" w:cs="方正仿宋_GBK;微软雅黑" w:hint="eastAsia"/>
          <w:kern w:val="2"/>
          <w:sz w:val="32"/>
          <w:szCs w:val="32"/>
        </w:rPr>
      </w:pPr>
      <w:r>
        <w:rPr>
          <w:rFonts w:ascii="仿宋_GB2312;仿宋" w:hAnsi="仿宋_GB2312;仿宋" w:cs="方正仿宋_GBK;微软雅黑" w:hint="eastAsia" w:eastAsia="仿宋_GB2312;仿宋"/>
          <w:kern w:val="2"/>
          <w:sz w:val="32"/>
          <w:szCs w:val="32"/>
        </w:rPr>
        <w:t>县级以上人民政府有关部门和</w:t>
      </w:r>
      <w:r>
        <w:rPr>
          <w:rFonts w:ascii="仿宋_GB2312;仿宋" w:hAnsi="仿宋_GB2312;仿宋" w:cs="方正仿宋_GBK;微软雅黑" w:eastAsia="仿宋_GB2312;仿宋"/>
          <w:kern w:val="2"/>
          <w:sz w:val="32"/>
          <w:szCs w:val="32"/>
        </w:rPr>
        <w:t>监察委员会、人民法院、人民检察院等，</w:t>
      </w:r>
      <w:r>
        <w:rPr>
          <w:rFonts w:ascii="仿宋_GB2312;仿宋" w:hAnsi="仿宋_GB2312;仿宋" w:cs="方正仿宋_GBK;微软雅黑" w:hint="eastAsia" w:eastAsia="仿宋_GB2312;仿宋"/>
          <w:kern w:val="2"/>
          <w:sz w:val="32"/>
          <w:szCs w:val="32"/>
        </w:rPr>
        <w:t>在各自职责范围内做好本行业、本领域社会信用体系建设工作。</w:t>
      </w:r>
    </w:p>
    <w:p>
      <w:pPr>
        <w:pStyle w:val="Normal"/>
        <w:numPr>
          <w:ilvl w:val="0"/>
          <w:numId w:val="0"/>
        </w:numPr>
        <w:snapToGrid w:val="false"/>
        <w:spacing w:lineRule="exact" w:line="580"/>
        <w:ind w:firstLineChars="200" w:startChars="0" w:start="0" w:endChars="0" w:end="0"/>
        <w:outlineLvl w:val="2"/>
        <w:rPr>
          <w:rFonts w:ascii="仿宋_GB2312;仿宋" w:hAnsi="仿宋_GB2312;仿宋" w:eastAsia="仿宋_GB2312;仿宋" w:cs="方正仿宋_GBK;微软雅黑" w:hint="eastAsia"/>
          <w:iCs/>
          <w:kern w:val="2"/>
          <w:sz w:val="32"/>
          <w:szCs w:val="32"/>
        </w:rPr>
      </w:pPr>
      <w:r>
        <w:rPr>
          <w:rFonts w:ascii="黑体" w:hAnsi="黑体" w:cs="方正仿宋_GBK;微软雅黑" w:hint="eastAsia" w:eastAsia="黑体"/>
          <w:iCs/>
          <w:kern w:val="2"/>
          <w:sz w:val="32"/>
          <w:szCs w:val="32"/>
        </w:rPr>
        <w:t>第七条</w:t>
      </w:r>
      <w:r>
        <w:rPr>
          <w:rFonts w:ascii="仿宋_GB2312;仿宋" w:hAnsi="仿宋_GB2312;仿宋" w:cs="方正仿宋_GBK;微软雅黑" w:hint="eastAsia" w:eastAsia="仿宋_GB2312;仿宋"/>
          <w:iCs/>
          <w:kern w:val="2"/>
          <w:sz w:val="32"/>
          <w:szCs w:val="32"/>
        </w:rPr>
        <w:t xml:space="preserve">  自治区、设区的市人民政府应当建设信用信息共享平台，汇集信用信息，提供信用信息服务，</w:t>
      </w:r>
      <w:r>
        <w:rPr>
          <w:rFonts w:ascii="仿宋_GB2312;仿宋" w:hAnsi="仿宋_GB2312;仿宋" w:cs="方正仿宋_GBK;微软雅黑" w:eastAsia="仿宋_GB2312;仿宋"/>
          <w:iCs/>
          <w:kern w:val="2"/>
          <w:sz w:val="32"/>
          <w:szCs w:val="32"/>
        </w:rPr>
        <w:t>支撑信用信息应用等</w:t>
      </w:r>
      <w:r>
        <w:rPr>
          <w:rFonts w:ascii="仿宋_GB2312;仿宋" w:hAnsi="仿宋_GB2312;仿宋" w:cs="方正仿宋_GBK;微软雅黑" w:hint="eastAsia" w:eastAsia="仿宋_GB2312;仿宋"/>
          <w:iCs/>
          <w:kern w:val="2"/>
          <w:sz w:val="32"/>
          <w:szCs w:val="32"/>
        </w:rPr>
        <w:t>，发挥信用信息共享平台的枢纽作用，推动实现信用信息跨地区、跨部门、跨领域互联互通、共享共用。</w:t>
      </w:r>
    </w:p>
    <w:p>
      <w:pPr>
        <w:pStyle w:val="Normal"/>
        <w:numPr>
          <w:ilvl w:val="0"/>
          <w:numId w:val="0"/>
        </w:numPr>
        <w:snapToGrid w:val="false"/>
        <w:spacing w:lineRule="exact" w:line="580"/>
        <w:ind w:firstLineChars="200" w:startChars="0" w:start="0" w:endChars="0" w:end="0"/>
        <w:outlineLvl w:val="2"/>
        <w:rPr>
          <w:rFonts w:ascii="仿宋_GB2312;仿宋" w:hAnsi="仿宋_GB2312;仿宋" w:eastAsia="仿宋_GB2312;仿宋" w:cs="方正仿宋_GBK;微软雅黑" w:hint="eastAsia"/>
          <w:iCs/>
          <w:kern w:val="2"/>
          <w:sz w:val="32"/>
          <w:szCs w:val="32"/>
        </w:rPr>
      </w:pPr>
      <w:r>
        <w:rPr>
          <w:rFonts w:ascii="仿宋_GB2312;仿宋" w:hAnsi="仿宋_GB2312;仿宋" w:cs="方正仿宋_GBK;微软雅黑" w:hint="eastAsia" w:eastAsia="仿宋_GB2312;仿宋"/>
          <w:iCs/>
          <w:kern w:val="2"/>
          <w:sz w:val="32"/>
          <w:szCs w:val="32"/>
        </w:rPr>
        <w:t>自治区、设区的市人民政府发展改革部门确定的公共信用信息工作机构具体负责本级信用信息共享平台以及信用门户网站的建设、运行和维护工作。</w:t>
      </w:r>
    </w:p>
    <w:p>
      <w:pPr>
        <w:pStyle w:val="Normal"/>
        <w:snapToGrid w:val="false"/>
        <w:spacing w:lineRule="exact" w:line="580"/>
        <w:ind w:firstLineChars="200" w:startChars="0" w:start="0" w:endChars="0" w:end="0"/>
        <w:rPr>
          <w:rFonts w:ascii="仿宋_GB2312;仿宋" w:hAnsi="仿宋_GB2312;仿宋" w:eastAsia="仿宋_GB2312;仿宋" w:cs="方正仿宋_GBK;微软雅黑" w:hint="eastAsia"/>
          <w:kern w:val="2"/>
          <w:sz w:val="32"/>
          <w:szCs w:val="32"/>
        </w:rPr>
      </w:pPr>
      <w:r>
        <w:rPr>
          <w:rFonts w:ascii="黑体" w:hAnsi="黑体" w:cs="方正仿宋_GBK;微软雅黑" w:hint="eastAsia" w:eastAsia="黑体"/>
          <w:kern w:val="2"/>
          <w:sz w:val="32"/>
          <w:szCs w:val="32"/>
        </w:rPr>
        <w:t>第八条</w:t>
      </w:r>
      <w:r>
        <w:rPr>
          <w:rFonts w:ascii="仿宋_GB2312;仿宋" w:hAnsi="仿宋_GB2312;仿宋" w:cs="方正仿宋_GBK;微软雅黑" w:hint="eastAsia" w:eastAsia="仿宋_GB2312;仿宋"/>
          <w:kern w:val="2"/>
          <w:sz w:val="32"/>
          <w:szCs w:val="32"/>
        </w:rPr>
        <w:t xml:space="preserve">  国家机关及其工作人员应当依法履职、守法履约，在社会信用体系建设中发挥示范表率作用。</w:t>
      </w:r>
    </w:p>
    <w:p>
      <w:pPr>
        <w:pStyle w:val="Normal"/>
        <w:snapToGrid w:val="false"/>
        <w:spacing w:lineRule="exact" w:line="580"/>
        <w:ind w:firstLineChars="200" w:startChars="0" w:start="0" w:endChars="0" w:end="0"/>
        <w:rPr>
          <w:rFonts w:ascii="仿宋_GB2312;仿宋" w:hAnsi="仿宋_GB2312;仿宋" w:eastAsia="仿宋_GB2312;仿宋" w:cs="方正仿宋_GBK;微软雅黑" w:hint="eastAsia"/>
          <w:kern w:val="2"/>
          <w:sz w:val="32"/>
          <w:szCs w:val="32"/>
        </w:rPr>
      </w:pPr>
      <w:r>
        <w:rPr>
          <w:rFonts w:ascii="仿宋_GB2312;仿宋" w:hAnsi="仿宋_GB2312;仿宋" w:cs="方正仿宋_GBK;微软雅黑" w:hint="eastAsia" w:eastAsia="仿宋_GB2312;仿宋"/>
          <w:kern w:val="2"/>
          <w:sz w:val="32"/>
          <w:szCs w:val="32"/>
        </w:rPr>
        <w:t>信用服务机构、金融机构、行业协会商会以及其他企业事业单位应当加强自身信用管理，遵守法律、法规、行业规约和职业道德准则，参与社会信用体系建设，承担社会责任。</w:t>
      </w:r>
    </w:p>
    <w:p>
      <w:pPr>
        <w:pStyle w:val="Normal"/>
        <w:snapToGrid w:val="false"/>
        <w:spacing w:lineRule="exact" w:line="580"/>
        <w:ind w:firstLineChars="200" w:startChars="0" w:start="0" w:endChars="0" w:end="0"/>
        <w:rPr>
          <w:rFonts w:ascii="仿宋_GB2312;仿宋" w:hAnsi="仿宋_GB2312;仿宋" w:eastAsia="仿宋_GB2312;仿宋" w:cs="方正仿宋_GBK;微软雅黑" w:hint="eastAsia"/>
          <w:kern w:val="2"/>
          <w:sz w:val="32"/>
          <w:szCs w:val="32"/>
        </w:rPr>
      </w:pPr>
      <w:r>
        <w:rPr>
          <w:rFonts w:ascii="仿宋_GB2312;仿宋" w:hAnsi="仿宋_GB2312;仿宋" w:cs="方正仿宋_GBK;微软雅黑" w:hint="eastAsia" w:eastAsia="仿宋_GB2312;仿宋"/>
          <w:kern w:val="2"/>
          <w:sz w:val="32"/>
          <w:szCs w:val="32"/>
        </w:rPr>
        <w:t>社会公众应当增强诚信意识，守信自律，积极参与信用教育和信用监督活动。</w:t>
      </w:r>
    </w:p>
    <w:p>
      <w:pPr>
        <w:pStyle w:val="Normal"/>
        <w:numPr>
          <w:ilvl w:val="0"/>
          <w:numId w:val="0"/>
        </w:numPr>
        <w:snapToGrid w:val="false"/>
        <w:spacing w:lineRule="exact" w:line="580"/>
        <w:ind w:firstLineChars="200" w:startChars="0" w:start="0" w:endChars="0" w:end="0"/>
        <w:outlineLvl w:val="2"/>
        <w:rPr>
          <w:rFonts w:ascii="仿宋_GB2312;仿宋" w:hAnsi="仿宋_GB2312;仿宋" w:eastAsia="仿宋_GB2312;仿宋" w:cs="方正仿宋_GBK;微软雅黑" w:hint="eastAsia"/>
          <w:kern w:val="2"/>
          <w:sz w:val="32"/>
          <w:szCs w:val="32"/>
        </w:rPr>
      </w:pPr>
      <w:r>
        <w:rPr>
          <w:rFonts w:ascii="黑体" w:hAnsi="黑体" w:cs="方正仿宋_GBK;微软雅黑" w:hint="eastAsia" w:eastAsia="黑体"/>
          <w:kern w:val="2"/>
          <w:sz w:val="32"/>
          <w:szCs w:val="32"/>
        </w:rPr>
        <w:t>第九条</w:t>
      </w:r>
      <w:r>
        <w:rPr>
          <w:rFonts w:ascii="仿宋_GB2312;仿宋" w:hAnsi="仿宋_GB2312;仿宋" w:cs="方正仿宋_GBK;微软雅黑" w:hint="eastAsia" w:eastAsia="仿宋_GB2312;仿宋"/>
          <w:kern w:val="2"/>
          <w:sz w:val="32"/>
          <w:szCs w:val="32"/>
        </w:rPr>
        <w:t xml:space="preserve">  对在社会信用体系建设工作中做出突出贡献的单位和个人，可以根据国家和自治区有关规定给予奖励。</w:t>
      </w:r>
    </w:p>
    <w:p>
      <w:pPr>
        <w:pStyle w:val="Style15"/>
        <w:spacing w:lineRule="exact" w:line="580"/>
        <w:rPr>
          <w:rFonts w:ascii="仿宋_GB2312;仿宋" w:hAnsi="仿宋_GB2312;仿宋" w:eastAsia="仿宋_GB2312;仿宋" w:cs="方正仿宋_GBK;微软雅黑" w:hint="eastAsia"/>
          <w:kern w:val="2"/>
          <w:sz w:val="32"/>
          <w:szCs w:val="32"/>
        </w:rPr>
      </w:pPr>
      <w:r>
        <w:rPr>
          <w:rFonts w:eastAsia="仿宋_GB2312;仿宋" w:cs="方正仿宋_GBK;微软雅黑" w:hint="eastAsia" w:ascii="仿宋_GB2312;仿宋" w:hAnsi="仿宋_GB2312;仿宋"/>
          <w:kern w:val="2"/>
          <w:sz w:val="32"/>
          <w:szCs w:val="32"/>
        </w:rPr>
      </w:r>
    </w:p>
    <w:p>
      <w:pPr>
        <w:pStyle w:val="Normal"/>
        <w:numPr>
          <w:ilvl w:val="0"/>
          <w:numId w:val="2"/>
        </w:numPr>
        <w:snapToGrid w:val="false"/>
        <w:spacing w:lineRule="exact" w:line="580"/>
        <w:ind w:firstLineChars="200" w:startChars="0" w:start="0" w:endChars="0" w:end="0"/>
        <w:jc w:val="center"/>
        <w:outlineLvl w:val="1"/>
        <w:rPr>
          <w:rFonts w:ascii="黑体" w:hAnsi="黑体" w:eastAsia="黑体" w:cs="方正仿宋_GBK;微软雅黑" w:hint="eastAsia"/>
          <w:kern w:val="2"/>
          <w:sz w:val="32"/>
          <w:szCs w:val="32"/>
        </w:rPr>
      </w:pPr>
      <w:r>
        <w:rPr>
          <w:rFonts w:eastAsia="黑体" w:cs="方正仿宋_GBK;微软雅黑" w:hint="eastAsia" w:ascii="黑体" w:hAnsi="黑体"/>
          <w:kern w:val="2"/>
          <w:sz w:val="32"/>
          <w:szCs w:val="32"/>
        </w:rPr>
        <w:t xml:space="preserve"> </w:t>
      </w:r>
      <w:r>
        <w:rPr>
          <w:rFonts w:ascii="黑体" w:hAnsi="黑体" w:cs="方正仿宋_GBK;微软雅黑" w:hint="eastAsia" w:eastAsia="黑体"/>
          <w:kern w:val="2"/>
          <w:sz w:val="32"/>
          <w:szCs w:val="32"/>
        </w:rPr>
        <w:t>社会信用体系建设</w:t>
      </w:r>
    </w:p>
    <w:p>
      <w:pPr>
        <w:pStyle w:val="Normal"/>
        <w:numPr>
          <w:ilvl w:val="0"/>
          <w:numId w:val="0"/>
        </w:numPr>
        <w:snapToGrid w:val="false"/>
        <w:spacing w:lineRule="exact" w:line="580"/>
        <w:ind w:firstLineChars="200" w:startChars="0" w:start="0" w:endChars="0" w:end="0"/>
        <w:outlineLvl w:val="2"/>
        <w:rPr>
          <w:rFonts w:ascii="黑体" w:hAnsi="黑体" w:eastAsia="黑体" w:cs="方正仿宋_GBK;微软雅黑" w:hint="eastAsia"/>
          <w:kern w:val="2"/>
          <w:sz w:val="32"/>
          <w:szCs w:val="32"/>
        </w:rPr>
      </w:pPr>
      <w:r>
        <w:rPr>
          <w:rFonts w:eastAsia="黑体" w:cs="方正仿宋_GBK;微软雅黑" w:hint="eastAsia" w:ascii="黑体" w:hAnsi="黑体"/>
          <w:kern w:val="2"/>
          <w:sz w:val="32"/>
          <w:szCs w:val="32"/>
        </w:rPr>
      </w:r>
    </w:p>
    <w:p>
      <w:pPr>
        <w:pStyle w:val="Normal"/>
        <w:numPr>
          <w:ilvl w:val="0"/>
          <w:numId w:val="0"/>
        </w:numPr>
        <w:snapToGrid w:val="false"/>
        <w:spacing w:lineRule="exact" w:line="580"/>
        <w:ind w:firstLineChars="200" w:startChars="0" w:start="0" w:endChars="0" w:end="0"/>
        <w:outlineLvl w:val="2"/>
        <w:rPr>
          <w:rFonts w:ascii="仿宋_GB2312;仿宋" w:hAnsi="仿宋_GB2312;仿宋" w:eastAsia="仿宋_GB2312;仿宋" w:cs="方正仿宋_GBK;微软雅黑" w:hint="eastAsia"/>
          <w:kern w:val="2"/>
          <w:sz w:val="32"/>
          <w:szCs w:val="32"/>
        </w:rPr>
      </w:pPr>
      <w:r>
        <w:rPr>
          <w:rFonts w:ascii="黑体" w:hAnsi="黑体" w:cs="方正仿宋_GBK;微软雅黑" w:hint="eastAsia" w:eastAsia="黑体"/>
          <w:kern w:val="2"/>
          <w:sz w:val="32"/>
          <w:szCs w:val="32"/>
        </w:rPr>
        <w:t>第十条</w:t>
      </w:r>
      <w:r>
        <w:rPr>
          <w:rFonts w:ascii="仿宋_GB2312;仿宋" w:hAnsi="仿宋_GB2312;仿宋" w:cs="方正仿宋_GBK;微软雅黑" w:hint="eastAsia" w:eastAsia="仿宋_GB2312;仿宋"/>
          <w:kern w:val="2"/>
          <w:sz w:val="32"/>
          <w:szCs w:val="32"/>
        </w:rPr>
        <w:t xml:space="preserve">  自治区建立健全社会信用体系，加强政务诚信、商务诚信、社会诚信和司法公信等重点领域诚信建设，规范和健全信用信息管理和应用以及信用主体权益保护等机制，为经济社会高质量发展提供有效支撑。</w:t>
      </w:r>
    </w:p>
    <w:p>
      <w:pPr>
        <w:pStyle w:val="Normal"/>
        <w:numPr>
          <w:ilvl w:val="0"/>
          <w:numId w:val="0"/>
        </w:numPr>
        <w:snapToGrid w:val="false"/>
        <w:spacing w:lineRule="exact" w:line="580"/>
        <w:ind w:firstLineChars="200" w:startChars="0" w:start="0" w:endChars="0" w:end="0"/>
        <w:outlineLvl w:val="2"/>
        <w:rPr>
          <w:rFonts w:ascii="仿宋_GB2312;仿宋" w:hAnsi="仿宋_GB2312;仿宋" w:eastAsia="仿宋_GB2312;仿宋" w:cs="方正仿宋_GBK;微软雅黑" w:hint="eastAsia"/>
          <w:kern w:val="2"/>
          <w:sz w:val="32"/>
          <w:szCs w:val="32"/>
        </w:rPr>
      </w:pPr>
      <w:bookmarkStart w:id="0" w:name="tiao_45_kuan_2"/>
      <w:bookmarkEnd w:id="0"/>
      <w:r>
        <w:rPr>
          <w:rFonts w:ascii="黑体" w:hAnsi="黑体" w:cs="方正仿宋_GBK;微软雅黑" w:hint="eastAsia" w:eastAsia="黑体"/>
          <w:kern w:val="2"/>
          <w:sz w:val="32"/>
          <w:szCs w:val="32"/>
        </w:rPr>
        <w:t>第十一条</w:t>
      </w:r>
      <w:r>
        <w:rPr>
          <w:rFonts w:ascii="楷体_GB2312;楷体" w:hAnsi="楷体_GB2312;楷体" w:cs="方正仿宋_GBK;微软雅黑" w:hint="eastAsia" w:eastAsia="楷体_GB2312;楷体"/>
          <w:kern w:val="2"/>
          <w:sz w:val="32"/>
          <w:szCs w:val="32"/>
        </w:rPr>
        <w:t xml:space="preserve">  </w:t>
      </w:r>
      <w:r>
        <w:rPr>
          <w:rFonts w:ascii="仿宋_GB2312;仿宋" w:hAnsi="仿宋_GB2312;仿宋" w:cs="方正仿宋_GBK;微软雅黑" w:hint="eastAsia" w:eastAsia="仿宋_GB2312;仿宋"/>
          <w:kern w:val="2"/>
          <w:sz w:val="32"/>
          <w:szCs w:val="32"/>
        </w:rPr>
        <w:t>各级人民政府、有关部门应当加强政务诚信建设，健全权力制约和监督机制，加强政府采购、政府和社会资本合作、招标投标、招商引资、政府债务偿还等重点领域的政务诚信建设。</w:t>
      </w:r>
    </w:p>
    <w:p>
      <w:pPr>
        <w:pStyle w:val="Normal"/>
        <w:numPr>
          <w:ilvl w:val="0"/>
          <w:numId w:val="0"/>
        </w:numPr>
        <w:snapToGrid w:val="false"/>
        <w:spacing w:lineRule="exact" w:line="580"/>
        <w:ind w:firstLineChars="200" w:startChars="0" w:start="0" w:endChars="0" w:end="0"/>
        <w:outlineLvl w:val="2"/>
        <w:rPr>
          <w:rFonts w:ascii="仿宋_GB2312;仿宋" w:hAnsi="仿宋_GB2312;仿宋" w:eastAsia="仿宋_GB2312;仿宋" w:cs="方正仿宋_GBK;微软雅黑" w:hint="eastAsia"/>
          <w:kern w:val="2"/>
          <w:sz w:val="32"/>
          <w:szCs w:val="32"/>
        </w:rPr>
      </w:pPr>
      <w:r>
        <w:rPr>
          <w:rFonts w:ascii="仿宋_GB2312;仿宋" w:hAnsi="仿宋_GB2312;仿宋" w:cs="方正仿宋_GBK;微软雅黑" w:hint="eastAsia" w:eastAsia="仿宋_GB2312;仿宋"/>
          <w:kern w:val="2"/>
          <w:sz w:val="32"/>
          <w:szCs w:val="32"/>
        </w:rPr>
        <w:t>各级人民政府及其有关部门应当严格履行向市场主体依法作出的政策承诺以及依法订立的各类合同，不得以行政区划调整、政府换届、机构或者职能调整以及相关责任人员更替等为由违约毁约。确因国家利益、公共利益或者其他法定事由需要改变政策承诺或者合同约定的，应当依照法定权限和程序进行，并依法对市场主体因此受到的损失予以公平合理补偿。</w:t>
      </w:r>
    </w:p>
    <w:p>
      <w:pPr>
        <w:pStyle w:val="Normal"/>
        <w:numPr>
          <w:ilvl w:val="0"/>
          <w:numId w:val="0"/>
        </w:numPr>
        <w:snapToGrid w:val="false"/>
        <w:spacing w:lineRule="exact" w:line="580"/>
        <w:ind w:firstLineChars="200" w:startChars="0" w:start="0" w:endChars="0" w:end="0"/>
        <w:outlineLvl w:val="2"/>
        <w:rPr>
          <w:rFonts w:ascii="仿宋_GB2312;仿宋" w:hAnsi="仿宋_GB2312;仿宋" w:eastAsia="仿宋_GB2312;仿宋" w:cs="方正仿宋_GBK;微软雅黑" w:hint="eastAsia"/>
          <w:kern w:val="2"/>
          <w:sz w:val="32"/>
          <w:szCs w:val="32"/>
        </w:rPr>
      </w:pPr>
      <w:r>
        <w:rPr>
          <w:rFonts w:ascii="仿宋_GB2312;仿宋" w:hAnsi="仿宋_GB2312;仿宋" w:cs="方正仿宋_GBK;微软雅黑" w:hint="eastAsia" w:eastAsia="仿宋_GB2312;仿宋"/>
          <w:kern w:val="2"/>
          <w:sz w:val="32"/>
          <w:szCs w:val="32"/>
        </w:rPr>
        <w:t>自治区建立政府失信责任追究制度，各级人民政府、有关部门及其工作人员在履职过程中发生违法违约行为，被依法追究责任的，相关信息应当记入政务失信记录。</w:t>
      </w:r>
    </w:p>
    <w:p>
      <w:pPr>
        <w:pStyle w:val="Normal"/>
        <w:numPr>
          <w:ilvl w:val="0"/>
          <w:numId w:val="0"/>
        </w:numPr>
        <w:snapToGrid w:val="false"/>
        <w:spacing w:lineRule="exact" w:line="580"/>
        <w:ind w:firstLineChars="200" w:startChars="0" w:start="0" w:endChars="0" w:end="0"/>
        <w:outlineLvl w:val="2"/>
        <w:rPr>
          <w:rFonts w:ascii="仿宋_GB2312;仿宋" w:hAnsi="仿宋_GB2312;仿宋" w:eastAsia="仿宋_GB2312;仿宋" w:cs="方正仿宋_GBK;微软雅黑" w:hint="eastAsia"/>
          <w:kern w:val="2"/>
          <w:sz w:val="32"/>
          <w:szCs w:val="32"/>
        </w:rPr>
      </w:pPr>
      <w:r>
        <w:rPr>
          <w:rFonts w:ascii="仿宋_GB2312;仿宋" w:hAnsi="仿宋_GB2312;仿宋" w:cs="方正仿宋_GBK;微软雅黑" w:hint="eastAsia" w:eastAsia="仿宋_GB2312;仿宋"/>
          <w:kern w:val="2"/>
          <w:sz w:val="32"/>
          <w:szCs w:val="32"/>
        </w:rPr>
        <w:t>自治区建立政务诚信监测治理和评价体系，防范和化解政府失信风险，提升政府公信力。</w:t>
      </w:r>
    </w:p>
    <w:p>
      <w:pPr>
        <w:pStyle w:val="Normal"/>
        <w:numPr>
          <w:ilvl w:val="0"/>
          <w:numId w:val="0"/>
        </w:numPr>
        <w:snapToGrid w:val="false"/>
        <w:spacing w:lineRule="exact" w:line="580"/>
        <w:ind w:firstLineChars="200" w:startChars="0" w:start="0" w:endChars="0" w:end="0"/>
        <w:outlineLvl w:val="2"/>
        <w:rPr>
          <w:rFonts w:ascii="仿宋_GB2312;仿宋" w:hAnsi="仿宋_GB2312;仿宋" w:eastAsia="仿宋_GB2312;仿宋" w:cs="方正仿宋_GBK;微软雅黑" w:hint="eastAsia"/>
          <w:kern w:val="2"/>
          <w:sz w:val="32"/>
          <w:szCs w:val="32"/>
        </w:rPr>
      </w:pPr>
      <w:bookmarkStart w:id="1" w:name="tiao_2_kuan_1_xiang_2"/>
      <w:bookmarkEnd w:id="1"/>
      <w:r>
        <w:rPr>
          <w:rFonts w:ascii="黑体" w:hAnsi="黑体" w:cs="方正仿宋_GBK;微软雅黑" w:hint="eastAsia" w:eastAsia="黑体"/>
          <w:kern w:val="2"/>
          <w:sz w:val="32"/>
          <w:szCs w:val="32"/>
        </w:rPr>
        <w:t>第十二条</w:t>
      </w:r>
      <w:r>
        <w:rPr>
          <w:rFonts w:ascii="仿宋_GB2312;仿宋" w:hAnsi="仿宋_GB2312;仿宋" w:cs="方正仿宋_GBK;微软雅黑" w:hint="eastAsia" w:eastAsia="仿宋_GB2312;仿宋"/>
          <w:kern w:val="2"/>
          <w:sz w:val="32"/>
          <w:szCs w:val="32"/>
        </w:rPr>
        <w:t xml:space="preserve">  县级以上人民政府应当加强生产、流通、消费、金融、税务、工程建设、招标投标、交通运输、养老托育、会展广告、中介服务等重点领域商务诚信建设，引导市场主体增强社会责任感、强化信用自律。</w:t>
      </w:r>
    </w:p>
    <w:p>
      <w:pPr>
        <w:pStyle w:val="Normal"/>
        <w:numPr>
          <w:ilvl w:val="0"/>
          <w:numId w:val="0"/>
        </w:numPr>
        <w:snapToGrid w:val="false"/>
        <w:spacing w:lineRule="exact" w:line="580"/>
        <w:ind w:firstLineChars="200" w:startChars="0" w:start="0" w:endChars="0" w:end="0"/>
        <w:outlineLvl w:val="2"/>
        <w:rPr>
          <w:rFonts w:ascii="仿宋_GB2312;仿宋" w:hAnsi="仿宋_GB2312;仿宋" w:eastAsia="仿宋_GB2312;仿宋" w:cs="方正仿宋_GBK;微软雅黑"/>
          <w:kern w:val="2"/>
          <w:sz w:val="32"/>
          <w:szCs w:val="32"/>
        </w:rPr>
      </w:pPr>
      <w:r>
        <w:rPr>
          <w:rFonts w:ascii="仿宋_GB2312;仿宋" w:hAnsi="仿宋_GB2312;仿宋" w:cs="方正仿宋_GBK;微软雅黑" w:hint="eastAsia" w:eastAsia="仿宋_GB2312;仿宋"/>
          <w:kern w:val="2"/>
          <w:sz w:val="32"/>
          <w:szCs w:val="32"/>
        </w:rPr>
        <w:t>市场主体应当增强法治意识和契约精神，遵守法律、法规、行业规约，诚信履约、公平竞争。</w:t>
      </w:r>
    </w:p>
    <w:p>
      <w:pPr>
        <w:pStyle w:val="Normal"/>
        <w:numPr>
          <w:ilvl w:val="0"/>
          <w:numId w:val="0"/>
        </w:numPr>
        <w:snapToGrid w:val="false"/>
        <w:spacing w:lineRule="exact" w:line="580"/>
        <w:ind w:firstLineChars="200" w:startChars="0" w:start="0" w:endChars="0" w:end="0"/>
        <w:outlineLvl w:val="2"/>
        <w:rPr>
          <w:rFonts w:ascii="仿宋_GB2312;仿宋" w:hAnsi="仿宋_GB2312;仿宋" w:eastAsia="仿宋_GB2312;仿宋" w:cs="方正仿宋_GBK;微软雅黑" w:hint="eastAsia"/>
          <w:kern w:val="2"/>
          <w:sz w:val="32"/>
          <w:szCs w:val="32"/>
        </w:rPr>
      </w:pPr>
      <w:r>
        <w:rPr>
          <w:rFonts w:ascii="黑体" w:hAnsi="黑体" w:cs="方正仿宋_GBK;微软雅黑" w:hint="eastAsia" w:eastAsia="黑体"/>
          <w:kern w:val="2"/>
          <w:sz w:val="32"/>
          <w:szCs w:val="32"/>
        </w:rPr>
        <w:t>第十三条</w:t>
      </w:r>
      <w:r>
        <w:rPr>
          <w:rFonts w:ascii="仿宋_GB2312;仿宋" w:hAnsi="仿宋_GB2312;仿宋" w:cs="方正仿宋_GBK;微软雅黑" w:hint="eastAsia" w:eastAsia="仿宋_GB2312;仿宋"/>
          <w:kern w:val="2"/>
          <w:sz w:val="32"/>
          <w:szCs w:val="32"/>
        </w:rPr>
        <w:t xml:space="preserve">  县级以上人民政府应当推进医疗卫生、社会保障、教育科研、劳动用工、文化、旅游、知识产权、环境保护和节约能源等重点领域社会诚信建设，促进社会文明进步，维护社会和谐稳定。</w:t>
      </w:r>
    </w:p>
    <w:p>
      <w:pPr>
        <w:pStyle w:val="Normal"/>
        <w:numPr>
          <w:ilvl w:val="0"/>
          <w:numId w:val="0"/>
        </w:numPr>
        <w:snapToGrid w:val="false"/>
        <w:spacing w:lineRule="exact" w:line="580"/>
        <w:ind w:firstLineChars="200" w:startChars="0" w:start="0" w:endChars="0" w:end="0"/>
        <w:outlineLvl w:val="2"/>
        <w:rPr>
          <w:rFonts w:ascii="仿宋_GB2312;仿宋" w:hAnsi="仿宋_GB2312;仿宋" w:eastAsia="仿宋_GB2312;仿宋" w:cs="方正仿宋_GBK;微软雅黑" w:hint="eastAsia"/>
          <w:kern w:val="2"/>
          <w:sz w:val="32"/>
          <w:szCs w:val="32"/>
        </w:rPr>
      </w:pPr>
      <w:r>
        <w:rPr>
          <w:rFonts w:ascii="仿宋_GB2312;仿宋" w:hAnsi="仿宋_GB2312;仿宋" w:cs="方正仿宋_GBK;微软雅黑" w:hint="eastAsia" w:eastAsia="仿宋_GB2312;仿宋"/>
          <w:kern w:val="2"/>
          <w:sz w:val="32"/>
          <w:szCs w:val="32"/>
        </w:rPr>
        <w:t>社会成员之间应当以诚相待、以信为本、信守承诺。</w:t>
      </w:r>
    </w:p>
    <w:p>
      <w:pPr>
        <w:pStyle w:val="Normal"/>
        <w:numPr>
          <w:ilvl w:val="0"/>
          <w:numId w:val="0"/>
        </w:numPr>
        <w:snapToGrid w:val="false"/>
        <w:spacing w:lineRule="exact" w:line="580"/>
        <w:ind w:firstLineChars="200" w:startChars="0" w:start="0" w:endChars="0" w:end="0"/>
        <w:outlineLvl w:val="2"/>
        <w:rPr>
          <w:rFonts w:ascii="仿宋_GB2312;仿宋" w:hAnsi="仿宋_GB2312;仿宋" w:eastAsia="仿宋_GB2312;仿宋" w:cs="方正仿宋_GBK;微软雅黑" w:hint="eastAsia"/>
          <w:kern w:val="2"/>
          <w:sz w:val="32"/>
          <w:szCs w:val="32"/>
        </w:rPr>
      </w:pPr>
      <w:r>
        <w:rPr>
          <w:rFonts w:ascii="黑体" w:hAnsi="黑体" w:cs="方正仿宋_GBK;微软雅黑" w:hint="eastAsia" w:eastAsia="黑体"/>
          <w:kern w:val="2"/>
          <w:sz w:val="32"/>
          <w:szCs w:val="32"/>
        </w:rPr>
        <w:t>第十四条</w:t>
      </w:r>
      <w:r>
        <w:rPr>
          <w:rFonts w:ascii="仿宋_GB2312;仿宋" w:hAnsi="仿宋_GB2312;仿宋" w:cs="方正仿宋_GBK;微软雅黑" w:hint="eastAsia" w:eastAsia="仿宋_GB2312;仿宋"/>
          <w:kern w:val="2"/>
          <w:sz w:val="32"/>
          <w:szCs w:val="32"/>
        </w:rPr>
        <w:t xml:space="preserve">  司法机关应当依法履行职责，加强司法公信建设，强化内部监督，完善制约机制，推进司法公开，严格公正司法，提高司法公信力，维护社会公平正义。</w:t>
      </w:r>
    </w:p>
    <w:p>
      <w:pPr>
        <w:pStyle w:val="Normal"/>
        <w:numPr>
          <w:ilvl w:val="0"/>
          <w:numId w:val="0"/>
        </w:numPr>
        <w:snapToGrid w:val="false"/>
        <w:spacing w:lineRule="exact" w:line="580"/>
        <w:ind w:firstLineChars="200" w:startChars="0" w:start="0" w:endChars="0" w:end="0"/>
        <w:outlineLvl w:val="2"/>
        <w:rPr>
          <w:rFonts w:ascii="仿宋_GB2312;仿宋" w:hAnsi="仿宋_GB2312;仿宋" w:eastAsia="仿宋_GB2312;仿宋" w:cs="方正仿宋_GBK;微软雅黑" w:hint="eastAsia"/>
          <w:kern w:val="2"/>
          <w:sz w:val="32"/>
          <w:szCs w:val="32"/>
        </w:rPr>
      </w:pPr>
      <w:r>
        <w:rPr>
          <w:rFonts w:ascii="仿宋_GB2312;仿宋" w:hAnsi="仿宋_GB2312;仿宋" w:cs="方正仿宋_GBK;微软雅黑" w:hint="eastAsia" w:eastAsia="仿宋_GB2312;仿宋"/>
          <w:kern w:val="2"/>
          <w:sz w:val="32"/>
          <w:szCs w:val="32"/>
        </w:rPr>
        <w:t>推进律师、公证员、仲裁委员会组成人员以及仲裁员、基层法律服务工作者、法律援助人员、司法鉴定人员等诚信规范执业。</w:t>
      </w:r>
    </w:p>
    <w:p>
      <w:pPr>
        <w:pStyle w:val="Normal"/>
        <w:numPr>
          <w:ilvl w:val="0"/>
          <w:numId w:val="0"/>
        </w:numPr>
        <w:snapToGrid w:val="false"/>
        <w:spacing w:lineRule="exact" w:line="580"/>
        <w:ind w:firstLineChars="200" w:startChars="0" w:start="0" w:endChars="0" w:end="0"/>
        <w:outlineLvl w:val="2"/>
        <w:rPr>
          <w:rFonts w:ascii="仿宋_GB2312;仿宋" w:hAnsi="仿宋_GB2312;仿宋" w:eastAsia="仿宋_GB2312;仿宋" w:cs="方正仿宋_GBK;微软雅黑" w:hint="eastAsia"/>
          <w:kern w:val="2"/>
          <w:sz w:val="32"/>
          <w:szCs w:val="32"/>
        </w:rPr>
      </w:pPr>
      <w:r>
        <w:rPr>
          <w:rFonts w:ascii="黑体" w:hAnsi="黑体" w:cs="方正仿宋_GBK;微软雅黑" w:hint="eastAsia" w:eastAsia="黑体"/>
          <w:kern w:val="2"/>
          <w:sz w:val="32"/>
          <w:szCs w:val="32"/>
        </w:rPr>
        <w:t>第十五条</w:t>
      </w:r>
      <w:r>
        <w:rPr>
          <w:rFonts w:ascii="仿宋_GB2312;仿宋" w:hAnsi="仿宋_GB2312;仿宋" w:cs="方正仿宋_GBK;微软雅黑" w:hint="eastAsia" w:eastAsia="仿宋_GB2312;仿宋"/>
          <w:kern w:val="2"/>
          <w:sz w:val="32"/>
          <w:szCs w:val="32"/>
        </w:rPr>
        <w:t xml:space="preserve">  县级以上人民政府发展改革部门应当统筹推进诚信教育与诚信文化建设。</w:t>
      </w:r>
    </w:p>
    <w:p>
      <w:pPr>
        <w:pStyle w:val="Normal"/>
        <w:numPr>
          <w:ilvl w:val="0"/>
          <w:numId w:val="0"/>
        </w:numPr>
        <w:snapToGrid w:val="false"/>
        <w:spacing w:lineRule="exact" w:line="580"/>
        <w:ind w:firstLineChars="200" w:startChars="0" w:start="0" w:endChars="0" w:end="0"/>
        <w:outlineLvl w:val="2"/>
        <w:rPr>
          <w:rFonts w:ascii="仿宋_GB2312;仿宋" w:hAnsi="仿宋_GB2312;仿宋" w:eastAsia="仿宋_GB2312;仿宋" w:cs="方正仿宋_GBK;微软雅黑" w:hint="eastAsia"/>
          <w:kern w:val="2"/>
          <w:sz w:val="32"/>
          <w:szCs w:val="32"/>
        </w:rPr>
      </w:pPr>
      <w:r>
        <w:rPr>
          <w:rFonts w:ascii="仿宋_GB2312;仿宋" w:hAnsi="仿宋_GB2312;仿宋" w:cs="方正仿宋_GBK;微软雅黑" w:hint="eastAsia" w:eastAsia="仿宋_GB2312;仿宋"/>
          <w:kern w:val="2"/>
          <w:sz w:val="32"/>
          <w:szCs w:val="32"/>
        </w:rPr>
        <w:t>县级以上人民政府教育、人力资源社会保障等主管部门以及公务员主管部门和学校、有关职业培训机构应当按照职能将信用知识纳入教育和培训内容，普及诚信教育。</w:t>
      </w:r>
    </w:p>
    <w:p>
      <w:pPr>
        <w:pStyle w:val="Normal"/>
        <w:numPr>
          <w:ilvl w:val="0"/>
          <w:numId w:val="0"/>
        </w:numPr>
        <w:snapToGrid w:val="false"/>
        <w:spacing w:lineRule="exact" w:line="580"/>
        <w:ind w:firstLineChars="200" w:startChars="0" w:start="0" w:endChars="0" w:end="0"/>
        <w:outlineLvl w:val="2"/>
        <w:rPr>
          <w:rFonts w:ascii="仿宋_GB2312;仿宋" w:hAnsi="仿宋_GB2312;仿宋" w:eastAsia="仿宋_GB2312;仿宋" w:cs="方正仿宋_GBK;微软雅黑" w:hint="eastAsia"/>
          <w:kern w:val="2"/>
          <w:sz w:val="32"/>
          <w:szCs w:val="32"/>
        </w:rPr>
      </w:pPr>
      <w:r>
        <w:rPr>
          <w:rFonts w:ascii="仿宋_GB2312;仿宋" w:hAnsi="仿宋_GB2312;仿宋" w:cs="方正仿宋_GBK;微软雅黑" w:hint="eastAsia" w:eastAsia="仿宋_GB2312;仿宋"/>
          <w:kern w:val="2"/>
          <w:sz w:val="32"/>
          <w:szCs w:val="32"/>
        </w:rPr>
        <w:t>支持有条件的高等学校加强社会信用研究，设置信用相关专业或者开设相关课程，强化信用学科建设和人才培养。</w:t>
      </w:r>
    </w:p>
    <w:p>
      <w:pPr>
        <w:pStyle w:val="Normal"/>
        <w:numPr>
          <w:ilvl w:val="0"/>
          <w:numId w:val="0"/>
        </w:numPr>
        <w:snapToGrid w:val="false"/>
        <w:spacing w:lineRule="exact" w:line="580"/>
        <w:ind w:firstLineChars="200" w:startChars="0" w:start="0" w:endChars="0" w:end="0"/>
        <w:outlineLvl w:val="2"/>
        <w:rPr>
          <w:rFonts w:ascii="仿宋_GB2312;仿宋" w:hAnsi="仿宋_GB2312;仿宋" w:eastAsia="仿宋_GB2312;仿宋" w:cs="方正仿宋_GBK;微软雅黑"/>
          <w:kern w:val="2"/>
          <w:sz w:val="32"/>
          <w:szCs w:val="32"/>
        </w:rPr>
      </w:pPr>
      <w:r>
        <w:rPr>
          <w:rFonts w:ascii="仿宋_GB2312;仿宋" w:hAnsi="仿宋_GB2312;仿宋" w:cs="方正仿宋_GBK;微软雅黑" w:hint="eastAsia" w:eastAsia="仿宋_GB2312;仿宋"/>
          <w:kern w:val="2"/>
          <w:sz w:val="32"/>
          <w:szCs w:val="32"/>
        </w:rPr>
        <w:t>报刊、广播、电视、网络传媒等媒体应当宣传和普及社会信用知识，弘扬诚信文化，宣传诚实守信的先进典型，并对损害信用主体合法权益的行为进行舆论监督，增强公众信用意识，营造诚信舆论环境和社会氛围。</w:t>
      </w:r>
    </w:p>
    <w:p>
      <w:pPr>
        <w:pStyle w:val="Normal"/>
        <w:numPr>
          <w:ilvl w:val="0"/>
          <w:numId w:val="0"/>
        </w:numPr>
        <w:snapToGrid w:val="false"/>
        <w:spacing w:lineRule="exact" w:line="580"/>
        <w:ind w:firstLineChars="200" w:startChars="0" w:start="0" w:endChars="0" w:end="0"/>
        <w:outlineLvl w:val="2"/>
        <w:rPr>
          <w:rFonts w:ascii="仿宋_GB2312;仿宋" w:hAnsi="仿宋_GB2312;仿宋" w:eastAsia="仿宋_GB2312;仿宋" w:cs="方正仿宋_GBK;微软雅黑" w:hint="eastAsia"/>
          <w:kern w:val="2"/>
          <w:sz w:val="32"/>
          <w:szCs w:val="32"/>
        </w:rPr>
      </w:pPr>
      <w:r>
        <w:rPr>
          <w:rFonts w:ascii="黑体" w:hAnsi="黑体" w:cs="方正仿宋_GBK;微软雅黑" w:hint="eastAsia" w:eastAsia="黑体"/>
          <w:kern w:val="2"/>
          <w:sz w:val="32"/>
          <w:szCs w:val="32"/>
        </w:rPr>
        <w:t>第十六条</w:t>
      </w:r>
      <w:r>
        <w:rPr>
          <w:rFonts w:ascii="仿宋_GB2312;仿宋" w:hAnsi="仿宋_GB2312;仿宋" w:cs="方正仿宋_GBK;微软雅黑" w:hint="eastAsia" w:eastAsia="仿宋_GB2312;仿宋"/>
          <w:kern w:val="2"/>
          <w:sz w:val="32"/>
          <w:szCs w:val="32"/>
        </w:rPr>
        <w:t xml:space="preserve">  鼓励设区的市、县级人民政府按照国家和自治区有关规定开展社会信用体系建设创建示范活动，推广信用体系建设、信用管理和信用惠民等方面的创新经验。</w:t>
      </w:r>
    </w:p>
    <w:p>
      <w:pPr>
        <w:pStyle w:val="Normal"/>
        <w:numPr>
          <w:ilvl w:val="0"/>
          <w:numId w:val="0"/>
        </w:numPr>
        <w:snapToGrid w:val="false"/>
        <w:spacing w:lineRule="exact" w:line="580"/>
        <w:ind w:firstLineChars="200" w:startChars="0" w:start="0" w:endChars="0" w:end="0"/>
        <w:jc w:val="center"/>
        <w:outlineLvl w:val="1"/>
        <w:rPr>
          <w:rFonts w:ascii="黑体" w:hAnsi="黑体" w:eastAsia="黑体" w:cs="方正仿宋_GBK;微软雅黑" w:hint="eastAsia"/>
          <w:kern w:val="2"/>
          <w:sz w:val="32"/>
          <w:szCs w:val="32"/>
        </w:rPr>
      </w:pPr>
      <w:r>
        <w:rPr>
          <w:rFonts w:ascii="黑体" w:hAnsi="黑体" w:cs="方正仿宋_GBK;微软雅黑" w:hint="eastAsia" w:eastAsia="黑体"/>
          <w:kern w:val="2"/>
          <w:sz w:val="32"/>
          <w:szCs w:val="32"/>
        </w:rPr>
        <w:t>第三章  信用信息管理</w:t>
      </w:r>
    </w:p>
    <w:p>
      <w:pPr>
        <w:pStyle w:val="-1"/>
        <w:spacing w:lineRule="exact" w:line="580"/>
        <w:ind w:endChars="0" w:end="0"/>
        <w:rPr>
          <w:rFonts w:ascii="黑体" w:hAnsi="黑体" w:eastAsia="黑体" w:cs="方正仿宋_GBK;微软雅黑" w:hint="eastAsia"/>
          <w:kern w:val="2"/>
          <w:sz w:val="32"/>
          <w:szCs w:val="32"/>
        </w:rPr>
      </w:pPr>
      <w:r>
        <w:rPr>
          <w:rFonts w:eastAsia="黑体" w:cs="方正仿宋_GBK;微软雅黑" w:hint="eastAsia" w:ascii="黑体" w:hAnsi="黑体"/>
          <w:kern w:val="2"/>
          <w:sz w:val="32"/>
          <w:szCs w:val="32"/>
        </w:rPr>
      </w:r>
    </w:p>
    <w:p>
      <w:pPr>
        <w:pStyle w:val="Normal"/>
        <w:numPr>
          <w:ilvl w:val="0"/>
          <w:numId w:val="0"/>
        </w:numPr>
        <w:snapToGrid w:val="false"/>
        <w:spacing w:lineRule="exact" w:line="580"/>
        <w:ind w:firstLineChars="200" w:startChars="0" w:start="0" w:endChars="0" w:end="0"/>
        <w:outlineLvl w:val="2"/>
        <w:rPr>
          <w:rFonts w:ascii="仿宋_GB2312;仿宋" w:hAnsi="仿宋_GB2312;仿宋" w:eastAsia="仿宋_GB2312;仿宋" w:cs="方正仿宋_GBK;微软雅黑" w:hint="eastAsia"/>
          <w:kern w:val="2"/>
          <w:sz w:val="32"/>
          <w:szCs w:val="32"/>
        </w:rPr>
      </w:pPr>
      <w:r>
        <w:rPr>
          <w:rFonts w:ascii="黑体" w:hAnsi="黑体" w:cs="方正仿宋_GBK;微软雅黑" w:hint="eastAsia" w:eastAsia="黑体"/>
          <w:kern w:val="2"/>
          <w:sz w:val="32"/>
          <w:szCs w:val="32"/>
        </w:rPr>
        <w:t>第十七条</w:t>
      </w:r>
      <w:r>
        <w:rPr>
          <w:rFonts w:ascii="仿宋_GB2312;仿宋" w:hAnsi="仿宋_GB2312;仿宋" w:cs="方正仿宋_GBK;微软雅黑" w:hint="eastAsia" w:eastAsia="仿宋_GB2312;仿宋"/>
          <w:kern w:val="2"/>
          <w:sz w:val="32"/>
          <w:szCs w:val="32"/>
        </w:rPr>
        <w:t xml:space="preserve">  本条例所称信用信息，是指用以识别、分析、判断信用主体信用状况的客观数据和资料，包括公共信用信息和市场信用信息。</w:t>
      </w:r>
    </w:p>
    <w:p>
      <w:pPr>
        <w:pStyle w:val="Normal"/>
        <w:snapToGrid w:val="false"/>
        <w:spacing w:lineRule="exact" w:line="580"/>
        <w:ind w:firstLineChars="200" w:startChars="0" w:start="0" w:endChars="0" w:end="0"/>
        <w:rPr>
          <w:rFonts w:ascii="仿宋_GB2312;仿宋" w:hAnsi="仿宋_GB2312;仿宋" w:eastAsia="仿宋_GB2312;仿宋" w:cs="方正仿宋_GBK;微软雅黑" w:hint="eastAsia"/>
          <w:kern w:val="2"/>
          <w:sz w:val="32"/>
          <w:szCs w:val="32"/>
        </w:rPr>
      </w:pPr>
      <w:r>
        <w:rPr>
          <w:rFonts w:ascii="仿宋_GB2312;仿宋" w:hAnsi="仿宋_GB2312;仿宋" w:cs="方正仿宋_GBK;微软雅黑" w:hint="eastAsia" w:eastAsia="仿宋_GB2312;仿宋"/>
          <w:kern w:val="2"/>
          <w:sz w:val="32"/>
          <w:szCs w:val="32"/>
        </w:rPr>
        <w:t>公共信用信息是指国家机关以及法律、法规授权的具有管理公共事务职能的组织等公共信用信息提供单位，在履行法定职责、提供服务过程中产生或者获取的信用信息。</w:t>
      </w:r>
    </w:p>
    <w:p>
      <w:pPr>
        <w:pStyle w:val="Normal"/>
        <w:snapToGrid w:val="false"/>
        <w:spacing w:lineRule="exact" w:line="580"/>
        <w:ind w:firstLineChars="200" w:startChars="0" w:start="0" w:endChars="0" w:end="0"/>
        <w:rPr>
          <w:rFonts w:ascii="仿宋_GB2312;仿宋" w:hAnsi="仿宋_GB2312;仿宋" w:eastAsia="仿宋_GB2312;仿宋" w:cs="方正仿宋_GBK;微软雅黑" w:hint="eastAsia"/>
          <w:kern w:val="2"/>
          <w:sz w:val="32"/>
          <w:szCs w:val="32"/>
        </w:rPr>
      </w:pPr>
      <w:r>
        <w:rPr>
          <w:rFonts w:ascii="仿宋_GB2312;仿宋" w:hAnsi="仿宋_GB2312;仿宋" w:cs="方正仿宋_GBK;微软雅黑" w:hint="eastAsia" w:eastAsia="仿宋_GB2312;仿宋"/>
          <w:kern w:val="2"/>
          <w:sz w:val="32"/>
          <w:szCs w:val="32"/>
        </w:rPr>
        <w:t>市场信用信息是指信用服务机构、行业协会商会和其他企业事业单位等市场信用信息采集单位，在生产经营和提供服务过程中产生、采集或者获取的信用信息。</w:t>
      </w:r>
    </w:p>
    <w:p>
      <w:pPr>
        <w:pStyle w:val="-1"/>
        <w:numPr>
          <w:ilvl w:val="0"/>
          <w:numId w:val="0"/>
        </w:numPr>
        <w:spacing w:lineRule="exact" w:line="580"/>
        <w:ind w:firstLineChars="200" w:startChars="0" w:start="0" w:endChars="0" w:end="0"/>
        <w:outlineLvl w:val="2"/>
        <w:rPr>
          <w:rFonts w:ascii="仿宋_GB2312;仿宋" w:hAnsi="仿宋_GB2312;仿宋" w:eastAsia="仿宋_GB2312;仿宋" w:hint="eastAsia"/>
          <w:i/>
          <w:sz w:val="32"/>
          <w:szCs w:val="32"/>
          <w:u w:val="single"/>
        </w:rPr>
      </w:pPr>
      <w:bookmarkStart w:id="2" w:name="tiao_4_kuan_3"/>
      <w:bookmarkEnd w:id="2"/>
      <w:r>
        <w:rPr>
          <w:rFonts w:ascii="黑体" w:hAnsi="黑体" w:cs="方正仿宋_GBK;微软雅黑" w:hint="eastAsia" w:eastAsia="黑体"/>
          <w:kern w:val="2"/>
          <w:sz w:val="32"/>
          <w:szCs w:val="32"/>
        </w:rPr>
        <w:t>第十八条</w:t>
      </w:r>
      <w:r>
        <w:rPr>
          <w:rFonts w:ascii="楷体_GB2312;楷体" w:hAnsi="楷体_GB2312;楷体" w:cs="方正仿宋_GBK;微软雅黑" w:hint="eastAsia" w:eastAsia="楷体_GB2312;楷体"/>
          <w:kern w:val="2"/>
          <w:sz w:val="32"/>
          <w:szCs w:val="32"/>
        </w:rPr>
        <w:t xml:space="preserve"> </w:t>
      </w:r>
      <w:r>
        <w:rPr>
          <w:rFonts w:ascii="仿宋_GB2312;仿宋" w:hAnsi="仿宋_GB2312;仿宋" w:hint="eastAsia" w:eastAsia="仿宋_GB2312;仿宋"/>
          <w:sz w:val="32"/>
          <w:szCs w:val="32"/>
        </w:rPr>
        <w:t xml:space="preserve"> 信用信息的记录、采集、归集、共享、披露、查询和应用等活动，应当遵循合法、客观、正当、必要、审慎、安全的原则，不得危害国家主权、安全和发展利益，不得侵犯公共安全和公共利益，不得泄露国家秘密、商业秘密和个人隐私。</w:t>
      </w:r>
    </w:p>
    <w:p>
      <w:pPr>
        <w:pStyle w:val="Normal"/>
        <w:numPr>
          <w:ilvl w:val="0"/>
          <w:numId w:val="0"/>
        </w:numPr>
        <w:snapToGrid w:val="false"/>
        <w:spacing w:lineRule="exact" w:line="580"/>
        <w:ind w:firstLineChars="200" w:startChars="0" w:start="0" w:endChars="0" w:end="0"/>
        <w:outlineLvl w:val="2"/>
        <w:rPr>
          <w:rFonts w:ascii="仿宋_GB2312;仿宋" w:hAnsi="仿宋_GB2312;仿宋" w:eastAsia="仿宋_GB2312;仿宋" w:cs="方正仿宋_GBK;微软雅黑" w:hint="eastAsia"/>
          <w:kern w:val="2"/>
          <w:sz w:val="32"/>
          <w:szCs w:val="32"/>
        </w:rPr>
      </w:pPr>
      <w:r>
        <w:rPr>
          <w:rFonts w:ascii="黑体" w:hAnsi="黑体" w:cs="方正仿宋_GBK;微软雅黑" w:hint="eastAsia" w:eastAsia="黑体"/>
          <w:kern w:val="2"/>
          <w:sz w:val="32"/>
          <w:szCs w:val="32"/>
        </w:rPr>
        <w:t>第十九条</w:t>
      </w:r>
      <w:r>
        <w:rPr>
          <w:rFonts w:ascii="仿宋_GB2312;仿宋" w:hAnsi="仿宋_GB2312;仿宋" w:cs="方正仿宋_GBK;微软雅黑" w:hint="eastAsia" w:eastAsia="仿宋_GB2312;仿宋"/>
          <w:kern w:val="2"/>
          <w:sz w:val="32"/>
          <w:szCs w:val="32"/>
        </w:rPr>
        <w:t xml:space="preserve">  公共信用信息实行目录制管理。在执行全国公共信用信息基础目录的同时，</w:t>
      </w:r>
      <w:r>
        <w:rPr>
          <w:rFonts w:ascii="仿宋_GB2312;仿宋" w:hAnsi="仿宋_GB2312;仿宋" w:cs="方正仿宋_GBK;微软雅黑" w:eastAsia="仿宋_GB2312;仿宋"/>
          <w:kern w:val="2"/>
          <w:sz w:val="32"/>
          <w:szCs w:val="32"/>
        </w:rPr>
        <w:t>地方性法规对公共信用信息纳入范围有</w:t>
      </w:r>
      <w:r>
        <w:rPr>
          <w:rFonts w:ascii="仿宋_GB2312;仿宋" w:hAnsi="仿宋_GB2312;仿宋" w:cs="方正仿宋_GBK;微软雅黑" w:hint="eastAsia" w:eastAsia="仿宋_GB2312;仿宋"/>
          <w:kern w:val="2"/>
          <w:sz w:val="32"/>
          <w:szCs w:val="32"/>
        </w:rPr>
        <w:t>补充</w:t>
      </w:r>
      <w:r>
        <w:rPr>
          <w:rFonts w:ascii="仿宋_GB2312;仿宋" w:hAnsi="仿宋_GB2312;仿宋" w:cs="方正仿宋_GBK;微软雅黑" w:eastAsia="仿宋_GB2312;仿宋"/>
          <w:kern w:val="2"/>
          <w:sz w:val="32"/>
          <w:szCs w:val="32"/>
        </w:rPr>
        <w:t>规定的</w:t>
      </w:r>
      <w:r>
        <w:rPr>
          <w:rFonts w:ascii="仿宋_GB2312;仿宋" w:hAnsi="仿宋_GB2312;仿宋" w:cs="方正仿宋_GBK;微软雅黑" w:hint="eastAsia" w:eastAsia="仿宋_GB2312;仿宋"/>
          <w:kern w:val="2"/>
          <w:sz w:val="32"/>
          <w:szCs w:val="32"/>
        </w:rPr>
        <w:t>，自治区、设区的市人民政府发展改革部门会同有关部门可以编制适用于本地的公共信用信息补充目录，并根据全国公共信用信息基础目录更新情况和工作需要适时更新。</w:t>
      </w:r>
    </w:p>
    <w:p>
      <w:pPr>
        <w:pStyle w:val="Normal"/>
        <w:snapToGrid w:val="false"/>
        <w:spacing w:lineRule="exact" w:line="580"/>
        <w:ind w:firstLineChars="200" w:startChars="0" w:start="0" w:endChars="0" w:end="0"/>
        <w:rPr>
          <w:rFonts w:ascii="仿宋_GB2312;仿宋" w:hAnsi="仿宋_GB2312;仿宋" w:eastAsia="仿宋_GB2312;仿宋" w:cs="方正仿宋_GBK;微软雅黑" w:hint="eastAsia"/>
          <w:kern w:val="2"/>
          <w:sz w:val="32"/>
          <w:szCs w:val="32"/>
        </w:rPr>
      </w:pPr>
      <w:r>
        <w:rPr>
          <w:rFonts w:ascii="仿宋_GB2312;仿宋" w:hAnsi="仿宋_GB2312;仿宋" w:cs="方正仿宋_GBK;微软雅黑" w:hint="eastAsia" w:eastAsia="仿宋_GB2312;仿宋"/>
          <w:kern w:val="2"/>
          <w:sz w:val="32"/>
          <w:szCs w:val="32"/>
        </w:rPr>
        <w:t>编制、更新公共信用信息补充目录，应当公开征求意见，报本级人民政府同意后向社会公布。设区的市编制、更新的公共信用信息补充目录，还应当报自治区人民政府发展改革部门备案。</w:t>
      </w:r>
    </w:p>
    <w:p>
      <w:pPr>
        <w:pStyle w:val="Normal"/>
        <w:snapToGrid w:val="false"/>
        <w:spacing w:lineRule="exact" w:line="580"/>
        <w:ind w:firstLineChars="200" w:startChars="0" w:start="0" w:endChars="0" w:end="0"/>
        <w:rPr>
          <w:rFonts w:ascii="仿宋_GB2312;仿宋" w:hAnsi="仿宋_GB2312;仿宋" w:eastAsia="仿宋_GB2312;仿宋" w:cs="方正仿宋_GBK;微软雅黑" w:hint="eastAsia"/>
          <w:kern w:val="2"/>
          <w:sz w:val="32"/>
          <w:szCs w:val="32"/>
        </w:rPr>
      </w:pPr>
      <w:r>
        <w:rPr>
          <w:rFonts w:ascii="仿宋_GB2312;仿宋" w:hAnsi="仿宋_GB2312;仿宋" w:cs="方正仿宋_GBK;微软雅黑" w:hint="eastAsia" w:eastAsia="仿宋_GB2312;仿宋"/>
          <w:kern w:val="2"/>
          <w:sz w:val="32"/>
          <w:szCs w:val="32"/>
        </w:rPr>
        <w:t>公共信用信息补充目录应当逐条明确公共信用信息</w:t>
      </w:r>
      <w:r>
        <w:rPr>
          <w:rFonts w:ascii="仿宋_GB2312;仿宋" w:hAnsi="仿宋_GB2312;仿宋" w:cs="方正仿宋_GBK;微软雅黑" w:eastAsia="仿宋_GB2312;仿宋"/>
          <w:kern w:val="2"/>
          <w:sz w:val="32"/>
          <w:szCs w:val="32"/>
        </w:rPr>
        <w:t>对应的具体行为</w:t>
      </w:r>
      <w:r>
        <w:rPr>
          <w:rFonts w:ascii="仿宋_GB2312;仿宋" w:hAnsi="仿宋_GB2312;仿宋" w:cs="方正仿宋_GBK;微软雅黑" w:hint="eastAsia" w:eastAsia="仿宋_GB2312;仿宋"/>
          <w:kern w:val="2"/>
          <w:sz w:val="32"/>
          <w:szCs w:val="32"/>
        </w:rPr>
        <w:t>、</w:t>
      </w:r>
      <w:r>
        <w:rPr>
          <w:rFonts w:ascii="仿宋_GB2312;仿宋" w:hAnsi="仿宋_GB2312;仿宋" w:cs="方正仿宋_GBK;微软雅黑" w:eastAsia="仿宋_GB2312;仿宋"/>
          <w:kern w:val="2"/>
          <w:sz w:val="32"/>
          <w:szCs w:val="32"/>
        </w:rPr>
        <w:t>公开属性、共享范围、归集来源和渠道、更新频次</w:t>
      </w:r>
      <w:r>
        <w:rPr>
          <w:rFonts w:ascii="仿宋_GB2312;仿宋" w:hAnsi="仿宋_GB2312;仿宋" w:cs="方正仿宋_GBK;微软雅黑" w:hint="eastAsia" w:eastAsia="仿宋_GB2312;仿宋"/>
          <w:kern w:val="2"/>
          <w:sz w:val="32"/>
          <w:szCs w:val="32"/>
        </w:rPr>
        <w:t>等内容。</w:t>
      </w:r>
    </w:p>
    <w:p>
      <w:pPr>
        <w:pStyle w:val="Normal"/>
        <w:snapToGrid w:val="false"/>
        <w:spacing w:lineRule="exact" w:line="580"/>
        <w:ind w:firstLineChars="200" w:startChars="0" w:start="0" w:endChars="0" w:end="0"/>
        <w:rPr>
          <w:rFonts w:ascii="仿宋_GB2312;仿宋" w:hAnsi="仿宋_GB2312;仿宋" w:eastAsia="仿宋_GB2312;仿宋" w:cs="方正仿宋_GBK;微软雅黑" w:hint="eastAsia"/>
          <w:kern w:val="2"/>
          <w:sz w:val="32"/>
          <w:szCs w:val="32"/>
        </w:rPr>
      </w:pPr>
      <w:bookmarkStart w:id="3" w:name="tiao_36"/>
      <w:bookmarkStart w:id="4" w:name="tiao_9_kuan_2"/>
      <w:bookmarkEnd w:id="3"/>
      <w:bookmarkEnd w:id="4"/>
      <w:r>
        <w:rPr>
          <w:rFonts w:ascii="黑体" w:hAnsi="黑体" w:cs="方正仿宋_GBK;微软雅黑" w:hint="eastAsia" w:eastAsia="黑体"/>
          <w:kern w:val="2"/>
          <w:sz w:val="32"/>
          <w:szCs w:val="32"/>
        </w:rPr>
        <w:t xml:space="preserve">第二十条  </w:t>
      </w:r>
      <w:r>
        <w:rPr>
          <w:rFonts w:ascii="仿宋_GB2312;仿宋" w:hAnsi="仿宋_GB2312;仿宋" w:cs="方正仿宋_GBK;微软雅黑" w:hint="eastAsia" w:eastAsia="仿宋_GB2312;仿宋"/>
          <w:kern w:val="2"/>
          <w:sz w:val="32"/>
          <w:szCs w:val="32"/>
        </w:rPr>
        <w:t>纳入公共信用信息补充目录的失信信息应当限制在下列范围：</w:t>
      </w:r>
    </w:p>
    <w:p>
      <w:pPr>
        <w:pStyle w:val="Normal"/>
        <w:snapToGrid w:val="false"/>
        <w:spacing w:lineRule="exact" w:line="580"/>
        <w:ind w:firstLineChars="200" w:startChars="0" w:start="0" w:endChars="0" w:end="0"/>
        <w:rPr>
          <w:rFonts w:ascii="仿宋_GB2312;仿宋" w:hAnsi="仿宋_GB2312;仿宋" w:eastAsia="仿宋_GB2312;仿宋" w:cs="方正仿宋_GBK;微软雅黑" w:hint="eastAsia"/>
          <w:kern w:val="2"/>
          <w:sz w:val="32"/>
          <w:szCs w:val="32"/>
        </w:rPr>
      </w:pPr>
      <w:r>
        <w:rPr>
          <w:rFonts w:ascii="仿宋_GB2312;仿宋" w:hAnsi="仿宋_GB2312;仿宋" w:cs="方正仿宋_GBK;微软雅黑" w:hint="eastAsia" w:eastAsia="仿宋_GB2312;仿宋"/>
          <w:kern w:val="2"/>
          <w:sz w:val="32"/>
          <w:szCs w:val="32"/>
        </w:rPr>
        <w:t>（一）行政处罚、行政强制、行政裁决等行政行为中反映信用主体违法失信的信息；</w:t>
      </w:r>
    </w:p>
    <w:p>
      <w:pPr>
        <w:pStyle w:val="Normal"/>
        <w:snapToGrid w:val="false"/>
        <w:spacing w:lineRule="exact" w:line="580"/>
        <w:ind w:firstLineChars="200" w:startChars="0" w:start="0" w:endChars="0" w:end="0"/>
        <w:rPr>
          <w:rFonts w:ascii="仿宋_GB2312;仿宋" w:hAnsi="仿宋_GB2312;仿宋" w:eastAsia="仿宋_GB2312;仿宋" w:cs="方正仿宋_GBK;微软雅黑" w:hint="eastAsia"/>
          <w:kern w:val="2"/>
          <w:sz w:val="32"/>
          <w:szCs w:val="32"/>
        </w:rPr>
      </w:pPr>
      <w:r>
        <w:rPr>
          <w:rFonts w:ascii="仿宋_GB2312;仿宋" w:hAnsi="仿宋_GB2312;仿宋" w:cs="方正仿宋_GBK;微软雅黑" w:hint="eastAsia" w:eastAsia="仿宋_GB2312;仿宋"/>
          <w:kern w:val="2"/>
          <w:sz w:val="32"/>
          <w:szCs w:val="32"/>
        </w:rPr>
        <w:t>（二）在信用承诺中虚假承诺或者不履行承诺的信息；</w:t>
      </w:r>
    </w:p>
    <w:p>
      <w:pPr>
        <w:pStyle w:val="Normal"/>
        <w:snapToGrid w:val="false"/>
        <w:spacing w:lineRule="exact" w:line="580"/>
        <w:ind w:firstLineChars="200" w:startChars="0" w:start="0" w:endChars="0" w:end="0"/>
        <w:rPr>
          <w:rFonts w:ascii="仿宋_GB2312;仿宋" w:hAnsi="仿宋_GB2312;仿宋" w:eastAsia="仿宋_GB2312;仿宋" w:cs="方正仿宋_GBK;微软雅黑" w:hint="eastAsia"/>
          <w:kern w:val="2"/>
          <w:sz w:val="32"/>
          <w:szCs w:val="32"/>
        </w:rPr>
      </w:pPr>
      <w:r>
        <w:rPr>
          <w:rFonts w:ascii="仿宋_GB2312;仿宋" w:hAnsi="仿宋_GB2312;仿宋" w:cs="方正仿宋_GBK;微软雅黑" w:hint="eastAsia" w:eastAsia="仿宋_GB2312;仿宋"/>
          <w:kern w:val="2"/>
          <w:sz w:val="32"/>
          <w:szCs w:val="32"/>
        </w:rPr>
        <w:t>（三）提供虚假材料、隐瞒事实真相、瞒报谎报信息等弄虚作假行为的信息；</w:t>
      </w:r>
    </w:p>
    <w:p>
      <w:pPr>
        <w:pStyle w:val="Normal"/>
        <w:snapToGrid w:val="false"/>
        <w:spacing w:lineRule="exact" w:line="580"/>
        <w:ind w:firstLineChars="200" w:startChars="0" w:start="0" w:endChars="0" w:end="0"/>
        <w:rPr>
          <w:rFonts w:ascii="仿宋_GB2312;仿宋" w:hAnsi="仿宋_GB2312;仿宋" w:eastAsia="仿宋_GB2312;仿宋" w:cs="方正仿宋_GBK;微软雅黑" w:hint="eastAsia"/>
          <w:kern w:val="2"/>
          <w:sz w:val="32"/>
          <w:szCs w:val="32"/>
        </w:rPr>
      </w:pPr>
      <w:r>
        <w:rPr>
          <w:rFonts w:ascii="仿宋_GB2312;仿宋" w:hAnsi="仿宋_GB2312;仿宋" w:cs="方正仿宋_GBK;微软雅黑" w:hint="eastAsia" w:eastAsia="仿宋_GB2312;仿宋"/>
          <w:kern w:val="2"/>
          <w:sz w:val="32"/>
          <w:szCs w:val="32"/>
        </w:rPr>
        <w:t>（四）违反诚信执业相关规范造成不良影响的信息；</w:t>
      </w:r>
    </w:p>
    <w:p>
      <w:pPr>
        <w:pStyle w:val="Normal"/>
        <w:snapToGrid w:val="false"/>
        <w:spacing w:lineRule="exact" w:line="580"/>
        <w:ind w:firstLineChars="200" w:startChars="0" w:start="0" w:endChars="0" w:end="0"/>
        <w:rPr>
          <w:rFonts w:ascii="仿宋_GB2312;仿宋" w:hAnsi="仿宋_GB2312;仿宋" w:eastAsia="仿宋_GB2312;仿宋" w:cs="方正仿宋_GBK;微软雅黑" w:hint="eastAsia"/>
          <w:kern w:val="2"/>
          <w:sz w:val="32"/>
          <w:szCs w:val="32"/>
        </w:rPr>
      </w:pPr>
      <w:r>
        <w:rPr>
          <w:rFonts w:ascii="仿宋_GB2312;仿宋" w:hAnsi="仿宋_GB2312;仿宋" w:cs="方正仿宋_GBK;微软雅黑" w:hint="eastAsia" w:eastAsia="仿宋_GB2312;仿宋"/>
          <w:kern w:val="2"/>
          <w:sz w:val="32"/>
          <w:szCs w:val="32"/>
        </w:rPr>
        <w:t>（五）拒不履行生效法律文书确定义务的信息；</w:t>
      </w:r>
    </w:p>
    <w:p>
      <w:pPr>
        <w:pStyle w:val="Normal"/>
        <w:snapToGrid w:val="false"/>
        <w:spacing w:lineRule="exact" w:line="580"/>
        <w:ind w:firstLineChars="200" w:startChars="0" w:start="0" w:endChars="0" w:end="0"/>
        <w:rPr>
          <w:rFonts w:ascii="仿宋_GB2312;仿宋" w:hAnsi="仿宋_GB2312;仿宋" w:eastAsia="仿宋_GB2312;仿宋" w:cs="方正仿宋_GBK;微软雅黑"/>
          <w:kern w:val="2"/>
          <w:sz w:val="32"/>
          <w:szCs w:val="32"/>
        </w:rPr>
      </w:pPr>
      <w:r>
        <w:rPr>
          <w:rFonts w:ascii="仿宋_GB2312;仿宋" w:hAnsi="仿宋_GB2312;仿宋" w:cs="方正仿宋_GBK;微软雅黑" w:hint="eastAsia" w:eastAsia="仿宋_GB2312;仿宋"/>
          <w:kern w:val="2"/>
          <w:sz w:val="32"/>
          <w:szCs w:val="32"/>
        </w:rPr>
        <w:t>（六）地方性法规规定的其他失信行为的信息。</w:t>
      </w:r>
    </w:p>
    <w:p>
      <w:pPr>
        <w:pStyle w:val="Normal"/>
        <w:snapToGrid w:val="false"/>
        <w:spacing w:lineRule="exact" w:line="580"/>
        <w:ind w:firstLineChars="200" w:startChars="0" w:start="0" w:endChars="0" w:end="0"/>
        <w:rPr>
          <w:rFonts w:ascii="仿宋_GB2312;仿宋" w:hAnsi="仿宋_GB2312;仿宋" w:eastAsia="仿宋_GB2312;仿宋" w:cs="方正仿宋_GBK;微软雅黑"/>
          <w:kern w:val="2"/>
          <w:sz w:val="32"/>
          <w:szCs w:val="32"/>
        </w:rPr>
      </w:pPr>
      <w:r>
        <w:rPr>
          <w:rFonts w:ascii="黑体" w:hAnsi="黑体" w:cs="方正仿宋_GBK;微软雅黑" w:hint="eastAsia" w:eastAsia="黑体"/>
          <w:bCs/>
          <w:kern w:val="2"/>
          <w:sz w:val="32"/>
          <w:szCs w:val="32"/>
        </w:rPr>
        <w:t>第二十一条</w:t>
      </w:r>
      <w:r>
        <w:rPr>
          <w:rFonts w:ascii="楷体_GB2312;楷体" w:hAnsi="楷体_GB2312;楷体" w:cs="方正仿宋_GBK;微软雅黑" w:hint="eastAsia" w:eastAsia="楷体_GB2312;楷体"/>
          <w:kern w:val="2"/>
          <w:sz w:val="32"/>
          <w:szCs w:val="32"/>
        </w:rPr>
        <w:t xml:space="preserve"> </w:t>
      </w:r>
      <w:r>
        <w:rPr>
          <w:rFonts w:ascii="仿宋_GB2312;仿宋" w:hAnsi="仿宋_GB2312;仿宋" w:cs="方正仿宋_GBK;微软雅黑" w:hint="eastAsia" w:eastAsia="仿宋_GB2312;仿宋"/>
          <w:kern w:val="2"/>
          <w:sz w:val="32"/>
          <w:szCs w:val="32"/>
        </w:rPr>
        <w:t xml:space="preserve"> 下列信息除法律、法规明确规定外，不得纳入公共信用信息补充目录：</w:t>
      </w:r>
    </w:p>
    <w:p>
      <w:pPr>
        <w:pStyle w:val="Normal"/>
        <w:snapToGrid w:val="false"/>
        <w:spacing w:lineRule="exact" w:line="580"/>
        <w:ind w:firstLineChars="200" w:startChars="0" w:start="0" w:endChars="0" w:end="0"/>
        <w:rPr>
          <w:rFonts w:ascii="仿宋_GB2312;仿宋" w:hAnsi="仿宋_GB2312;仿宋" w:eastAsia="仿宋_GB2312;仿宋" w:cs="方正仿宋_GBK;微软雅黑" w:hint="eastAsia"/>
          <w:kern w:val="2"/>
          <w:sz w:val="32"/>
          <w:szCs w:val="32"/>
        </w:rPr>
      </w:pPr>
      <w:r>
        <w:rPr>
          <w:rFonts w:ascii="仿宋_GB2312;仿宋" w:hAnsi="仿宋_GB2312;仿宋" w:cs="方正仿宋_GBK;微软雅黑" w:hint="eastAsia" w:eastAsia="仿宋_GB2312;仿宋"/>
          <w:kern w:val="2"/>
          <w:sz w:val="32"/>
          <w:szCs w:val="32"/>
        </w:rPr>
        <w:t>（一）涉及商业秘密、个人隐私的信息，以及涉及未成年人、不具备完全民事行为能力的</w:t>
      </w:r>
      <w:r>
        <w:rPr>
          <w:rFonts w:ascii="仿宋_GB2312;仿宋" w:hAnsi="仿宋_GB2312;仿宋" w:cs="方正仿宋_GBK;微软雅黑" w:eastAsia="仿宋_GB2312;仿宋"/>
          <w:kern w:val="2"/>
          <w:sz w:val="32"/>
          <w:szCs w:val="32"/>
        </w:rPr>
        <w:t>自然人的信息</w:t>
      </w:r>
      <w:r>
        <w:rPr>
          <w:rFonts w:ascii="仿宋_GB2312;仿宋" w:hAnsi="仿宋_GB2312;仿宋" w:cs="方正仿宋_GBK;微软雅黑" w:hint="eastAsia" w:eastAsia="仿宋_GB2312;仿宋"/>
          <w:kern w:val="2"/>
          <w:sz w:val="32"/>
          <w:szCs w:val="32"/>
        </w:rPr>
        <w:t>；</w:t>
      </w:r>
    </w:p>
    <w:p>
      <w:pPr>
        <w:pStyle w:val="Normal"/>
        <w:snapToGrid w:val="false"/>
        <w:spacing w:lineRule="exact" w:line="580"/>
        <w:ind w:firstLineChars="200" w:startChars="0" w:start="0" w:endChars="0" w:end="0"/>
        <w:rPr>
          <w:rFonts w:ascii="仿宋_GB2312;仿宋" w:hAnsi="仿宋_GB2312;仿宋" w:eastAsia="仿宋_GB2312;仿宋" w:cs="方正仿宋_GBK;微软雅黑" w:hint="eastAsia"/>
          <w:kern w:val="2"/>
          <w:sz w:val="32"/>
          <w:szCs w:val="32"/>
        </w:rPr>
      </w:pPr>
      <w:r>
        <w:rPr>
          <w:rFonts w:ascii="仿宋_GB2312;仿宋" w:hAnsi="仿宋_GB2312;仿宋" w:cs="方正仿宋_GBK;微软雅黑" w:hint="eastAsia" w:eastAsia="仿宋_GB2312;仿宋"/>
          <w:kern w:val="2"/>
          <w:sz w:val="32"/>
          <w:szCs w:val="32"/>
        </w:rPr>
        <w:t>（二）涉及信访、献血、退役军人管理等的个人信息；</w:t>
      </w:r>
    </w:p>
    <w:p>
      <w:pPr>
        <w:pStyle w:val="Normal"/>
        <w:snapToGrid w:val="false"/>
        <w:spacing w:lineRule="exact" w:line="580"/>
        <w:ind w:firstLineChars="200" w:startChars="0" w:start="0" w:endChars="0" w:end="0"/>
        <w:rPr>
          <w:rFonts w:ascii="仿宋_GB2312;仿宋" w:hAnsi="仿宋_GB2312;仿宋" w:eastAsia="仿宋_GB2312;仿宋" w:cs="方正仿宋_GBK;微软雅黑" w:hint="eastAsia"/>
          <w:kern w:val="2"/>
          <w:sz w:val="32"/>
          <w:szCs w:val="32"/>
        </w:rPr>
      </w:pPr>
      <w:r>
        <w:rPr>
          <w:rFonts w:ascii="仿宋_GB2312;仿宋" w:hAnsi="仿宋_GB2312;仿宋" w:cs="方正仿宋_GBK;微软雅黑" w:hint="eastAsia" w:eastAsia="仿宋_GB2312;仿宋"/>
          <w:kern w:val="2"/>
          <w:sz w:val="32"/>
          <w:szCs w:val="32"/>
        </w:rPr>
        <w:t>（三）不存在情节严重或者主观恶意等情形的涉及拖欠物业服务费、不文明养犬等个人信息。</w:t>
      </w:r>
    </w:p>
    <w:p>
      <w:pPr>
        <w:pStyle w:val="Normal"/>
        <w:snapToGrid w:val="false"/>
        <w:spacing w:lineRule="exact" w:line="580"/>
        <w:ind w:firstLineChars="200" w:startChars="0" w:start="0" w:endChars="0" w:end="0"/>
        <w:rPr>
          <w:rFonts w:ascii="仿宋_GB2312;仿宋" w:hAnsi="仿宋_GB2312;仿宋" w:eastAsia="仿宋_GB2312;仿宋" w:cs="方正仿宋_GBK;微软雅黑" w:hint="eastAsia"/>
          <w:kern w:val="2"/>
          <w:sz w:val="32"/>
          <w:szCs w:val="32"/>
        </w:rPr>
      </w:pPr>
      <w:r>
        <w:rPr>
          <w:rFonts w:ascii="仿宋_GB2312;仿宋" w:hAnsi="仿宋_GB2312;仿宋" w:cs="方正仿宋_GBK;微软雅黑" w:hint="eastAsia" w:eastAsia="仿宋_GB2312;仿宋"/>
          <w:kern w:val="2"/>
          <w:sz w:val="32"/>
          <w:szCs w:val="32"/>
        </w:rPr>
        <w:t>有关机关根据监察机关通报的情况，对行贿人作出行政处罚和资格资质限制等处理，拟纳入公共信用信息的，应当征求有关监察机关的意见。</w:t>
      </w:r>
    </w:p>
    <w:p>
      <w:pPr>
        <w:pStyle w:val="Normal"/>
        <w:numPr>
          <w:ilvl w:val="0"/>
          <w:numId w:val="0"/>
        </w:numPr>
        <w:snapToGrid w:val="false"/>
        <w:spacing w:lineRule="exact" w:line="580"/>
        <w:ind w:firstLineChars="200" w:startChars="0" w:start="0" w:endChars="0" w:end="0"/>
        <w:outlineLvl w:val="2"/>
        <w:rPr>
          <w:rFonts w:ascii="仿宋_GB2312;仿宋" w:hAnsi="仿宋_GB2312;仿宋" w:eastAsia="仿宋_GB2312;仿宋" w:cs="方正仿宋_GBK;微软雅黑"/>
          <w:kern w:val="2"/>
          <w:sz w:val="32"/>
          <w:szCs w:val="32"/>
        </w:rPr>
      </w:pPr>
      <w:bookmarkStart w:id="5" w:name="tiao_36_kuan_1_xiang_1"/>
      <w:bookmarkStart w:id="6" w:name="tiao_11_kuan_4"/>
      <w:bookmarkEnd w:id="5"/>
      <w:bookmarkEnd w:id="6"/>
      <w:r>
        <w:rPr>
          <w:rFonts w:ascii="黑体" w:hAnsi="黑体" w:cs="方正仿宋_GBK;微软雅黑" w:hint="eastAsia" w:eastAsia="黑体"/>
          <w:kern w:val="2"/>
          <w:sz w:val="32"/>
          <w:szCs w:val="32"/>
        </w:rPr>
        <w:t>第二十二条</w:t>
      </w:r>
      <w:r>
        <w:rPr>
          <w:rFonts w:ascii="仿宋_GB2312;仿宋" w:hAnsi="仿宋_GB2312;仿宋" w:cs="方正仿宋_GBK;微软雅黑" w:hint="eastAsia" w:eastAsia="仿宋_GB2312;仿宋"/>
          <w:kern w:val="2"/>
          <w:sz w:val="32"/>
          <w:szCs w:val="32"/>
        </w:rPr>
        <w:t xml:space="preserve">  公共信用信息提供单位应当按照公共信用信息目录以及相关标准规范要求记录、存储公共信用信息，及时、准确、完整地向信用信息共享平台提供公共信用信息，并对其合法性、真实性、准确性、完整性负责。</w:t>
      </w:r>
    </w:p>
    <w:p>
      <w:pPr>
        <w:pStyle w:val="Normal"/>
        <w:numPr>
          <w:ilvl w:val="0"/>
          <w:numId w:val="0"/>
        </w:numPr>
        <w:snapToGrid w:val="false"/>
        <w:spacing w:lineRule="exact" w:line="580"/>
        <w:ind w:firstLineChars="200" w:startChars="0" w:start="0" w:endChars="0" w:end="0"/>
        <w:outlineLvl w:val="2"/>
        <w:rPr>
          <w:rFonts w:ascii="仿宋_GB2312;仿宋" w:hAnsi="仿宋_GB2312;仿宋" w:eastAsia="仿宋_GB2312;仿宋" w:cs="方正仿宋_GBK;微软雅黑" w:hint="eastAsia"/>
          <w:kern w:val="2"/>
          <w:sz w:val="32"/>
          <w:szCs w:val="32"/>
        </w:rPr>
      </w:pPr>
      <w:r>
        <w:rPr>
          <w:rFonts w:ascii="仿宋_GB2312;仿宋" w:hAnsi="仿宋_GB2312;仿宋" w:cs="方正仿宋_GBK;微软雅黑" w:hint="eastAsia" w:eastAsia="仿宋_GB2312;仿宋"/>
          <w:kern w:val="2"/>
          <w:sz w:val="32"/>
          <w:szCs w:val="32"/>
        </w:rPr>
        <w:t>公共信用信息提供单位应当建立公共信用信息审查机制，在向公共信用信息共享平台提供信息前按照有关规定核实所采集的公共信用信息。</w:t>
      </w:r>
    </w:p>
    <w:p>
      <w:pPr>
        <w:pStyle w:val="Normal"/>
        <w:numPr>
          <w:ilvl w:val="0"/>
          <w:numId w:val="0"/>
        </w:numPr>
        <w:spacing w:lineRule="exact" w:line="580"/>
        <w:ind w:firstLineChars="200" w:startChars="0" w:start="0" w:endChars="0" w:end="0"/>
        <w:outlineLvl w:val="2"/>
        <w:rPr>
          <w:rFonts w:ascii="黑体" w:hAnsi="黑体" w:eastAsia="黑体" w:cs="方正仿宋_GBK;微软雅黑" w:hint="eastAsia"/>
          <w:kern w:val="2"/>
          <w:sz w:val="32"/>
          <w:szCs w:val="32"/>
        </w:rPr>
      </w:pPr>
      <w:r>
        <w:rPr>
          <w:rFonts w:ascii="黑体" w:hAnsi="黑体" w:cs="方正仿宋_GBK;微软雅黑" w:hint="eastAsia" w:eastAsia="黑体"/>
          <w:kern w:val="2"/>
          <w:sz w:val="32"/>
          <w:szCs w:val="32"/>
        </w:rPr>
        <w:t>第二十三条</w:t>
      </w:r>
      <w:r>
        <w:rPr>
          <w:rFonts w:ascii="仿宋_GB2312;仿宋" w:hAnsi="仿宋_GB2312;仿宋" w:cs="方正仿宋_GBK;微软雅黑" w:hint="eastAsia" w:eastAsia="仿宋_GB2312;仿宋"/>
          <w:kern w:val="2"/>
          <w:sz w:val="32"/>
          <w:szCs w:val="32"/>
        </w:rPr>
        <w:t xml:space="preserve">  信用服务机构、行业协会商会等市场信用信息采集单位，可以依法记录自身业务活动中产生的市场信用信息，或者根据服务和管理的需要依法记录其会员、入驻经营者等市场主体的市场信用信息。</w:t>
      </w:r>
    </w:p>
    <w:p>
      <w:pPr>
        <w:pStyle w:val="Normal"/>
        <w:numPr>
          <w:ilvl w:val="0"/>
          <w:numId w:val="0"/>
        </w:numPr>
        <w:spacing w:lineRule="exact" w:line="580"/>
        <w:ind w:firstLineChars="200" w:startChars="0" w:start="0" w:endChars="0" w:end="0"/>
        <w:outlineLvl w:val="2"/>
        <w:rPr>
          <w:rFonts w:ascii="仿宋_GB2312;仿宋" w:hAnsi="仿宋_GB2312;仿宋" w:eastAsia="仿宋_GB2312;仿宋" w:cs="方正仿宋_GBK;微软雅黑" w:hint="eastAsia"/>
          <w:kern w:val="2"/>
          <w:sz w:val="32"/>
          <w:szCs w:val="32"/>
        </w:rPr>
      </w:pPr>
      <w:r>
        <w:rPr>
          <w:rFonts w:ascii="仿宋_GB2312;仿宋" w:hAnsi="仿宋_GB2312;仿宋" w:cs="方正仿宋_GBK;微软雅黑" w:hint="eastAsia" w:eastAsia="仿宋_GB2312;仿宋"/>
          <w:kern w:val="2"/>
          <w:sz w:val="32"/>
          <w:szCs w:val="32"/>
        </w:rPr>
        <w:t>鼓励信用主体通过自主申报、声明、承诺、协议等方式，向自治区、设区的市信用信息共享平台或者市场信用信息采集单位提供自身市场信用信息，并对其合法性、真实性、准确性、完整性负责。</w:t>
      </w:r>
    </w:p>
    <w:p>
      <w:pPr>
        <w:pStyle w:val="Normal"/>
        <w:numPr>
          <w:ilvl w:val="0"/>
          <w:numId w:val="0"/>
        </w:numPr>
        <w:spacing w:lineRule="exact" w:line="580"/>
        <w:ind w:firstLineChars="200" w:startChars="0" w:start="0" w:endChars="0" w:end="0"/>
        <w:outlineLvl w:val="2"/>
        <w:rPr>
          <w:rFonts w:ascii="仿宋_GB2312;仿宋" w:hAnsi="仿宋_GB2312;仿宋" w:eastAsia="仿宋_GB2312;仿宋" w:cs="方正仿宋_GBK;微软雅黑" w:hint="eastAsia"/>
          <w:kern w:val="2"/>
          <w:sz w:val="32"/>
          <w:szCs w:val="32"/>
        </w:rPr>
      </w:pPr>
      <w:r>
        <w:rPr>
          <w:rFonts w:ascii="仿宋_GB2312;仿宋" w:hAnsi="仿宋_GB2312;仿宋" w:cs="方正仿宋_GBK;微软雅黑" w:hint="eastAsia" w:eastAsia="仿宋_GB2312;仿宋"/>
          <w:kern w:val="2"/>
          <w:sz w:val="32"/>
          <w:szCs w:val="32"/>
        </w:rPr>
        <w:t>鼓励市场信用信息采集单位依法依约向信用信息共享平台提供市场信用信息。</w:t>
      </w:r>
    </w:p>
    <w:p>
      <w:pPr>
        <w:pStyle w:val="Normal"/>
        <w:numPr>
          <w:ilvl w:val="0"/>
          <w:numId w:val="0"/>
        </w:numPr>
        <w:spacing w:lineRule="exact" w:line="580"/>
        <w:ind w:firstLineChars="200" w:startChars="0" w:start="0" w:endChars="0" w:end="0"/>
        <w:outlineLvl w:val="2"/>
        <w:rPr>
          <w:rFonts w:ascii="黑体" w:hAnsi="黑体" w:eastAsia="黑体" w:cs="方正仿宋_GBK;微软雅黑" w:hint="eastAsia"/>
          <w:b/>
          <w:iCs/>
          <w:kern w:val="2"/>
          <w:sz w:val="32"/>
          <w:szCs w:val="32"/>
        </w:rPr>
      </w:pPr>
      <w:r>
        <w:rPr>
          <w:rFonts w:ascii="黑体" w:hAnsi="黑体" w:cs="方正仿宋_GBK;微软雅黑" w:hint="eastAsia" w:eastAsia="黑体"/>
          <w:kern w:val="2"/>
          <w:sz w:val="32"/>
          <w:szCs w:val="32"/>
        </w:rPr>
        <w:t>第二十四条</w:t>
      </w:r>
      <w:r>
        <w:rPr>
          <w:rFonts w:ascii="仿宋_GB2312;仿宋" w:hAnsi="仿宋_GB2312;仿宋" w:cs="方正仿宋_GBK;微软雅黑" w:hint="eastAsia" w:eastAsia="仿宋_GB2312;仿宋"/>
          <w:kern w:val="2"/>
          <w:sz w:val="32"/>
          <w:szCs w:val="32"/>
        </w:rPr>
        <w:t xml:space="preserve">  自治区、设区的市人民政府应当加强组织协调，运用互联网、大数据、人工智能等技术手段进行信用管理，促进社会信用体系与大数据融合发展，推动信用信息共享平台与金融信用信息基础数据库合作开放，与政务服务平台、企业信用信息公示系统以及其他重要业务应用系统实现互联互通、信息共享。</w:t>
      </w:r>
    </w:p>
    <w:p>
      <w:pPr>
        <w:pStyle w:val="Normal"/>
        <w:numPr>
          <w:ilvl w:val="0"/>
          <w:numId w:val="0"/>
        </w:numPr>
        <w:snapToGrid w:val="false"/>
        <w:spacing w:lineRule="exact" w:line="580"/>
        <w:ind w:firstLineChars="200" w:startChars="0" w:start="0" w:endChars="0" w:end="0"/>
        <w:outlineLvl w:val="2"/>
        <w:rPr>
          <w:rFonts w:ascii="仿宋_GB2312;仿宋" w:hAnsi="仿宋_GB2312;仿宋" w:eastAsia="仿宋_GB2312;仿宋" w:cs="方正仿宋_GBK;微软雅黑" w:hint="eastAsia"/>
          <w:kern w:val="2"/>
          <w:sz w:val="32"/>
          <w:szCs w:val="32"/>
          <w:bdr w:val="single" w:sz="4" w:space="0" w:color="000000"/>
        </w:rPr>
      </w:pPr>
      <w:r>
        <w:rPr>
          <w:rFonts w:ascii="黑体" w:hAnsi="黑体" w:cs="方正仿宋_GBK;微软雅黑" w:hint="eastAsia" w:eastAsia="黑体"/>
          <w:kern w:val="2"/>
          <w:sz w:val="32"/>
          <w:szCs w:val="32"/>
        </w:rPr>
        <w:t>第二十五条</w:t>
      </w:r>
      <w:r>
        <w:rPr>
          <w:rFonts w:ascii="仿宋_GB2312;仿宋" w:hAnsi="仿宋_GB2312;仿宋" w:cs="方正仿宋_GBK;微软雅黑" w:hint="eastAsia" w:eastAsia="仿宋_GB2312;仿宋"/>
          <w:kern w:val="2"/>
          <w:sz w:val="32"/>
          <w:szCs w:val="32"/>
        </w:rPr>
        <w:t xml:space="preserve">  公共信用信息可以通过依法公开、政务共享、依职权查询、实名认证查询、授权查询等方式披露。</w:t>
      </w:r>
    </w:p>
    <w:p>
      <w:pPr>
        <w:pStyle w:val="Normal"/>
        <w:numPr>
          <w:ilvl w:val="0"/>
          <w:numId w:val="0"/>
        </w:numPr>
        <w:snapToGrid w:val="false"/>
        <w:spacing w:lineRule="exact" w:line="580"/>
        <w:ind w:firstLineChars="200" w:startChars="0" w:start="0" w:endChars="0" w:end="0"/>
        <w:outlineLvl w:val="2"/>
        <w:rPr>
          <w:rFonts w:ascii="仿宋_GB2312;仿宋" w:hAnsi="仿宋_GB2312;仿宋" w:eastAsia="仿宋_GB2312;仿宋" w:cs="方正仿宋_GBK;微软雅黑" w:hint="eastAsia"/>
          <w:kern w:val="2"/>
          <w:sz w:val="32"/>
          <w:szCs w:val="32"/>
        </w:rPr>
      </w:pPr>
      <w:r>
        <w:rPr>
          <w:rFonts w:ascii="仿宋_GB2312;仿宋" w:hAnsi="仿宋_GB2312;仿宋" w:cs="方正仿宋_GBK;微软雅黑" w:eastAsia="仿宋_GB2312;仿宋"/>
          <w:kern w:val="2"/>
          <w:sz w:val="32"/>
          <w:szCs w:val="32"/>
        </w:rPr>
        <w:t>信用信息</w:t>
      </w:r>
      <w:r>
        <w:rPr>
          <w:rFonts w:ascii="仿宋_GB2312;仿宋" w:hAnsi="仿宋_GB2312;仿宋" w:cs="方正仿宋_GBK;微软雅黑" w:hint="eastAsia" w:eastAsia="仿宋_GB2312;仿宋"/>
          <w:kern w:val="2"/>
          <w:sz w:val="32"/>
          <w:szCs w:val="32"/>
        </w:rPr>
        <w:t>共享</w:t>
      </w:r>
      <w:r>
        <w:rPr>
          <w:rFonts w:ascii="仿宋_GB2312;仿宋" w:hAnsi="仿宋_GB2312;仿宋" w:cs="方正仿宋_GBK;微软雅黑" w:eastAsia="仿宋_GB2312;仿宋"/>
          <w:kern w:val="2"/>
          <w:sz w:val="32"/>
          <w:szCs w:val="32"/>
        </w:rPr>
        <w:t>平台</w:t>
      </w:r>
      <w:r>
        <w:rPr>
          <w:rFonts w:ascii="仿宋_GB2312;仿宋" w:hAnsi="仿宋_GB2312;仿宋" w:cs="方正仿宋_GBK;微软雅黑" w:hint="eastAsia" w:eastAsia="仿宋_GB2312;仿宋"/>
          <w:kern w:val="2"/>
          <w:sz w:val="32"/>
          <w:szCs w:val="32"/>
        </w:rPr>
        <w:t>和公共信用信息提供单位</w:t>
      </w:r>
      <w:r>
        <w:rPr>
          <w:rFonts w:ascii="仿宋_GB2312;仿宋" w:hAnsi="仿宋_GB2312;仿宋" w:cs="方正仿宋_GBK;微软雅黑" w:eastAsia="仿宋_GB2312;仿宋"/>
          <w:kern w:val="2"/>
          <w:sz w:val="32"/>
          <w:szCs w:val="32"/>
        </w:rPr>
        <w:t>应当按照规定向社会公开法律、法规规定应当公开的公共信用信息。</w:t>
      </w:r>
    </w:p>
    <w:p>
      <w:pPr>
        <w:pStyle w:val="Normal"/>
        <w:numPr>
          <w:ilvl w:val="0"/>
          <w:numId w:val="0"/>
        </w:numPr>
        <w:snapToGrid w:val="false"/>
        <w:spacing w:lineRule="exact" w:line="580"/>
        <w:ind w:firstLineChars="200" w:startChars="0" w:start="0" w:endChars="0" w:end="0"/>
        <w:outlineLvl w:val="2"/>
        <w:rPr>
          <w:rFonts w:ascii="仿宋_GB2312;仿宋" w:hAnsi="仿宋_GB2312;仿宋" w:eastAsia="仿宋_GB2312;仿宋" w:cs="方正仿宋_GBK;微软雅黑"/>
          <w:kern w:val="2"/>
          <w:sz w:val="32"/>
          <w:szCs w:val="32"/>
        </w:rPr>
      </w:pPr>
      <w:r>
        <w:rPr>
          <w:rFonts w:ascii="仿宋_GB2312;仿宋" w:hAnsi="仿宋_GB2312;仿宋" w:cs="方正仿宋_GBK;微软雅黑" w:eastAsia="仿宋_GB2312;仿宋"/>
          <w:kern w:val="2"/>
          <w:sz w:val="32"/>
          <w:szCs w:val="32"/>
        </w:rPr>
        <w:t>依法公开自然人的公共信用信息</w:t>
      </w:r>
      <w:r>
        <w:rPr>
          <w:rFonts w:ascii="仿宋_GB2312;仿宋" w:hAnsi="仿宋_GB2312;仿宋" w:cs="方正仿宋_GBK;微软雅黑" w:hint="eastAsia" w:eastAsia="仿宋_GB2312;仿宋"/>
          <w:kern w:val="2"/>
          <w:sz w:val="32"/>
          <w:szCs w:val="32"/>
        </w:rPr>
        <w:t>的</w:t>
      </w:r>
      <w:r>
        <w:rPr>
          <w:rFonts w:ascii="仿宋_GB2312;仿宋" w:hAnsi="仿宋_GB2312;仿宋" w:cs="方正仿宋_GBK;微软雅黑" w:eastAsia="仿宋_GB2312;仿宋"/>
          <w:kern w:val="2"/>
          <w:sz w:val="32"/>
          <w:szCs w:val="32"/>
        </w:rPr>
        <w:t>，应当</w:t>
      </w:r>
      <w:r>
        <w:rPr>
          <w:rFonts w:ascii="仿宋_GB2312;仿宋" w:hAnsi="仿宋_GB2312;仿宋" w:cs="方正仿宋_GBK;微软雅黑" w:hint="eastAsia" w:eastAsia="仿宋_GB2312;仿宋"/>
          <w:kern w:val="2"/>
          <w:sz w:val="32"/>
          <w:szCs w:val="32"/>
        </w:rPr>
        <w:t>取得其单独同意，并</w:t>
      </w:r>
      <w:r>
        <w:rPr>
          <w:rFonts w:ascii="仿宋_GB2312;仿宋" w:hAnsi="仿宋_GB2312;仿宋" w:cs="方正仿宋_GBK;微软雅黑" w:eastAsia="仿宋_GB2312;仿宋"/>
          <w:kern w:val="2"/>
          <w:sz w:val="32"/>
          <w:szCs w:val="32"/>
        </w:rPr>
        <w:t>进行脱敏处理，采取安全保护措施。</w:t>
      </w:r>
    </w:p>
    <w:p>
      <w:pPr>
        <w:pStyle w:val="Normal"/>
        <w:numPr>
          <w:ilvl w:val="0"/>
          <w:numId w:val="0"/>
        </w:numPr>
        <w:snapToGrid w:val="false"/>
        <w:spacing w:lineRule="exact" w:line="580"/>
        <w:ind w:firstLineChars="200" w:startChars="0" w:start="0" w:endChars="0" w:end="0"/>
        <w:outlineLvl w:val="2"/>
        <w:rPr>
          <w:rFonts w:ascii="仿宋_GB2312;仿宋" w:hAnsi="仿宋_GB2312;仿宋" w:eastAsia="仿宋_GB2312;仿宋" w:cs="方正仿宋_GBK;微软雅黑" w:hint="eastAsia"/>
          <w:kern w:val="2"/>
          <w:sz w:val="32"/>
          <w:szCs w:val="32"/>
        </w:rPr>
      </w:pPr>
      <w:r>
        <w:rPr>
          <w:rFonts w:ascii="仿宋_GB2312;仿宋" w:hAnsi="仿宋_GB2312;仿宋" w:cs="方正仿宋_GBK;微软雅黑" w:hint="eastAsia" w:eastAsia="仿宋_GB2312;仿宋"/>
          <w:kern w:val="2"/>
          <w:sz w:val="32"/>
          <w:szCs w:val="32"/>
        </w:rPr>
        <w:t>信用主体提出不公开其</w:t>
      </w:r>
      <w:r>
        <w:rPr>
          <w:rFonts w:ascii="仿宋_GB2312;仿宋" w:hAnsi="仿宋_GB2312;仿宋" w:cs="方正仿宋_GBK;微软雅黑" w:eastAsia="仿宋_GB2312;仿宋"/>
          <w:kern w:val="2"/>
          <w:sz w:val="32"/>
          <w:szCs w:val="32"/>
        </w:rPr>
        <w:t>表彰奖励、志愿服务、慈善捐赠</w:t>
      </w:r>
      <w:r>
        <w:rPr>
          <w:rFonts w:ascii="仿宋_GB2312;仿宋" w:hAnsi="仿宋_GB2312;仿宋" w:cs="方正仿宋_GBK;微软雅黑" w:hint="eastAsia" w:eastAsia="仿宋_GB2312;仿宋"/>
          <w:kern w:val="2"/>
          <w:sz w:val="32"/>
          <w:szCs w:val="32"/>
        </w:rPr>
        <w:t>、</w:t>
      </w:r>
      <w:r>
        <w:rPr>
          <w:rFonts w:ascii="仿宋_GB2312;仿宋" w:hAnsi="仿宋_GB2312;仿宋" w:cs="方正仿宋_GBK;微软雅黑" w:eastAsia="仿宋_GB2312;仿宋"/>
          <w:kern w:val="2"/>
          <w:sz w:val="32"/>
          <w:szCs w:val="32"/>
        </w:rPr>
        <w:t>见义勇为等</w:t>
      </w:r>
      <w:r>
        <w:rPr>
          <w:rFonts w:ascii="仿宋_GB2312;仿宋" w:hAnsi="仿宋_GB2312;仿宋" w:cs="方正仿宋_GBK;微软雅黑" w:hint="eastAsia" w:eastAsia="仿宋_GB2312;仿宋"/>
          <w:kern w:val="2"/>
          <w:sz w:val="32"/>
          <w:szCs w:val="32"/>
        </w:rPr>
        <w:t>守信信息的，应当尊重其意愿，不予公开。</w:t>
      </w:r>
    </w:p>
    <w:p>
      <w:pPr>
        <w:pStyle w:val="Normal"/>
        <w:snapToGrid w:val="false"/>
        <w:spacing w:lineRule="exact" w:line="580"/>
        <w:ind w:firstLineChars="200" w:startChars="0" w:start="0" w:endChars="0" w:end="0"/>
        <w:rPr>
          <w:rFonts w:ascii="仿宋_GB2312;仿宋" w:hAnsi="仿宋_GB2312;仿宋" w:eastAsia="仿宋_GB2312;仿宋" w:cs="方正仿宋_GBK;微软雅黑" w:hint="eastAsia"/>
          <w:kern w:val="2"/>
          <w:sz w:val="32"/>
          <w:szCs w:val="32"/>
        </w:rPr>
      </w:pPr>
      <w:r>
        <w:rPr>
          <w:rFonts w:ascii="仿宋_GB2312;仿宋" w:hAnsi="仿宋_GB2312;仿宋" w:cs="方正仿宋_GBK;微软雅黑" w:hint="eastAsia" w:eastAsia="仿宋_GB2312;仿宋"/>
          <w:kern w:val="2"/>
          <w:sz w:val="32"/>
          <w:szCs w:val="32"/>
        </w:rPr>
        <w:t>国家机关以及法律、法规授权的具有管理公共事务职能的组织不得超出履行职责的范围使用或者擅自公开通过政务共享、依职权查询获得的公共信用信息。</w:t>
      </w:r>
    </w:p>
    <w:p>
      <w:pPr>
        <w:pStyle w:val="Normal"/>
        <w:numPr>
          <w:ilvl w:val="0"/>
          <w:numId w:val="0"/>
        </w:numPr>
        <w:snapToGrid w:val="false"/>
        <w:spacing w:lineRule="exact" w:line="580"/>
        <w:ind w:firstLineChars="200" w:startChars="0" w:start="0" w:endChars="0" w:end="0"/>
        <w:outlineLvl w:val="2"/>
        <w:rPr>
          <w:rFonts w:ascii="仿宋_GB2312;仿宋" w:hAnsi="仿宋_GB2312;仿宋" w:eastAsia="仿宋_GB2312;仿宋" w:cs="方正仿宋_GBK;微软雅黑" w:hint="eastAsia"/>
          <w:kern w:val="2"/>
          <w:sz w:val="32"/>
          <w:szCs w:val="32"/>
        </w:rPr>
      </w:pPr>
      <w:bookmarkStart w:id="7" w:name="tiao_40_kuan_2"/>
      <w:bookmarkEnd w:id="7"/>
      <w:r>
        <w:rPr>
          <w:rFonts w:ascii="黑体" w:hAnsi="黑体" w:cs="方正仿宋_GBK;微软雅黑" w:hint="eastAsia" w:eastAsia="黑体"/>
          <w:kern w:val="2"/>
          <w:sz w:val="32"/>
          <w:szCs w:val="32"/>
        </w:rPr>
        <w:t>第二十六条</w:t>
      </w:r>
      <w:r>
        <w:rPr>
          <w:rFonts w:ascii="仿宋_GB2312;仿宋" w:hAnsi="仿宋_GB2312;仿宋" w:cs="方正仿宋_GBK;微软雅黑" w:hint="eastAsia" w:eastAsia="仿宋_GB2312;仿宋"/>
          <w:kern w:val="2"/>
          <w:sz w:val="32"/>
          <w:szCs w:val="32"/>
        </w:rPr>
        <w:t xml:space="preserve">  市场信用信息可以通过依法公开、信用主体主动公开、市场信用信息采集单位依法提供或者与信用主体约定的其他方式披露。 </w:t>
      </w:r>
    </w:p>
    <w:p>
      <w:pPr>
        <w:pStyle w:val="Normal"/>
        <w:numPr>
          <w:ilvl w:val="0"/>
          <w:numId w:val="0"/>
        </w:numPr>
        <w:snapToGrid w:val="false"/>
        <w:spacing w:lineRule="exact" w:line="580"/>
        <w:ind w:firstLineChars="200" w:startChars="0" w:start="0" w:endChars="0" w:end="0"/>
        <w:outlineLvl w:val="2"/>
        <w:rPr>
          <w:rFonts w:ascii="仿宋_GB2312;仿宋" w:hAnsi="仿宋_GB2312;仿宋" w:eastAsia="仿宋_GB2312;仿宋" w:cs="方正仿宋_GBK;微软雅黑" w:hint="eastAsia"/>
          <w:kern w:val="2"/>
          <w:sz w:val="32"/>
          <w:szCs w:val="32"/>
        </w:rPr>
      </w:pPr>
      <w:r>
        <w:rPr>
          <w:rFonts w:ascii="黑体" w:hAnsi="黑体" w:cs="方正仿宋_GBK;微软雅黑" w:hint="eastAsia" w:eastAsia="黑体"/>
          <w:kern w:val="2"/>
          <w:sz w:val="32"/>
          <w:szCs w:val="32"/>
        </w:rPr>
        <w:t>第二十七条</w:t>
      </w:r>
      <w:r>
        <w:rPr>
          <w:rFonts w:ascii="仿宋_GB2312;仿宋" w:hAnsi="仿宋_GB2312;仿宋" w:cs="方正仿宋_GBK;微软雅黑" w:hint="eastAsia" w:eastAsia="仿宋_GB2312;仿宋"/>
          <w:kern w:val="2"/>
          <w:sz w:val="32"/>
          <w:szCs w:val="32"/>
        </w:rPr>
        <w:t xml:space="preserve">  失信信息披露期限最长不得超过五年，</w:t>
      </w:r>
      <w:r>
        <w:rPr>
          <w:rFonts w:ascii="仿宋_GB2312;仿宋" w:hAnsi="仿宋_GB2312;仿宋" w:cs="方正仿宋_GBK;微软雅黑" w:eastAsia="仿宋_GB2312;仿宋"/>
          <w:kern w:val="2"/>
          <w:sz w:val="32"/>
          <w:szCs w:val="32"/>
        </w:rPr>
        <w:t>自失信行为认定之日起计算</w:t>
      </w:r>
      <w:r>
        <w:rPr>
          <w:rFonts w:ascii="仿宋_GB2312;仿宋" w:hAnsi="仿宋_GB2312;仿宋" w:cs="方正仿宋_GBK;微软雅黑" w:hint="eastAsia" w:eastAsia="仿宋_GB2312;仿宋"/>
          <w:kern w:val="2"/>
          <w:sz w:val="32"/>
          <w:szCs w:val="32"/>
        </w:rPr>
        <w:t>，</w:t>
      </w:r>
      <w:r>
        <w:rPr>
          <w:rFonts w:ascii="仿宋_GB2312;仿宋" w:hAnsi="仿宋_GB2312;仿宋" w:cs="方正仿宋_GBK;微软雅黑" w:eastAsia="仿宋_GB2312;仿宋"/>
          <w:kern w:val="2"/>
          <w:sz w:val="32"/>
          <w:szCs w:val="32"/>
        </w:rPr>
        <w:t>失信行为处于持续状态的，自失信行为终止之日起</w:t>
      </w:r>
      <w:r>
        <w:rPr>
          <w:rFonts w:ascii="仿宋_GB2312;仿宋" w:hAnsi="仿宋_GB2312;仿宋" w:cs="方正仿宋_GBK;微软雅黑" w:hint="eastAsia" w:eastAsia="仿宋_GB2312;仿宋"/>
          <w:kern w:val="2"/>
          <w:sz w:val="32"/>
          <w:szCs w:val="32"/>
        </w:rPr>
        <w:t>计算。信用主体被列入严重失信主体名单，其失信信息披露期限届满因故仍未被移出名单的，失信信息披露期限延长至被移出名单之日。法律、法规或者国家另有规定的，从其规定。</w:t>
      </w:r>
    </w:p>
    <w:p>
      <w:pPr>
        <w:pStyle w:val="Normal"/>
        <w:snapToGrid w:val="false"/>
        <w:spacing w:lineRule="exact" w:line="580"/>
        <w:ind w:firstLineChars="200" w:startChars="0" w:start="0" w:endChars="0" w:end="0"/>
        <w:rPr>
          <w:rFonts w:ascii="仿宋_GB2312;仿宋" w:hAnsi="仿宋_GB2312;仿宋" w:eastAsia="仿宋_GB2312;仿宋" w:cs="方正仿宋_GBK;微软雅黑" w:hint="eastAsia"/>
          <w:kern w:val="2"/>
          <w:sz w:val="32"/>
          <w:szCs w:val="32"/>
        </w:rPr>
      </w:pPr>
      <w:r>
        <w:rPr>
          <w:rFonts w:ascii="仿宋_GB2312;仿宋" w:hAnsi="仿宋_GB2312;仿宋" w:cs="方正仿宋_GBK;微软雅黑" w:hint="eastAsia" w:eastAsia="仿宋_GB2312;仿宋"/>
          <w:kern w:val="2"/>
          <w:sz w:val="32"/>
          <w:szCs w:val="32"/>
        </w:rPr>
        <w:t>失信信息披露期限届满，自治区、设区的市人民政府发展改革部门确定的公共信用信息工作机构、公共信用信息提供单位、信用服务机构等应当将该失信信息从公开和查询界面删除，不得继续对外公示、提供查询服务，不再将其作为对信用主体进行信用评价的依据。</w:t>
      </w:r>
    </w:p>
    <w:p>
      <w:pPr>
        <w:pStyle w:val="Normal"/>
        <w:numPr>
          <w:ilvl w:val="0"/>
          <w:numId w:val="0"/>
        </w:numPr>
        <w:snapToGrid w:val="false"/>
        <w:spacing w:lineRule="exact" w:line="580"/>
        <w:ind w:firstLineChars="200" w:startChars="0" w:start="0" w:endChars="0" w:end="0"/>
        <w:outlineLvl w:val="2"/>
        <w:rPr>
          <w:rFonts w:ascii="仿宋_GB2312;仿宋" w:hAnsi="仿宋_GB2312;仿宋" w:eastAsia="仿宋_GB2312;仿宋" w:cs="方正仿宋_GBK;微软雅黑" w:hint="eastAsia"/>
          <w:kern w:val="2"/>
          <w:sz w:val="32"/>
          <w:szCs w:val="32"/>
          <w:bdr w:val="single" w:sz="4" w:space="0" w:color="000000"/>
        </w:rPr>
      </w:pPr>
      <w:bookmarkStart w:id="8" w:name="tiao_38_kuan_2"/>
      <w:bookmarkEnd w:id="8"/>
      <w:r>
        <w:rPr>
          <w:rFonts w:ascii="黑体" w:hAnsi="黑体" w:cs="方正仿宋_GBK;微软雅黑" w:hint="eastAsia" w:eastAsia="黑体"/>
          <w:kern w:val="2"/>
          <w:sz w:val="32"/>
          <w:szCs w:val="32"/>
        </w:rPr>
        <w:t>第二十八条</w:t>
      </w:r>
      <w:r>
        <w:rPr>
          <w:rFonts w:ascii="楷体_GB2312;楷体" w:hAnsi="楷体_GB2312;楷体" w:cs="方正仿宋_GBK;微软雅黑" w:hint="eastAsia" w:eastAsia="楷体_GB2312;楷体"/>
          <w:kern w:val="2"/>
          <w:sz w:val="32"/>
          <w:szCs w:val="32"/>
        </w:rPr>
        <w:t xml:space="preserve">  </w:t>
      </w:r>
      <w:r>
        <w:rPr>
          <w:rFonts w:ascii="仿宋_GB2312;仿宋" w:hAnsi="仿宋_GB2312;仿宋" w:cs="方正仿宋_GBK;微软雅黑" w:hint="eastAsia" w:eastAsia="仿宋_GB2312;仿宋"/>
          <w:kern w:val="2"/>
          <w:sz w:val="32"/>
          <w:szCs w:val="32"/>
        </w:rPr>
        <w:t>国家机关以及法律、法规授权的具有管理公共事务职能的组织等可以根据履行职责的需要，在下列工作和活动中依法应用信用信息：</w:t>
      </w:r>
    </w:p>
    <w:p>
      <w:pPr>
        <w:pStyle w:val="Normal"/>
        <w:snapToGrid w:val="false"/>
        <w:spacing w:lineRule="exact" w:line="580"/>
        <w:ind w:firstLineChars="200" w:startChars="0" w:start="0" w:endChars="0" w:end="0"/>
        <w:rPr>
          <w:rFonts w:ascii="仿宋_GB2312;仿宋" w:hAnsi="仿宋_GB2312;仿宋" w:eastAsia="仿宋_GB2312;仿宋" w:cs="方正仿宋_GBK;微软雅黑" w:hint="eastAsia"/>
          <w:kern w:val="2"/>
          <w:sz w:val="32"/>
          <w:szCs w:val="32"/>
        </w:rPr>
      </w:pPr>
      <w:r>
        <w:rPr>
          <w:rFonts w:ascii="仿宋_GB2312;仿宋" w:hAnsi="仿宋_GB2312;仿宋" w:cs="方正仿宋_GBK;微软雅黑" w:hint="eastAsia" w:eastAsia="仿宋_GB2312;仿宋"/>
          <w:kern w:val="2"/>
          <w:sz w:val="32"/>
          <w:szCs w:val="32"/>
        </w:rPr>
        <w:t>（一）行政许可、行政检查、监督抽验和行政处罚；</w:t>
      </w:r>
    </w:p>
    <w:p>
      <w:pPr>
        <w:pStyle w:val="Normal"/>
        <w:numPr>
          <w:ilvl w:val="0"/>
          <w:numId w:val="0"/>
        </w:numPr>
        <w:snapToGrid w:val="false"/>
        <w:spacing w:lineRule="exact" w:line="580"/>
        <w:ind w:firstLineChars="200" w:startChars="0" w:start="0" w:endChars="0" w:end="0"/>
        <w:outlineLvl w:val="2"/>
        <w:rPr>
          <w:rFonts w:ascii="仿宋_GB2312;仿宋" w:hAnsi="仿宋_GB2312;仿宋" w:eastAsia="仿宋_GB2312;仿宋" w:cs="方正仿宋_GBK;微软雅黑" w:hint="eastAsia"/>
          <w:kern w:val="2"/>
          <w:sz w:val="32"/>
          <w:szCs w:val="32"/>
        </w:rPr>
      </w:pPr>
      <w:r>
        <w:rPr>
          <w:rFonts w:ascii="仿宋_GB2312;仿宋" w:hAnsi="仿宋_GB2312;仿宋" w:cs="方正仿宋_GBK;微软雅黑" w:hint="eastAsia" w:eastAsia="仿宋_GB2312;仿宋"/>
          <w:kern w:val="2"/>
          <w:sz w:val="32"/>
          <w:szCs w:val="32"/>
        </w:rPr>
        <w:t>（二）政府采购、招标投标、国有土地使用权和矿业权出让、转让等公共资源交易活动，财政性资金和项目支持、科研项目管理、审计；</w:t>
      </w:r>
    </w:p>
    <w:p>
      <w:pPr>
        <w:pStyle w:val="Normal"/>
        <w:numPr>
          <w:ilvl w:val="0"/>
          <w:numId w:val="0"/>
        </w:numPr>
        <w:snapToGrid w:val="false"/>
        <w:spacing w:lineRule="exact" w:line="580"/>
        <w:ind w:firstLineChars="200" w:startChars="0" w:start="0" w:endChars="0" w:end="0"/>
        <w:outlineLvl w:val="2"/>
        <w:rPr>
          <w:rFonts w:ascii="仿宋_GB2312;仿宋" w:hAnsi="仿宋_GB2312;仿宋" w:eastAsia="仿宋_GB2312;仿宋" w:cs="方正仿宋_GBK;微软雅黑" w:hint="eastAsia"/>
          <w:kern w:val="2"/>
          <w:sz w:val="32"/>
          <w:szCs w:val="32"/>
        </w:rPr>
      </w:pPr>
      <w:r>
        <w:rPr>
          <w:rFonts w:ascii="仿宋_GB2312;仿宋" w:hAnsi="仿宋_GB2312;仿宋" w:cs="方正仿宋_GBK;微软雅黑" w:hint="eastAsia" w:eastAsia="仿宋_GB2312;仿宋"/>
          <w:kern w:val="2"/>
          <w:sz w:val="32"/>
          <w:szCs w:val="32"/>
        </w:rPr>
        <w:t>（三）公职人员录用、聘用、调任以及职务职级确定、晋升；</w:t>
      </w:r>
    </w:p>
    <w:p>
      <w:pPr>
        <w:pStyle w:val="Normal"/>
        <w:numPr>
          <w:ilvl w:val="0"/>
          <w:numId w:val="0"/>
        </w:numPr>
        <w:snapToGrid w:val="false"/>
        <w:spacing w:lineRule="exact" w:line="580"/>
        <w:ind w:firstLineChars="200" w:startChars="0" w:start="0" w:endChars="0" w:end="0"/>
        <w:outlineLvl w:val="2"/>
        <w:rPr>
          <w:rFonts w:ascii="仿宋_GB2312;仿宋" w:hAnsi="仿宋_GB2312;仿宋" w:eastAsia="仿宋_GB2312;仿宋" w:cs="方正仿宋_GBK;微软雅黑" w:hint="eastAsia"/>
          <w:kern w:val="2"/>
          <w:sz w:val="32"/>
          <w:szCs w:val="32"/>
        </w:rPr>
      </w:pPr>
      <w:r>
        <w:rPr>
          <w:rFonts w:ascii="仿宋_GB2312;仿宋" w:hAnsi="仿宋_GB2312;仿宋" w:cs="方正仿宋_GBK;微软雅黑" w:hint="eastAsia" w:eastAsia="仿宋_GB2312;仿宋"/>
          <w:kern w:val="2"/>
          <w:sz w:val="32"/>
          <w:szCs w:val="32"/>
        </w:rPr>
        <w:t>（四）人才引进、评优评先；</w:t>
      </w:r>
    </w:p>
    <w:p>
      <w:pPr>
        <w:pStyle w:val="Normal"/>
        <w:numPr>
          <w:ilvl w:val="0"/>
          <w:numId w:val="0"/>
        </w:numPr>
        <w:snapToGrid w:val="false"/>
        <w:spacing w:lineRule="exact" w:line="580"/>
        <w:ind w:firstLineChars="200" w:startChars="0" w:start="0" w:endChars="0" w:end="0"/>
        <w:outlineLvl w:val="2"/>
        <w:rPr>
          <w:rFonts w:ascii="仿宋_GB2312;仿宋" w:hAnsi="仿宋_GB2312;仿宋" w:eastAsia="仿宋_GB2312;仿宋" w:cs="方正仿宋_GBK;微软雅黑" w:hint="eastAsia"/>
          <w:kern w:val="2"/>
          <w:sz w:val="32"/>
          <w:szCs w:val="32"/>
        </w:rPr>
      </w:pPr>
      <w:r>
        <w:rPr>
          <w:rFonts w:ascii="仿宋_GB2312;仿宋" w:hAnsi="仿宋_GB2312;仿宋" w:cs="方正仿宋_GBK;微软雅黑" w:hint="eastAsia" w:eastAsia="仿宋_GB2312;仿宋"/>
          <w:kern w:val="2"/>
          <w:sz w:val="32"/>
          <w:szCs w:val="32"/>
        </w:rPr>
        <w:t>（五）其他需要按照规定应用信用信息的。</w:t>
      </w:r>
    </w:p>
    <w:p>
      <w:pPr>
        <w:pStyle w:val="Normal"/>
        <w:numPr>
          <w:ilvl w:val="0"/>
          <w:numId w:val="0"/>
        </w:numPr>
        <w:snapToGrid w:val="false"/>
        <w:spacing w:lineRule="exact" w:line="580"/>
        <w:ind w:firstLineChars="200" w:startChars="0" w:start="0" w:endChars="0" w:end="0"/>
        <w:outlineLvl w:val="2"/>
        <w:rPr>
          <w:rFonts w:ascii="仿宋_GB2312;仿宋" w:hAnsi="仿宋_GB2312;仿宋" w:eastAsia="仿宋_GB2312;仿宋" w:cs="方正仿宋_GBK;微软雅黑" w:hint="eastAsia"/>
          <w:kern w:val="2"/>
          <w:sz w:val="32"/>
          <w:szCs w:val="32"/>
        </w:rPr>
      </w:pPr>
      <w:r>
        <w:rPr>
          <w:rFonts w:ascii="仿宋_GB2312;仿宋" w:hAnsi="仿宋_GB2312;仿宋" w:cs="方正仿宋_GBK;微软雅黑" w:hint="eastAsia" w:eastAsia="仿宋_GB2312;仿宋"/>
          <w:kern w:val="2"/>
          <w:sz w:val="32"/>
          <w:szCs w:val="32"/>
        </w:rPr>
        <w:t>鼓励县级人民政府和乡镇人民政府、街道办事处等创新应用信用信息加强基层社会治理，提供惠民便民信用服务。</w:t>
      </w:r>
    </w:p>
    <w:p>
      <w:pPr>
        <w:pStyle w:val="Normal"/>
        <w:numPr>
          <w:ilvl w:val="0"/>
          <w:numId w:val="0"/>
        </w:numPr>
        <w:snapToGrid w:val="false"/>
        <w:spacing w:lineRule="exact" w:line="580"/>
        <w:ind w:firstLineChars="200" w:startChars="0" w:start="0" w:endChars="0" w:end="0"/>
        <w:outlineLvl w:val="2"/>
        <w:rPr>
          <w:rFonts w:ascii="仿宋_GB2312;仿宋" w:hAnsi="仿宋_GB2312;仿宋" w:eastAsia="仿宋_GB2312;仿宋" w:cs="方正仿宋_GBK;微软雅黑"/>
          <w:kern w:val="2"/>
          <w:sz w:val="32"/>
          <w:szCs w:val="32"/>
        </w:rPr>
      </w:pPr>
      <w:r>
        <w:rPr>
          <w:rFonts w:ascii="仿宋_GB2312;仿宋" w:hAnsi="仿宋_GB2312;仿宋" w:cs="方正仿宋_GBK;微软雅黑" w:hint="eastAsia" w:eastAsia="仿宋_GB2312;仿宋"/>
          <w:kern w:val="2"/>
          <w:sz w:val="32"/>
          <w:szCs w:val="32"/>
        </w:rPr>
        <w:t>支持信用主体在社会和经济活动中依法应用信用信息。</w:t>
      </w:r>
    </w:p>
    <w:p>
      <w:pPr>
        <w:pStyle w:val="Normal"/>
        <w:numPr>
          <w:ilvl w:val="0"/>
          <w:numId w:val="0"/>
        </w:numPr>
        <w:snapToGrid w:val="false"/>
        <w:spacing w:lineRule="exact" w:line="580"/>
        <w:ind w:firstLineChars="200" w:startChars="0" w:start="0" w:endChars="0" w:end="0"/>
        <w:outlineLvl w:val="2"/>
        <w:rPr>
          <w:rFonts w:ascii="仿宋_GB2312;仿宋" w:hAnsi="仿宋_GB2312;仿宋" w:eastAsia="仿宋_GB2312;仿宋" w:cs="方正仿宋_GBK;微软雅黑" w:hint="eastAsia"/>
          <w:kern w:val="2"/>
          <w:sz w:val="32"/>
          <w:szCs w:val="32"/>
        </w:rPr>
      </w:pPr>
      <w:bookmarkStart w:id="9" w:name="tiao_24_kuan_1_xiang_2"/>
      <w:bookmarkStart w:id="10" w:name="tiao_21_kuan_3"/>
      <w:bookmarkStart w:id="11" w:name="tiao_19_kuan_3"/>
      <w:bookmarkStart w:id="12" w:name="tiao_15_kuan_1_xiang_4"/>
      <w:bookmarkEnd w:id="9"/>
      <w:bookmarkEnd w:id="10"/>
      <w:bookmarkEnd w:id="11"/>
      <w:bookmarkEnd w:id="12"/>
      <w:r>
        <w:rPr>
          <w:rFonts w:ascii="黑体" w:hAnsi="黑体" w:cs="方正仿宋_GBK;微软雅黑" w:hint="eastAsia" w:eastAsia="黑体"/>
          <w:kern w:val="2"/>
          <w:sz w:val="32"/>
          <w:szCs w:val="32"/>
        </w:rPr>
        <w:t>第二十九条</w:t>
      </w:r>
      <w:r>
        <w:rPr>
          <w:rFonts w:ascii="仿宋_GB2312;仿宋" w:hAnsi="仿宋_GB2312;仿宋" w:cs="方正仿宋_GBK;微软雅黑" w:hint="eastAsia" w:eastAsia="仿宋_GB2312;仿宋"/>
          <w:kern w:val="2"/>
          <w:sz w:val="32"/>
          <w:szCs w:val="32"/>
        </w:rPr>
        <w:t xml:space="preserve">  自治区、设区的市人民政府发展改革部门确定的公共信用信息工作机构应当执行全国统一的公共信用报告标准，提供公共信用报告服务，推动信用报告结果异地互认。</w:t>
      </w:r>
    </w:p>
    <w:p>
      <w:pPr>
        <w:pStyle w:val="Normal"/>
        <w:numPr>
          <w:ilvl w:val="0"/>
          <w:numId w:val="0"/>
        </w:numPr>
        <w:snapToGrid w:val="false"/>
        <w:spacing w:lineRule="exact" w:line="580"/>
        <w:ind w:firstLineChars="200" w:startChars="0" w:start="0" w:endChars="0" w:end="0"/>
        <w:outlineLvl w:val="2"/>
        <w:rPr>
          <w:rFonts w:ascii="仿宋_GB2312;仿宋" w:hAnsi="仿宋_GB2312;仿宋" w:eastAsia="仿宋_GB2312;仿宋" w:cs="方正仿宋_GBK;微软雅黑" w:hint="eastAsia"/>
          <w:kern w:val="2"/>
          <w:sz w:val="32"/>
          <w:szCs w:val="32"/>
        </w:rPr>
      </w:pPr>
      <w:r>
        <w:rPr>
          <w:rFonts w:ascii="黑体" w:hAnsi="黑体" w:cs="方正仿宋_GBK;微软雅黑" w:hint="eastAsia" w:eastAsia="黑体"/>
          <w:kern w:val="2"/>
          <w:sz w:val="32"/>
          <w:szCs w:val="32"/>
        </w:rPr>
        <w:t>第三十条</w:t>
      </w:r>
      <w:r>
        <w:rPr>
          <w:rFonts w:ascii="仿宋_GB2312;仿宋" w:hAnsi="仿宋_GB2312;仿宋" w:cs="方正仿宋_GBK;微软雅黑" w:hint="eastAsia" w:eastAsia="仿宋_GB2312;仿宋"/>
          <w:kern w:val="2"/>
          <w:sz w:val="32"/>
          <w:szCs w:val="32"/>
        </w:rPr>
        <w:t xml:space="preserve">  自治区、设区的市人民政府发展改革部门确定的公共信用信息工作机构、公共信用信息提供单位、市场信用信息采集单位等应当履行下列信息安全管理义务：</w:t>
      </w:r>
    </w:p>
    <w:p>
      <w:pPr>
        <w:pStyle w:val="Normal"/>
        <w:numPr>
          <w:ilvl w:val="0"/>
          <w:numId w:val="0"/>
        </w:numPr>
        <w:snapToGrid w:val="false"/>
        <w:spacing w:lineRule="exact" w:line="580"/>
        <w:ind w:firstLineChars="200" w:startChars="0" w:start="0" w:endChars="0" w:end="0"/>
        <w:outlineLvl w:val="2"/>
        <w:rPr>
          <w:rFonts w:ascii="仿宋_GB2312;仿宋" w:hAnsi="仿宋_GB2312;仿宋" w:eastAsia="仿宋_GB2312;仿宋" w:cs="方正仿宋_GBK;微软雅黑" w:hint="eastAsia"/>
          <w:kern w:val="2"/>
          <w:sz w:val="32"/>
          <w:szCs w:val="32"/>
        </w:rPr>
      </w:pPr>
      <w:r>
        <w:rPr>
          <w:rFonts w:ascii="仿宋_GB2312;仿宋" w:hAnsi="仿宋_GB2312;仿宋" w:cs="方正仿宋_GBK;微软雅黑" w:hint="eastAsia" w:eastAsia="仿宋_GB2312;仿宋"/>
          <w:kern w:val="2"/>
          <w:sz w:val="32"/>
          <w:szCs w:val="32"/>
        </w:rPr>
        <w:t>（一）建立健全信息安全管理制度和应急处理机制，确定责任人员；</w:t>
      </w:r>
    </w:p>
    <w:p>
      <w:pPr>
        <w:pStyle w:val="Normal"/>
        <w:numPr>
          <w:ilvl w:val="0"/>
          <w:numId w:val="0"/>
        </w:numPr>
        <w:snapToGrid w:val="false"/>
        <w:spacing w:lineRule="exact" w:line="580"/>
        <w:ind w:firstLineChars="200" w:startChars="0" w:start="0" w:endChars="0" w:end="0"/>
        <w:outlineLvl w:val="2"/>
        <w:rPr>
          <w:rFonts w:ascii="仿宋_GB2312;仿宋" w:hAnsi="仿宋_GB2312;仿宋" w:eastAsia="仿宋_GB2312;仿宋" w:cs="方正仿宋_GBK;微软雅黑" w:hint="eastAsia"/>
          <w:kern w:val="2"/>
          <w:sz w:val="32"/>
          <w:szCs w:val="32"/>
        </w:rPr>
      </w:pPr>
      <w:r>
        <w:rPr>
          <w:rFonts w:ascii="仿宋_GB2312;仿宋" w:hAnsi="仿宋_GB2312;仿宋" w:cs="方正仿宋_GBK;微软雅黑" w:hint="eastAsia" w:eastAsia="仿宋_GB2312;仿宋"/>
          <w:kern w:val="2"/>
          <w:sz w:val="32"/>
          <w:szCs w:val="32"/>
        </w:rPr>
        <w:t>（二）建立健全信息查询制度规范，明确本单位工作人员的查询权限和程序；</w:t>
      </w:r>
    </w:p>
    <w:p>
      <w:pPr>
        <w:pStyle w:val="Normal"/>
        <w:numPr>
          <w:ilvl w:val="0"/>
          <w:numId w:val="0"/>
        </w:numPr>
        <w:snapToGrid w:val="false"/>
        <w:spacing w:lineRule="exact" w:line="580"/>
        <w:ind w:firstLineChars="200" w:startChars="0" w:start="0" w:endChars="0" w:end="0"/>
        <w:outlineLvl w:val="2"/>
        <w:rPr>
          <w:rFonts w:ascii="仿宋_GB2312;仿宋" w:hAnsi="仿宋_GB2312;仿宋" w:eastAsia="仿宋_GB2312;仿宋" w:cs="方正仿宋_GBK;微软雅黑" w:hint="eastAsia"/>
          <w:kern w:val="2"/>
          <w:sz w:val="32"/>
          <w:szCs w:val="32"/>
        </w:rPr>
      </w:pPr>
      <w:r>
        <w:rPr>
          <w:rFonts w:ascii="仿宋_GB2312;仿宋" w:hAnsi="仿宋_GB2312;仿宋" w:cs="方正仿宋_GBK;微软雅黑" w:hint="eastAsia" w:eastAsia="仿宋_GB2312;仿宋"/>
          <w:kern w:val="2"/>
          <w:sz w:val="32"/>
          <w:szCs w:val="32"/>
        </w:rPr>
        <w:t>（三）建立健全信息管理安全措施和保密审查制度；</w:t>
      </w:r>
    </w:p>
    <w:p>
      <w:pPr>
        <w:pStyle w:val="Normal"/>
        <w:numPr>
          <w:ilvl w:val="0"/>
          <w:numId w:val="0"/>
        </w:numPr>
        <w:snapToGrid w:val="false"/>
        <w:spacing w:lineRule="exact" w:line="580"/>
        <w:ind w:firstLineChars="200" w:startChars="0" w:start="0" w:endChars="0" w:end="0"/>
        <w:outlineLvl w:val="2"/>
        <w:rPr>
          <w:rFonts w:ascii="仿宋_GB2312;仿宋" w:hAnsi="仿宋_GB2312;仿宋" w:eastAsia="仿宋_GB2312;仿宋" w:cs="方正仿宋_GBK;微软雅黑" w:hint="eastAsia"/>
          <w:kern w:val="2"/>
          <w:sz w:val="32"/>
          <w:szCs w:val="32"/>
        </w:rPr>
      </w:pPr>
      <w:r>
        <w:rPr>
          <w:rFonts w:ascii="仿宋_GB2312;仿宋" w:hAnsi="仿宋_GB2312;仿宋" w:cs="方正仿宋_GBK;微软雅黑" w:hint="eastAsia" w:eastAsia="仿宋_GB2312;仿宋"/>
          <w:kern w:val="2"/>
          <w:sz w:val="32"/>
          <w:szCs w:val="32"/>
        </w:rPr>
        <w:t>（四）遵守国家和自治区有关信息安全的其他规定。</w:t>
      </w:r>
    </w:p>
    <w:p>
      <w:pPr>
        <w:pStyle w:val="Normal"/>
        <w:numPr>
          <w:ilvl w:val="0"/>
          <w:numId w:val="0"/>
        </w:numPr>
        <w:snapToGrid w:val="false"/>
        <w:spacing w:lineRule="exact" w:line="580"/>
        <w:ind w:firstLineChars="200" w:startChars="0" w:start="0" w:endChars="0" w:end="0"/>
        <w:outlineLvl w:val="2"/>
        <w:rPr>
          <w:rFonts w:ascii="仿宋_GB2312;仿宋" w:hAnsi="仿宋_GB2312;仿宋" w:eastAsia="仿宋_GB2312;仿宋" w:cs="方正仿宋_GBK;微软雅黑" w:hint="eastAsia"/>
          <w:kern w:val="2"/>
          <w:sz w:val="32"/>
          <w:szCs w:val="32"/>
        </w:rPr>
      </w:pPr>
      <w:r>
        <w:rPr>
          <w:rFonts w:ascii="仿宋_GB2312;仿宋" w:hAnsi="仿宋_GB2312;仿宋" w:cs="方正仿宋_GBK;微软雅黑" w:hint="eastAsia" w:eastAsia="仿宋_GB2312;仿宋"/>
          <w:kern w:val="2"/>
          <w:sz w:val="32"/>
          <w:szCs w:val="32"/>
        </w:rPr>
        <w:t>信用信息共享平台应当符合国家网络安全以及信息安全等级保护要求，保障信用信息系统正常运行和信用信息安全。</w:t>
      </w:r>
    </w:p>
    <w:p>
      <w:pPr>
        <w:pStyle w:val="Normal"/>
        <w:numPr>
          <w:ilvl w:val="0"/>
          <w:numId w:val="0"/>
        </w:numPr>
        <w:snapToGrid w:val="false"/>
        <w:spacing w:lineRule="exact" w:line="580"/>
        <w:ind w:firstLineChars="200" w:startChars="0" w:start="0" w:endChars="0" w:end="0"/>
        <w:outlineLvl w:val="2"/>
        <w:rPr>
          <w:rFonts w:ascii="仿宋_GB2312;仿宋" w:hAnsi="仿宋_GB2312;仿宋" w:eastAsia="仿宋_GB2312;仿宋" w:cs="方正仿宋_GBK;微软雅黑"/>
          <w:kern w:val="2"/>
          <w:sz w:val="32"/>
          <w:szCs w:val="32"/>
        </w:rPr>
      </w:pPr>
      <w:bookmarkStart w:id="13" w:name="tiao_51_kuan_1_xiang_1"/>
      <w:bookmarkEnd w:id="13"/>
      <w:r>
        <w:rPr>
          <w:rFonts w:ascii="黑体" w:hAnsi="黑体" w:cs="方正仿宋_GBK;微软雅黑" w:eastAsia="黑体"/>
          <w:kern w:val="2"/>
          <w:sz w:val="32"/>
          <w:szCs w:val="32"/>
        </w:rPr>
        <w:t>第</w:t>
      </w:r>
      <w:r>
        <w:rPr>
          <w:rFonts w:ascii="黑体" w:hAnsi="黑体" w:cs="方正仿宋_GBK;微软雅黑" w:hint="eastAsia" w:eastAsia="黑体"/>
          <w:kern w:val="2"/>
          <w:sz w:val="32"/>
          <w:szCs w:val="32"/>
        </w:rPr>
        <w:t>三十一</w:t>
      </w:r>
      <w:r>
        <w:rPr>
          <w:rFonts w:ascii="黑体" w:hAnsi="黑体" w:cs="方正仿宋_GBK;微软雅黑" w:eastAsia="黑体"/>
          <w:kern w:val="2"/>
          <w:sz w:val="32"/>
          <w:szCs w:val="32"/>
        </w:rPr>
        <w:t>条</w:t>
      </w:r>
      <w:bookmarkStart w:id="14" w:name="tiao_28_kuan_1"/>
      <w:bookmarkEnd w:id="14"/>
      <w:r>
        <w:rPr>
          <w:rFonts w:ascii="黑体" w:hAnsi="黑体" w:cs="方正仿宋_GBK;微软雅黑" w:eastAsia="黑体"/>
          <w:kern w:val="2"/>
          <w:sz w:val="32"/>
          <w:szCs w:val="32"/>
        </w:rPr>
        <w:t>　</w:t>
      </w:r>
      <w:r>
        <w:rPr>
          <w:rFonts w:ascii="仿宋_GB2312;仿宋" w:hAnsi="仿宋_GB2312;仿宋" w:cs="方正仿宋_GBK;微软雅黑" w:eastAsia="仿宋_GB2312;仿宋"/>
          <w:kern w:val="2"/>
          <w:sz w:val="32"/>
          <w:szCs w:val="32"/>
        </w:rPr>
        <w:t>任何</w:t>
      </w:r>
      <w:r>
        <w:rPr>
          <w:rFonts w:ascii="仿宋_GB2312;仿宋" w:hAnsi="仿宋_GB2312;仿宋" w:cs="方正仿宋_GBK;微软雅黑" w:hint="eastAsia" w:eastAsia="仿宋_GB2312;仿宋"/>
          <w:kern w:val="2"/>
          <w:sz w:val="32"/>
          <w:szCs w:val="32"/>
        </w:rPr>
        <w:t>单位</w:t>
      </w:r>
      <w:r>
        <w:rPr>
          <w:rFonts w:ascii="仿宋_GB2312;仿宋" w:hAnsi="仿宋_GB2312;仿宋" w:cs="方正仿宋_GBK;微软雅黑" w:eastAsia="仿宋_GB2312;仿宋"/>
          <w:kern w:val="2"/>
          <w:sz w:val="32"/>
          <w:szCs w:val="32"/>
        </w:rPr>
        <w:t>和个人不得实施</w:t>
      </w:r>
      <w:r>
        <w:rPr>
          <w:rFonts w:ascii="仿宋_GB2312;仿宋" w:hAnsi="仿宋_GB2312;仿宋" w:cs="方正仿宋_GBK;微软雅黑" w:hint="eastAsia" w:eastAsia="仿宋_GB2312;仿宋"/>
          <w:kern w:val="2"/>
          <w:sz w:val="32"/>
          <w:szCs w:val="32"/>
        </w:rPr>
        <w:t>下列危害信用信息安全的</w:t>
      </w:r>
      <w:r>
        <w:rPr>
          <w:rFonts w:ascii="仿宋_GB2312;仿宋" w:hAnsi="仿宋_GB2312;仿宋" w:cs="方正仿宋_GBK;微软雅黑" w:eastAsia="仿宋_GB2312;仿宋"/>
          <w:kern w:val="2"/>
          <w:sz w:val="32"/>
          <w:szCs w:val="32"/>
        </w:rPr>
        <w:t>行为：</w:t>
      </w:r>
    </w:p>
    <w:p>
      <w:pPr>
        <w:pStyle w:val="Normal"/>
        <w:numPr>
          <w:ilvl w:val="0"/>
          <w:numId w:val="0"/>
        </w:numPr>
        <w:snapToGrid w:val="false"/>
        <w:spacing w:lineRule="exact" w:line="580"/>
        <w:ind w:firstLineChars="200" w:startChars="0" w:start="0" w:endChars="0" w:end="0"/>
        <w:outlineLvl w:val="2"/>
        <w:rPr>
          <w:rFonts w:ascii="仿宋_GB2312;仿宋" w:hAnsi="仿宋_GB2312;仿宋" w:eastAsia="仿宋_GB2312;仿宋" w:cs="方正仿宋_GBK;微软雅黑"/>
          <w:kern w:val="2"/>
          <w:sz w:val="32"/>
          <w:szCs w:val="32"/>
        </w:rPr>
      </w:pPr>
      <w:bookmarkStart w:id="15" w:name="tiao_28_kuan_1_xiang_1"/>
      <w:bookmarkEnd w:id="15"/>
      <w:r>
        <w:rPr>
          <w:rFonts w:ascii="仿宋_GB2312;仿宋" w:hAnsi="仿宋_GB2312;仿宋" w:cs="方正仿宋_GBK;微软雅黑" w:eastAsia="仿宋_GB2312;仿宋"/>
          <w:kern w:val="2"/>
          <w:sz w:val="32"/>
          <w:szCs w:val="32"/>
        </w:rPr>
        <w:t>（一）越权查询信用信息；</w:t>
      </w:r>
    </w:p>
    <w:p>
      <w:pPr>
        <w:pStyle w:val="Normal"/>
        <w:numPr>
          <w:ilvl w:val="0"/>
          <w:numId w:val="0"/>
        </w:numPr>
        <w:snapToGrid w:val="false"/>
        <w:spacing w:lineRule="exact" w:line="580"/>
        <w:ind w:firstLineChars="200" w:startChars="0" w:start="0" w:endChars="0" w:end="0"/>
        <w:outlineLvl w:val="2"/>
        <w:rPr>
          <w:rFonts w:ascii="仿宋_GB2312;仿宋" w:hAnsi="仿宋_GB2312;仿宋" w:eastAsia="仿宋_GB2312;仿宋" w:cs="方正仿宋_GBK;微软雅黑"/>
          <w:kern w:val="2"/>
          <w:sz w:val="32"/>
          <w:szCs w:val="32"/>
        </w:rPr>
      </w:pPr>
      <w:bookmarkStart w:id="16" w:name="tiao_28_kuan_1_xiang_2"/>
      <w:bookmarkEnd w:id="16"/>
      <w:r>
        <w:rPr>
          <w:rFonts w:ascii="仿宋_GB2312;仿宋" w:hAnsi="仿宋_GB2312;仿宋" w:cs="方正仿宋_GBK;微软雅黑" w:eastAsia="仿宋_GB2312;仿宋"/>
          <w:kern w:val="2"/>
          <w:sz w:val="32"/>
          <w:szCs w:val="32"/>
        </w:rPr>
        <w:t>（二）窃取、篡改、虚构、隐匿、违规删除信用信息；</w:t>
      </w:r>
    </w:p>
    <w:p>
      <w:pPr>
        <w:pStyle w:val="Normal"/>
        <w:numPr>
          <w:ilvl w:val="0"/>
          <w:numId w:val="0"/>
        </w:numPr>
        <w:snapToGrid w:val="false"/>
        <w:spacing w:lineRule="exact" w:line="580"/>
        <w:ind w:firstLineChars="200" w:startChars="0" w:start="0" w:endChars="0" w:end="0"/>
        <w:outlineLvl w:val="2"/>
        <w:rPr>
          <w:rFonts w:ascii="仿宋_GB2312;仿宋" w:hAnsi="仿宋_GB2312;仿宋" w:eastAsia="仿宋_GB2312;仿宋" w:cs="方正仿宋_GBK;微软雅黑"/>
          <w:kern w:val="2"/>
          <w:sz w:val="32"/>
          <w:szCs w:val="32"/>
        </w:rPr>
      </w:pPr>
      <w:bookmarkStart w:id="17" w:name="tiao_28_kuan_1_xiang_3"/>
      <w:bookmarkEnd w:id="17"/>
      <w:r>
        <w:rPr>
          <w:rFonts w:ascii="仿宋_GB2312;仿宋" w:hAnsi="仿宋_GB2312;仿宋" w:cs="方正仿宋_GBK;微软雅黑" w:eastAsia="仿宋_GB2312;仿宋"/>
          <w:kern w:val="2"/>
          <w:sz w:val="32"/>
          <w:szCs w:val="32"/>
        </w:rPr>
        <w:t>（三）泄露未经授权公开的信用信息；</w:t>
      </w:r>
    </w:p>
    <w:p>
      <w:pPr>
        <w:pStyle w:val="Normal"/>
        <w:numPr>
          <w:ilvl w:val="0"/>
          <w:numId w:val="0"/>
        </w:numPr>
        <w:snapToGrid w:val="false"/>
        <w:spacing w:lineRule="exact" w:line="580"/>
        <w:ind w:firstLineChars="200" w:startChars="0" w:start="0" w:endChars="0" w:end="0"/>
        <w:outlineLvl w:val="2"/>
        <w:rPr>
          <w:rFonts w:ascii="仿宋_GB2312;仿宋" w:hAnsi="仿宋_GB2312;仿宋" w:eastAsia="仿宋_GB2312;仿宋" w:cs="方正仿宋_GBK;微软雅黑"/>
          <w:kern w:val="2"/>
          <w:sz w:val="32"/>
          <w:szCs w:val="32"/>
        </w:rPr>
      </w:pPr>
      <w:bookmarkStart w:id="18" w:name="tiao_28_kuan_1_xiang_4"/>
      <w:bookmarkEnd w:id="18"/>
      <w:r>
        <w:rPr>
          <w:rFonts w:ascii="仿宋_GB2312;仿宋" w:hAnsi="仿宋_GB2312;仿宋" w:cs="方正仿宋_GBK;微软雅黑" w:eastAsia="仿宋_GB2312;仿宋"/>
          <w:kern w:val="2"/>
          <w:sz w:val="32"/>
          <w:szCs w:val="32"/>
        </w:rPr>
        <w:t>（四）泄露涉及国家秘密、商业秘密</w:t>
      </w:r>
      <w:r>
        <w:rPr>
          <w:rFonts w:ascii="仿宋_GB2312;仿宋" w:hAnsi="仿宋_GB2312;仿宋" w:cs="方正仿宋_GBK;微软雅黑" w:hint="eastAsia" w:eastAsia="仿宋_GB2312;仿宋"/>
          <w:kern w:val="2"/>
          <w:sz w:val="32"/>
          <w:szCs w:val="32"/>
        </w:rPr>
        <w:t>或者</w:t>
      </w:r>
      <w:r>
        <w:rPr>
          <w:rFonts w:ascii="仿宋_GB2312;仿宋" w:hAnsi="仿宋_GB2312;仿宋" w:cs="方正仿宋_GBK;微软雅黑" w:eastAsia="仿宋_GB2312;仿宋"/>
          <w:kern w:val="2"/>
          <w:sz w:val="32"/>
          <w:szCs w:val="32"/>
        </w:rPr>
        <w:t>个人隐私的信用信息；</w:t>
      </w:r>
    </w:p>
    <w:p>
      <w:pPr>
        <w:pStyle w:val="Normal"/>
        <w:numPr>
          <w:ilvl w:val="0"/>
          <w:numId w:val="0"/>
        </w:numPr>
        <w:snapToGrid w:val="false"/>
        <w:spacing w:lineRule="exact" w:line="580"/>
        <w:ind w:firstLineChars="200" w:startChars="0" w:start="0" w:endChars="0" w:end="0"/>
        <w:outlineLvl w:val="2"/>
        <w:rPr>
          <w:rFonts w:ascii="仿宋_GB2312;仿宋" w:hAnsi="仿宋_GB2312;仿宋" w:eastAsia="仿宋_GB2312;仿宋" w:cs="方正仿宋_GBK;微软雅黑"/>
          <w:kern w:val="2"/>
          <w:sz w:val="32"/>
          <w:szCs w:val="32"/>
        </w:rPr>
      </w:pPr>
      <w:bookmarkStart w:id="19" w:name="tiao_28_kuan_1_xiang_5"/>
      <w:bookmarkEnd w:id="19"/>
      <w:r>
        <w:rPr>
          <w:rFonts w:ascii="仿宋_GB2312;仿宋" w:hAnsi="仿宋_GB2312;仿宋" w:cs="方正仿宋_GBK;微软雅黑" w:eastAsia="仿宋_GB2312;仿宋"/>
          <w:kern w:val="2"/>
          <w:sz w:val="32"/>
          <w:szCs w:val="32"/>
        </w:rPr>
        <w:t>（五）违反国家规定获取或者</w:t>
      </w:r>
      <w:r>
        <w:rPr>
          <w:rFonts w:ascii="仿宋_GB2312;仿宋" w:hAnsi="仿宋_GB2312;仿宋" w:cs="方正仿宋_GBK;微软雅黑" w:hint="eastAsia" w:eastAsia="仿宋_GB2312;仿宋"/>
          <w:kern w:val="2"/>
          <w:sz w:val="32"/>
          <w:szCs w:val="32"/>
        </w:rPr>
        <w:t>买卖</w:t>
      </w:r>
      <w:r>
        <w:rPr>
          <w:rFonts w:ascii="仿宋_GB2312;仿宋" w:hAnsi="仿宋_GB2312;仿宋" w:cs="方正仿宋_GBK;微软雅黑" w:eastAsia="仿宋_GB2312;仿宋"/>
          <w:kern w:val="2"/>
          <w:sz w:val="32"/>
          <w:szCs w:val="32"/>
        </w:rPr>
        <w:t>信用信息；</w:t>
      </w:r>
    </w:p>
    <w:p>
      <w:pPr>
        <w:pStyle w:val="Normal"/>
        <w:numPr>
          <w:ilvl w:val="0"/>
          <w:numId w:val="0"/>
        </w:numPr>
        <w:snapToGrid w:val="false"/>
        <w:spacing w:lineRule="exact" w:line="580"/>
        <w:ind w:firstLineChars="200" w:startChars="0" w:start="0" w:endChars="0" w:end="0"/>
        <w:outlineLvl w:val="2"/>
        <w:rPr>
          <w:rFonts w:ascii="仿宋_GB2312;仿宋" w:hAnsi="仿宋_GB2312;仿宋" w:eastAsia="仿宋_GB2312;仿宋" w:cs="方正仿宋_GBK;微软雅黑" w:hint="eastAsia"/>
          <w:kern w:val="2"/>
          <w:sz w:val="32"/>
          <w:szCs w:val="32"/>
        </w:rPr>
      </w:pPr>
      <w:bookmarkStart w:id="20" w:name="tiao_28_kuan_1_xiang_6"/>
      <w:bookmarkEnd w:id="20"/>
      <w:r>
        <w:rPr>
          <w:rFonts w:ascii="仿宋_GB2312;仿宋" w:hAnsi="仿宋_GB2312;仿宋" w:cs="方正仿宋_GBK;微软雅黑" w:eastAsia="仿宋_GB2312;仿宋"/>
          <w:kern w:val="2"/>
          <w:sz w:val="32"/>
          <w:szCs w:val="32"/>
        </w:rPr>
        <w:t>（六）法律、法规</w:t>
      </w:r>
      <w:r>
        <w:rPr>
          <w:rFonts w:ascii="仿宋_GB2312;仿宋" w:hAnsi="仿宋_GB2312;仿宋" w:cs="方正仿宋_GBK;微软雅黑" w:hint="eastAsia" w:eastAsia="仿宋_GB2312;仿宋"/>
          <w:kern w:val="2"/>
          <w:sz w:val="32"/>
          <w:szCs w:val="32"/>
        </w:rPr>
        <w:t>规定的</w:t>
      </w:r>
      <w:r>
        <w:rPr>
          <w:rFonts w:ascii="仿宋_GB2312;仿宋" w:hAnsi="仿宋_GB2312;仿宋" w:cs="方正仿宋_GBK;微软雅黑" w:eastAsia="仿宋_GB2312;仿宋"/>
          <w:kern w:val="2"/>
          <w:sz w:val="32"/>
          <w:szCs w:val="32"/>
        </w:rPr>
        <w:t>其他行为。</w:t>
      </w:r>
    </w:p>
    <w:p>
      <w:pPr>
        <w:pStyle w:val="Normal"/>
        <w:snapToGrid w:val="false"/>
        <w:spacing w:lineRule="exact" w:line="580"/>
        <w:rPr>
          <w:rFonts w:ascii="黑体" w:hAnsi="黑体" w:eastAsia="黑体" w:cs="方正仿宋_GBK;微软雅黑" w:hint="eastAsia"/>
          <w:kern w:val="2"/>
          <w:sz w:val="32"/>
          <w:szCs w:val="32"/>
        </w:rPr>
      </w:pPr>
      <w:r>
        <w:rPr>
          <w:rFonts w:eastAsia="黑体" w:cs="方正仿宋_GBK;微软雅黑" w:hint="eastAsia" w:ascii="黑体" w:hAnsi="黑体"/>
          <w:kern w:val="2"/>
          <w:sz w:val="32"/>
          <w:szCs w:val="32"/>
        </w:rPr>
      </w:r>
    </w:p>
    <w:p>
      <w:pPr>
        <w:pStyle w:val="Normal"/>
        <w:numPr>
          <w:ilvl w:val="0"/>
          <w:numId w:val="0"/>
        </w:numPr>
        <w:snapToGrid w:val="false"/>
        <w:spacing w:lineRule="exact" w:line="580"/>
        <w:ind w:firstLineChars="200" w:startChars="0" w:start="0" w:endChars="0" w:end="0"/>
        <w:jc w:val="center"/>
        <w:outlineLvl w:val="1"/>
        <w:rPr>
          <w:rFonts w:ascii="黑体" w:hAnsi="黑体" w:eastAsia="黑体" w:cs="方正仿宋_GBK;微软雅黑" w:hint="eastAsia"/>
          <w:kern w:val="2"/>
          <w:sz w:val="32"/>
          <w:szCs w:val="32"/>
        </w:rPr>
      </w:pPr>
      <w:r>
        <w:rPr>
          <w:rFonts w:ascii="黑体" w:hAnsi="黑体" w:cs="方正仿宋_GBK;微软雅黑" w:hint="eastAsia" w:eastAsia="黑体"/>
          <w:kern w:val="2"/>
          <w:sz w:val="32"/>
          <w:szCs w:val="32"/>
        </w:rPr>
        <w:t>第四章   守信激励和失信惩戒</w:t>
      </w:r>
    </w:p>
    <w:p>
      <w:pPr>
        <w:pStyle w:val="Normal"/>
        <w:snapToGrid w:val="false"/>
        <w:spacing w:lineRule="exact" w:line="580"/>
        <w:ind w:firstLineChars="200" w:startChars="0" w:start="0" w:endChars="0" w:end="0"/>
        <w:rPr>
          <w:rFonts w:ascii="楷体_GB2312;楷体" w:hAnsi="楷体_GB2312;楷体" w:eastAsia="楷体_GB2312;楷体" w:cs="方正仿宋_GBK;微软雅黑" w:hint="eastAsia"/>
          <w:color w:val="7030A0"/>
          <w:kern w:val="2"/>
          <w:sz w:val="32"/>
          <w:szCs w:val="32"/>
        </w:rPr>
      </w:pPr>
      <w:r>
        <w:rPr>
          <w:rFonts w:eastAsia="楷体_GB2312;楷体" w:cs="方正仿宋_GBK;微软雅黑" w:hint="eastAsia" w:ascii="楷体_GB2312;楷体" w:hAnsi="楷体_GB2312;楷体"/>
          <w:color w:val="7030A0"/>
          <w:kern w:val="2"/>
          <w:sz w:val="32"/>
          <w:szCs w:val="32"/>
        </w:rPr>
      </w:r>
    </w:p>
    <w:p>
      <w:pPr>
        <w:pStyle w:val="Normal"/>
        <w:numPr>
          <w:ilvl w:val="0"/>
          <w:numId w:val="0"/>
        </w:numPr>
        <w:snapToGrid w:val="false"/>
        <w:spacing w:lineRule="exact" w:line="580"/>
        <w:ind w:firstLineChars="200" w:startChars="0" w:start="0" w:endChars="0" w:end="0"/>
        <w:outlineLvl w:val="2"/>
        <w:rPr>
          <w:rFonts w:ascii="仿宋_GB2312;仿宋" w:hAnsi="仿宋_GB2312;仿宋" w:eastAsia="仿宋_GB2312;仿宋" w:cs="方正仿宋_GBK;微软雅黑" w:hint="eastAsia"/>
          <w:kern w:val="2"/>
          <w:sz w:val="32"/>
          <w:szCs w:val="32"/>
        </w:rPr>
      </w:pPr>
      <w:r>
        <w:rPr>
          <w:rFonts w:ascii="黑体" w:hAnsi="黑体" w:cs="方正仿宋_GBK;微软雅黑" w:hint="eastAsia" w:eastAsia="黑体"/>
          <w:kern w:val="2"/>
          <w:sz w:val="32"/>
          <w:szCs w:val="32"/>
        </w:rPr>
        <w:t>第三十二条</w:t>
      </w:r>
      <w:r>
        <w:rPr>
          <w:rFonts w:ascii="仿宋_GB2312;仿宋" w:hAnsi="仿宋_GB2312;仿宋" w:cs="方正仿宋_GBK;微软雅黑" w:hint="eastAsia" w:eastAsia="仿宋_GB2312;仿宋"/>
          <w:kern w:val="2"/>
          <w:sz w:val="32"/>
          <w:szCs w:val="32"/>
        </w:rPr>
        <w:t xml:space="preserve">  县级以上人民政府及其有关部门应当创新监管理念、监管制度和监管方式，建立健全以信用为基础，</w:t>
      </w:r>
      <w:r>
        <w:rPr>
          <w:rFonts w:ascii="仿宋_GB2312;仿宋" w:hAnsi="仿宋_GB2312;仿宋" w:cs="方正仿宋_GBK;微软雅黑" w:eastAsia="仿宋_GB2312;仿宋"/>
          <w:kern w:val="2"/>
          <w:sz w:val="32"/>
          <w:szCs w:val="32"/>
        </w:rPr>
        <w:t>贯穿</w:t>
      </w:r>
      <w:r>
        <w:rPr>
          <w:rFonts w:ascii="仿宋_GB2312;仿宋" w:hAnsi="仿宋_GB2312;仿宋" w:cs="方正仿宋_GBK;微软雅黑" w:hint="eastAsia" w:eastAsia="仿宋_GB2312;仿宋"/>
          <w:kern w:val="2"/>
          <w:sz w:val="32"/>
          <w:szCs w:val="32"/>
        </w:rPr>
        <w:t>市场</w:t>
      </w:r>
      <w:r>
        <w:rPr>
          <w:rFonts w:ascii="仿宋_GB2312;仿宋" w:hAnsi="仿宋_GB2312;仿宋" w:cs="方正仿宋_GBK;微软雅黑" w:eastAsia="仿宋_GB2312;仿宋"/>
          <w:kern w:val="2"/>
          <w:sz w:val="32"/>
          <w:szCs w:val="32"/>
        </w:rPr>
        <w:t>主体全生命周期，</w:t>
      </w:r>
      <w:r>
        <w:rPr>
          <w:rFonts w:ascii="仿宋_GB2312;仿宋" w:hAnsi="仿宋_GB2312;仿宋" w:cs="方正仿宋_GBK;微软雅黑" w:hint="eastAsia" w:eastAsia="仿宋_GB2312;仿宋"/>
          <w:kern w:val="2"/>
          <w:sz w:val="32"/>
          <w:szCs w:val="32"/>
        </w:rPr>
        <w:t>衔接事前、事中、事后全监管环节的新型监管机制，不断提升监管能力和水平。</w:t>
      </w:r>
    </w:p>
    <w:p>
      <w:pPr>
        <w:pStyle w:val="Normal"/>
        <w:numPr>
          <w:ilvl w:val="0"/>
          <w:numId w:val="0"/>
        </w:numPr>
        <w:snapToGrid w:val="false"/>
        <w:spacing w:lineRule="exact" w:line="580"/>
        <w:ind w:firstLineChars="200" w:startChars="0" w:start="0" w:endChars="0" w:end="0"/>
        <w:outlineLvl w:val="2"/>
        <w:rPr>
          <w:rFonts w:ascii="仿宋_GB2312;仿宋" w:hAnsi="仿宋_GB2312;仿宋" w:eastAsia="仿宋_GB2312;仿宋" w:cs="方正仿宋_GBK;微软雅黑" w:hint="eastAsia"/>
          <w:kern w:val="2"/>
          <w:sz w:val="32"/>
          <w:szCs w:val="32"/>
        </w:rPr>
      </w:pPr>
      <w:bookmarkStart w:id="21" w:name="tiao_20_kuan_1_xiang_5"/>
      <w:bookmarkEnd w:id="21"/>
      <w:r>
        <w:rPr>
          <w:rFonts w:ascii="黑体" w:hAnsi="黑体" w:cs="方正仿宋_GBK;微软雅黑" w:hint="eastAsia" w:eastAsia="黑体"/>
          <w:kern w:val="2"/>
          <w:sz w:val="32"/>
          <w:szCs w:val="32"/>
        </w:rPr>
        <w:t>第三十三条</w:t>
      </w:r>
      <w:r>
        <w:rPr>
          <w:rFonts w:ascii="仿宋_GB2312;仿宋" w:hAnsi="仿宋_GB2312;仿宋" w:cs="方正仿宋_GBK;微软雅黑" w:hint="eastAsia" w:eastAsia="仿宋_GB2312;仿宋"/>
          <w:kern w:val="2"/>
          <w:sz w:val="32"/>
          <w:szCs w:val="32"/>
        </w:rPr>
        <w:t xml:space="preserve"> </w:t>
      </w:r>
      <w:r>
        <w:rPr>
          <w:rFonts w:ascii="黑体" w:hAnsi="黑体" w:cs="方正仿宋_GBK;微软雅黑" w:hint="eastAsia" w:eastAsia="黑体"/>
          <w:kern w:val="2"/>
          <w:sz w:val="32"/>
          <w:szCs w:val="32"/>
        </w:rPr>
        <w:t xml:space="preserve"> </w:t>
      </w:r>
      <w:r>
        <w:rPr>
          <w:rFonts w:ascii="仿宋_GB2312;仿宋" w:hAnsi="仿宋_GB2312;仿宋" w:cs="方正仿宋_GBK;微软雅黑" w:hint="eastAsia" w:eastAsia="仿宋_GB2312;仿宋"/>
          <w:kern w:val="2"/>
          <w:sz w:val="32"/>
          <w:szCs w:val="32"/>
        </w:rPr>
        <w:t>县级以上人民政府及其有关部门</w:t>
      </w:r>
      <w:r>
        <w:rPr>
          <w:rFonts w:ascii="仿宋_GB2312;仿宋" w:hAnsi="仿宋_GB2312;仿宋" w:cs="方正仿宋_GBK;微软雅黑" w:eastAsia="仿宋_GB2312;仿宋"/>
          <w:kern w:val="2"/>
          <w:sz w:val="32"/>
          <w:szCs w:val="32"/>
        </w:rPr>
        <w:t>应当</w:t>
      </w:r>
      <w:r>
        <w:rPr>
          <w:rFonts w:ascii="仿宋_GB2312;仿宋" w:hAnsi="仿宋_GB2312;仿宋" w:cs="方正仿宋_GBK;微软雅黑" w:hint="eastAsia" w:eastAsia="仿宋_GB2312;仿宋"/>
          <w:kern w:val="2"/>
          <w:sz w:val="32"/>
          <w:szCs w:val="32"/>
        </w:rPr>
        <w:t>积极</w:t>
      </w:r>
      <w:r>
        <w:rPr>
          <w:rFonts w:ascii="仿宋_GB2312;仿宋" w:hAnsi="仿宋_GB2312;仿宋" w:cs="方正仿宋_GBK;微软雅黑" w:eastAsia="仿宋_GB2312;仿宋"/>
          <w:kern w:val="2"/>
          <w:sz w:val="32"/>
          <w:szCs w:val="32"/>
        </w:rPr>
        <w:t>推行信用承诺制度。</w:t>
      </w:r>
    </w:p>
    <w:p>
      <w:pPr>
        <w:pStyle w:val="Normal"/>
        <w:snapToGrid w:val="false"/>
        <w:spacing w:lineRule="exact" w:line="580"/>
        <w:ind w:firstLineChars="200" w:startChars="0" w:start="0" w:endChars="0" w:end="0"/>
        <w:rPr>
          <w:rFonts w:ascii="仿宋_GB2312;仿宋" w:hAnsi="仿宋_GB2312;仿宋" w:eastAsia="仿宋_GB2312;仿宋" w:cs="方正仿宋_GBK;微软雅黑" w:hint="eastAsia"/>
          <w:kern w:val="2"/>
          <w:sz w:val="32"/>
          <w:szCs w:val="32"/>
        </w:rPr>
      </w:pPr>
      <w:r>
        <w:rPr>
          <w:rFonts w:ascii="仿宋_GB2312;仿宋" w:hAnsi="仿宋_GB2312;仿宋" w:cs="方正仿宋_GBK;微软雅黑" w:hint="eastAsia" w:eastAsia="仿宋_GB2312;仿宋"/>
          <w:kern w:val="2"/>
          <w:sz w:val="32"/>
          <w:szCs w:val="32"/>
        </w:rPr>
        <w:t>在办理适用信用承诺制的行政许可事项时，申请人书面承诺符合审批条件并提交有关材料的，应予即时办理；无失信记录的申请人部分申报材料不齐备但书面承诺在规定期限内提供的，应当先行受理，加快办理进度。</w:t>
      </w:r>
    </w:p>
    <w:p>
      <w:pPr>
        <w:pStyle w:val="Normal"/>
        <w:snapToGrid w:val="false"/>
        <w:spacing w:lineRule="exact" w:line="580"/>
        <w:ind w:firstLineChars="200" w:startChars="0" w:start="0" w:endChars="0" w:end="0"/>
        <w:rPr>
          <w:rFonts w:ascii="仿宋_GB2312;仿宋" w:hAnsi="仿宋_GB2312;仿宋" w:eastAsia="仿宋_GB2312;仿宋" w:cs="方正仿宋_GBK;微软雅黑" w:hint="eastAsia"/>
          <w:kern w:val="2"/>
          <w:sz w:val="32"/>
          <w:szCs w:val="32"/>
        </w:rPr>
      </w:pPr>
      <w:r>
        <w:rPr>
          <w:rFonts w:ascii="仿宋_GB2312;仿宋" w:hAnsi="仿宋_GB2312;仿宋" w:cs="方正仿宋_GBK;微软雅黑" w:hint="eastAsia" w:eastAsia="仿宋_GB2312;仿宋"/>
          <w:kern w:val="2"/>
          <w:sz w:val="32"/>
          <w:szCs w:val="32"/>
        </w:rPr>
        <w:t>申请人的书面承诺和履约情况记入信用记录，作为对其事中、事后监管的重要依据，对不履约的申请人，视情节依法实施失信惩戒。</w:t>
      </w:r>
    </w:p>
    <w:p>
      <w:pPr>
        <w:pStyle w:val="Normal"/>
        <w:snapToGrid w:val="false"/>
        <w:spacing w:lineRule="exact" w:line="580"/>
        <w:ind w:firstLineChars="200" w:startChars="0" w:start="0" w:endChars="0" w:end="0"/>
        <w:rPr>
          <w:rFonts w:ascii="仿宋_GB2312;仿宋" w:hAnsi="仿宋_GB2312;仿宋" w:eastAsia="仿宋_GB2312;仿宋" w:cs="方正仿宋_GBK;微软雅黑" w:hint="eastAsia"/>
          <w:kern w:val="2"/>
          <w:sz w:val="32"/>
          <w:szCs w:val="32"/>
        </w:rPr>
      </w:pPr>
      <w:r>
        <w:rPr>
          <w:rFonts w:ascii="仿宋_GB2312;仿宋" w:hAnsi="仿宋_GB2312;仿宋" w:cs="方正仿宋_GBK;微软雅黑" w:hint="eastAsia" w:eastAsia="仿宋_GB2312;仿宋"/>
          <w:kern w:val="2"/>
          <w:sz w:val="32"/>
          <w:szCs w:val="32"/>
        </w:rPr>
        <w:t>鼓励市场主体主动向社会作出信用承诺；支持行业协会商会建立健全行业内信用承诺制度，加强行业自律。</w:t>
      </w:r>
    </w:p>
    <w:p>
      <w:pPr>
        <w:pStyle w:val="Normal"/>
        <w:snapToGrid w:val="false"/>
        <w:spacing w:lineRule="exact" w:line="580"/>
        <w:ind w:firstLineChars="200" w:startChars="0" w:start="0" w:endChars="0" w:end="0"/>
        <w:rPr>
          <w:rFonts w:ascii="仿宋_GB2312;仿宋" w:hAnsi="仿宋_GB2312;仿宋" w:eastAsia="仿宋_GB2312;仿宋" w:cs="方正仿宋_GBK;微软雅黑" w:hint="eastAsia"/>
          <w:kern w:val="2"/>
          <w:sz w:val="32"/>
          <w:szCs w:val="32"/>
        </w:rPr>
      </w:pPr>
      <w:r>
        <w:rPr>
          <w:rFonts w:ascii="黑体" w:hAnsi="黑体" w:cs="方正仿宋_GBK;微软雅黑" w:hint="eastAsia" w:eastAsia="黑体"/>
          <w:kern w:val="2"/>
          <w:sz w:val="32"/>
          <w:szCs w:val="32"/>
        </w:rPr>
        <w:t>第三十四条</w:t>
      </w:r>
      <w:r>
        <w:rPr>
          <w:rFonts w:ascii="仿宋_GB2312;仿宋" w:hAnsi="仿宋_GB2312;仿宋" w:cs="方正仿宋_GBK;微软雅黑" w:hint="eastAsia" w:eastAsia="仿宋_GB2312;仿宋"/>
          <w:kern w:val="2"/>
          <w:sz w:val="32"/>
          <w:szCs w:val="32"/>
        </w:rPr>
        <w:t xml:space="preserve">  自治区、设区的市人民政府发展改革部门确定的公共信用信息工作机构根据国家有关规定，整合各类信用信息，依据市场主体信用信息开展公共信用综合评价。</w:t>
      </w:r>
    </w:p>
    <w:p>
      <w:pPr>
        <w:pStyle w:val="Normal"/>
        <w:snapToGrid w:val="false"/>
        <w:spacing w:lineRule="exact" w:line="580"/>
        <w:ind w:firstLineChars="200" w:startChars="0" w:start="0" w:endChars="0" w:end="0"/>
        <w:rPr>
          <w:rFonts w:ascii="仿宋_GB2312;仿宋" w:hAnsi="仿宋_GB2312;仿宋" w:eastAsia="仿宋_GB2312;仿宋" w:cs="方正仿宋_GBK;微软雅黑" w:hint="eastAsia"/>
          <w:kern w:val="2"/>
          <w:sz w:val="32"/>
          <w:szCs w:val="32"/>
        </w:rPr>
      </w:pPr>
      <w:r>
        <w:rPr>
          <w:rFonts w:ascii="仿宋_GB2312;仿宋" w:hAnsi="仿宋_GB2312;仿宋" w:cs="方正仿宋_GBK;微软雅黑" w:hint="eastAsia" w:eastAsia="仿宋_GB2312;仿宋"/>
          <w:kern w:val="2"/>
          <w:sz w:val="32"/>
          <w:szCs w:val="32"/>
        </w:rPr>
        <w:t>自治区、设区的市人民政府有关部门以及法律、法规授权的具有管理公共事务职能的组织应当建立健全行业信用评价机制，并在开展行业信用评价时积极应用公共信用综合评价结果。</w:t>
      </w:r>
    </w:p>
    <w:p>
      <w:pPr>
        <w:pStyle w:val="Normal"/>
        <w:numPr>
          <w:ilvl w:val="0"/>
          <w:numId w:val="0"/>
        </w:numPr>
        <w:snapToGrid w:val="false"/>
        <w:spacing w:lineRule="exact" w:line="580"/>
        <w:ind w:firstLineChars="200" w:startChars="0" w:start="0" w:endChars="0" w:end="0"/>
        <w:outlineLvl w:val="2"/>
        <w:rPr>
          <w:rFonts w:ascii="仿宋_GB2312;仿宋" w:hAnsi="仿宋_GB2312;仿宋" w:eastAsia="仿宋_GB2312;仿宋" w:cs="方正仿宋_GBK;微软雅黑" w:hint="eastAsia"/>
          <w:kern w:val="2"/>
          <w:sz w:val="32"/>
          <w:szCs w:val="32"/>
        </w:rPr>
      </w:pPr>
      <w:bookmarkStart w:id="22" w:name="tiao_47_kuan_2"/>
      <w:bookmarkEnd w:id="22"/>
      <w:r>
        <w:rPr>
          <w:rFonts w:ascii="黑体" w:hAnsi="黑体" w:cs="方正仿宋_GBK;微软雅黑" w:hint="eastAsia" w:eastAsia="黑体"/>
          <w:kern w:val="2"/>
          <w:sz w:val="32"/>
          <w:szCs w:val="32"/>
        </w:rPr>
        <w:t>第三十五条</w:t>
      </w:r>
      <w:r>
        <w:rPr>
          <w:rFonts w:ascii="仿宋_GB2312;仿宋" w:hAnsi="仿宋_GB2312;仿宋" w:cs="方正仿宋_GBK;微软雅黑" w:hint="eastAsia" w:eastAsia="仿宋_GB2312;仿宋"/>
          <w:kern w:val="2"/>
          <w:sz w:val="32"/>
          <w:szCs w:val="32"/>
        </w:rPr>
        <w:t xml:space="preserve">  县级以上人民政府有关部门以及法律、法规授权的具有管理公共事务职能的组织应当综合运用公共信用综合评价和行业信用评价结果，对信用主体实施分级分类监管。对信用较好、风险较低的市场主体，可以合理降低抽查比例和频次；对信用风险一般的市场主体，按照常规比例和频次抽查；对违法失信、风险较高的市场主体，应当提高抽查检查力度和频次，依法加强监管。</w:t>
      </w:r>
    </w:p>
    <w:p>
      <w:pPr>
        <w:pStyle w:val="Normal"/>
        <w:numPr>
          <w:ilvl w:val="0"/>
          <w:numId w:val="0"/>
        </w:numPr>
        <w:snapToGrid w:val="false"/>
        <w:spacing w:lineRule="exact" w:line="580"/>
        <w:ind w:firstLineChars="200" w:startChars="0" w:start="0" w:endChars="0" w:end="0"/>
        <w:outlineLvl w:val="2"/>
        <w:rPr>
          <w:rFonts w:ascii="仿宋_GB2312;仿宋" w:hAnsi="仿宋_GB2312;仿宋" w:eastAsia="仿宋_GB2312;仿宋" w:cs="方正仿宋_GBK;微软雅黑"/>
          <w:kern w:val="2"/>
          <w:sz w:val="32"/>
          <w:szCs w:val="32"/>
        </w:rPr>
      </w:pPr>
      <w:r>
        <w:rPr>
          <w:rFonts w:ascii="黑体" w:hAnsi="黑体" w:cs="方正仿宋_GBK;微软雅黑" w:hint="eastAsia" w:eastAsia="黑体"/>
          <w:kern w:val="2"/>
          <w:sz w:val="32"/>
          <w:szCs w:val="32"/>
        </w:rPr>
        <w:t>第三十六条</w:t>
      </w:r>
      <w:r>
        <w:rPr>
          <w:rFonts w:ascii="仿宋_GB2312;仿宋" w:hAnsi="仿宋_GB2312;仿宋" w:cs="方正仿宋_GBK;微软雅黑" w:hint="eastAsia" w:eastAsia="仿宋_GB2312;仿宋"/>
          <w:kern w:val="2"/>
          <w:sz w:val="32"/>
          <w:szCs w:val="32"/>
        </w:rPr>
        <w:t xml:space="preserve">  自治区人民政府应当建立健全跨地区、跨部门、跨领域的守信激励和失信惩戒机制，依法加强对守信行为的激励和失信行为的惩戒。</w:t>
      </w:r>
    </w:p>
    <w:p>
      <w:pPr>
        <w:pStyle w:val="Normal"/>
        <w:numPr>
          <w:ilvl w:val="0"/>
          <w:numId w:val="0"/>
        </w:numPr>
        <w:snapToGrid w:val="false"/>
        <w:spacing w:lineRule="exact" w:line="580"/>
        <w:ind w:firstLineChars="200" w:startChars="0" w:start="0" w:endChars="0" w:end="0"/>
        <w:outlineLvl w:val="2"/>
        <w:rPr>
          <w:rFonts w:ascii="仿宋_GB2312;仿宋" w:hAnsi="仿宋_GB2312;仿宋" w:eastAsia="仿宋_GB2312;仿宋" w:cs="方正仿宋_GBK;微软雅黑" w:hint="eastAsia"/>
          <w:kern w:val="2"/>
          <w:sz w:val="32"/>
          <w:szCs w:val="32"/>
        </w:rPr>
      </w:pPr>
      <w:r>
        <w:rPr>
          <w:rFonts w:ascii="仿宋_GB2312;仿宋" w:hAnsi="仿宋_GB2312;仿宋" w:cs="方正仿宋_GBK;微软雅黑" w:hint="eastAsia" w:eastAsia="仿宋_GB2312;仿宋"/>
          <w:kern w:val="2"/>
          <w:sz w:val="32"/>
          <w:szCs w:val="32"/>
        </w:rPr>
        <w:t>国家机关以及法律、法规授权的具有管理公共事务职能的组织按照“谁认定、谁列入”的原则在法定职权范围内负责相关领域的守信激励和失信惩戒。</w:t>
      </w:r>
    </w:p>
    <w:p>
      <w:pPr>
        <w:pStyle w:val="Normal"/>
        <w:numPr>
          <w:ilvl w:val="0"/>
          <w:numId w:val="0"/>
        </w:numPr>
        <w:snapToGrid w:val="false"/>
        <w:spacing w:lineRule="exact" w:line="580"/>
        <w:ind w:firstLineChars="200" w:startChars="0" w:start="0" w:endChars="0" w:end="0"/>
        <w:outlineLvl w:val="2"/>
        <w:rPr>
          <w:rFonts w:ascii="仿宋_GB2312;仿宋" w:hAnsi="仿宋_GB2312;仿宋" w:eastAsia="仿宋_GB2312;仿宋" w:cs="方正仿宋_GBK;微软雅黑"/>
          <w:kern w:val="2"/>
          <w:sz w:val="32"/>
          <w:szCs w:val="32"/>
        </w:rPr>
      </w:pPr>
      <w:r>
        <w:rPr>
          <w:rFonts w:ascii="黑体" w:hAnsi="黑体" w:cs="方正仿宋_GBK;微软雅黑" w:eastAsia="黑体"/>
          <w:kern w:val="2"/>
          <w:sz w:val="32"/>
          <w:szCs w:val="32"/>
        </w:rPr>
        <w:t>第</w:t>
      </w:r>
      <w:r>
        <w:rPr>
          <w:rFonts w:ascii="黑体" w:hAnsi="黑体" w:cs="方正仿宋_GBK;微软雅黑" w:hint="eastAsia" w:eastAsia="黑体"/>
          <w:kern w:val="2"/>
          <w:sz w:val="32"/>
          <w:szCs w:val="32"/>
        </w:rPr>
        <w:t>三十七</w:t>
      </w:r>
      <w:r>
        <w:rPr>
          <w:rFonts w:ascii="黑体" w:hAnsi="黑体" w:cs="方正仿宋_GBK;微软雅黑" w:eastAsia="黑体"/>
          <w:kern w:val="2"/>
          <w:sz w:val="32"/>
          <w:szCs w:val="32"/>
        </w:rPr>
        <w:t>条</w:t>
      </w:r>
      <w:bookmarkStart w:id="23" w:name="tiao_27_kuan_1"/>
      <w:bookmarkEnd w:id="23"/>
      <w:r>
        <w:rPr>
          <w:rFonts w:ascii="黑体" w:hAnsi="黑体" w:cs="方正仿宋_GBK;微软雅黑" w:eastAsia="黑体"/>
          <w:kern w:val="2"/>
          <w:sz w:val="32"/>
          <w:szCs w:val="32"/>
        </w:rPr>
        <w:t>　</w:t>
      </w:r>
      <w:r>
        <w:rPr>
          <w:rFonts w:ascii="仿宋_GB2312;仿宋" w:hAnsi="仿宋_GB2312;仿宋" w:cs="方正仿宋_GBK;微软雅黑" w:eastAsia="仿宋_GB2312;仿宋"/>
          <w:kern w:val="2"/>
          <w:sz w:val="32"/>
          <w:szCs w:val="32"/>
        </w:rPr>
        <w:t>无</w:t>
      </w:r>
      <w:r>
        <w:rPr>
          <w:rFonts w:ascii="仿宋_GB2312;仿宋" w:hAnsi="仿宋_GB2312;仿宋" w:cs="方正仿宋_GBK;微软雅黑" w:hint="eastAsia" w:eastAsia="仿宋_GB2312;仿宋"/>
          <w:kern w:val="2"/>
          <w:sz w:val="32"/>
          <w:szCs w:val="32"/>
        </w:rPr>
        <w:t>失信</w:t>
      </w:r>
      <w:r>
        <w:rPr>
          <w:rFonts w:ascii="仿宋_GB2312;仿宋" w:hAnsi="仿宋_GB2312;仿宋" w:cs="方正仿宋_GBK;微软雅黑" w:eastAsia="仿宋_GB2312;仿宋"/>
          <w:kern w:val="2"/>
          <w:sz w:val="32"/>
          <w:szCs w:val="32"/>
        </w:rPr>
        <w:t>记录，且有下列</w:t>
      </w:r>
      <w:r>
        <w:rPr>
          <w:rFonts w:ascii="仿宋_GB2312;仿宋" w:hAnsi="仿宋_GB2312;仿宋" w:cs="方正仿宋_GBK;微软雅黑" w:hint="eastAsia" w:eastAsia="仿宋_GB2312;仿宋"/>
          <w:kern w:val="2"/>
          <w:sz w:val="32"/>
          <w:szCs w:val="32"/>
        </w:rPr>
        <w:t>守信</w:t>
      </w:r>
      <w:r>
        <w:rPr>
          <w:rFonts w:ascii="仿宋_GB2312;仿宋" w:hAnsi="仿宋_GB2312;仿宋" w:cs="方正仿宋_GBK;微软雅黑" w:eastAsia="仿宋_GB2312;仿宋"/>
          <w:kern w:val="2"/>
          <w:sz w:val="32"/>
          <w:szCs w:val="32"/>
        </w:rPr>
        <w:t>记录</w:t>
      </w:r>
      <w:r>
        <w:rPr>
          <w:rFonts w:ascii="仿宋_GB2312;仿宋" w:hAnsi="仿宋_GB2312;仿宋" w:cs="方正仿宋_GBK;微软雅黑" w:hint="eastAsia" w:eastAsia="仿宋_GB2312;仿宋"/>
          <w:kern w:val="2"/>
          <w:sz w:val="32"/>
          <w:szCs w:val="32"/>
        </w:rPr>
        <w:t>之一</w:t>
      </w:r>
      <w:r>
        <w:rPr>
          <w:rFonts w:ascii="仿宋_GB2312;仿宋" w:hAnsi="仿宋_GB2312;仿宋" w:cs="方正仿宋_GBK;微软雅黑" w:eastAsia="仿宋_GB2312;仿宋"/>
          <w:kern w:val="2"/>
          <w:sz w:val="32"/>
          <w:szCs w:val="32"/>
        </w:rPr>
        <w:t>的信用主体可以列为守信激励对象：</w:t>
      </w:r>
    </w:p>
    <w:p>
      <w:pPr>
        <w:pStyle w:val="Normal"/>
        <w:numPr>
          <w:ilvl w:val="0"/>
          <w:numId w:val="0"/>
        </w:numPr>
        <w:snapToGrid w:val="false"/>
        <w:spacing w:lineRule="exact" w:line="580"/>
        <w:ind w:firstLineChars="200" w:startChars="0" w:start="0" w:endChars="0" w:end="0"/>
        <w:outlineLvl w:val="2"/>
        <w:rPr>
          <w:rFonts w:ascii="仿宋_GB2312;仿宋" w:hAnsi="仿宋_GB2312;仿宋" w:eastAsia="仿宋_GB2312;仿宋" w:cs="方正仿宋_GBK;微软雅黑"/>
          <w:kern w:val="2"/>
          <w:sz w:val="32"/>
          <w:szCs w:val="32"/>
        </w:rPr>
      </w:pPr>
      <w:bookmarkStart w:id="24" w:name="tiao_27_kuan_1_xiang_1"/>
      <w:bookmarkEnd w:id="24"/>
      <w:r>
        <w:rPr>
          <w:rFonts w:ascii="仿宋_GB2312;仿宋" w:hAnsi="仿宋_GB2312;仿宋" w:cs="方正仿宋_GBK;微软雅黑" w:eastAsia="仿宋_GB2312;仿宋"/>
          <w:kern w:val="2"/>
          <w:sz w:val="32"/>
          <w:szCs w:val="32"/>
        </w:rPr>
        <w:t>（一）被授予荣誉称号</w:t>
      </w:r>
      <w:r>
        <w:rPr>
          <w:rFonts w:ascii="仿宋_GB2312;仿宋" w:hAnsi="仿宋_GB2312;仿宋" w:cs="方正仿宋_GBK;微软雅黑" w:hint="eastAsia" w:eastAsia="仿宋_GB2312;仿宋"/>
          <w:kern w:val="2"/>
          <w:sz w:val="32"/>
          <w:szCs w:val="32"/>
        </w:rPr>
        <w:t>或者</w:t>
      </w:r>
      <w:r>
        <w:rPr>
          <w:rFonts w:ascii="仿宋_GB2312;仿宋" w:hAnsi="仿宋_GB2312;仿宋" w:cs="方正仿宋_GBK;微软雅黑" w:eastAsia="仿宋_GB2312;仿宋"/>
          <w:kern w:val="2"/>
          <w:sz w:val="32"/>
          <w:szCs w:val="32"/>
        </w:rPr>
        <w:t>受到国家机关等组织表彰、奖励的；</w:t>
      </w:r>
    </w:p>
    <w:p>
      <w:pPr>
        <w:pStyle w:val="Normal"/>
        <w:numPr>
          <w:ilvl w:val="0"/>
          <w:numId w:val="0"/>
        </w:numPr>
        <w:snapToGrid w:val="false"/>
        <w:spacing w:lineRule="exact" w:line="580"/>
        <w:ind w:firstLineChars="200" w:startChars="0" w:start="0" w:endChars="0" w:end="0"/>
        <w:outlineLvl w:val="2"/>
        <w:rPr>
          <w:rFonts w:ascii="仿宋_GB2312;仿宋" w:hAnsi="仿宋_GB2312;仿宋" w:eastAsia="仿宋_GB2312;仿宋" w:cs="方正仿宋_GBK;微软雅黑"/>
          <w:kern w:val="2"/>
          <w:sz w:val="32"/>
          <w:szCs w:val="32"/>
        </w:rPr>
      </w:pPr>
      <w:bookmarkStart w:id="25" w:name="tiao_27_kuan_1_xiang_2"/>
      <w:bookmarkEnd w:id="25"/>
      <w:r>
        <w:rPr>
          <w:rFonts w:ascii="仿宋_GB2312;仿宋" w:hAnsi="仿宋_GB2312;仿宋" w:cs="方正仿宋_GBK;微软雅黑" w:eastAsia="仿宋_GB2312;仿宋"/>
          <w:kern w:val="2"/>
          <w:sz w:val="32"/>
          <w:szCs w:val="32"/>
        </w:rPr>
        <w:t>（二）参与抢险救灾、见义勇为、社会公益、志愿服务、慈善捐助等，表现突出的；</w:t>
      </w:r>
    </w:p>
    <w:p>
      <w:pPr>
        <w:pStyle w:val="Normal"/>
        <w:numPr>
          <w:ilvl w:val="0"/>
          <w:numId w:val="0"/>
        </w:numPr>
        <w:snapToGrid w:val="false"/>
        <w:spacing w:lineRule="exact" w:line="580"/>
        <w:ind w:firstLineChars="200" w:startChars="0" w:start="0" w:endChars="0" w:end="0"/>
        <w:outlineLvl w:val="2"/>
        <w:rPr>
          <w:rFonts w:ascii="仿宋_GB2312;仿宋" w:hAnsi="仿宋_GB2312;仿宋" w:eastAsia="仿宋_GB2312;仿宋" w:cs="方正仿宋_GBK;微软雅黑"/>
          <w:kern w:val="2"/>
          <w:sz w:val="32"/>
          <w:szCs w:val="32"/>
        </w:rPr>
      </w:pPr>
      <w:bookmarkStart w:id="26" w:name="tiao_27_kuan_1_xiang_3"/>
      <w:bookmarkEnd w:id="26"/>
      <w:r>
        <w:rPr>
          <w:rFonts w:ascii="仿宋_GB2312;仿宋" w:hAnsi="仿宋_GB2312;仿宋" w:cs="方正仿宋_GBK;微软雅黑" w:eastAsia="仿宋_GB2312;仿宋"/>
          <w:kern w:val="2"/>
          <w:sz w:val="32"/>
          <w:szCs w:val="32"/>
        </w:rPr>
        <w:t>（三）在公共信用综合评价或者行业信用评价中被评定为最高信用等级的；</w:t>
      </w:r>
    </w:p>
    <w:p>
      <w:pPr>
        <w:pStyle w:val="Normal"/>
        <w:numPr>
          <w:ilvl w:val="0"/>
          <w:numId w:val="0"/>
        </w:numPr>
        <w:snapToGrid w:val="false"/>
        <w:spacing w:lineRule="exact" w:line="580"/>
        <w:ind w:firstLineChars="200" w:startChars="0" w:start="0" w:endChars="0" w:end="0"/>
        <w:outlineLvl w:val="2"/>
        <w:rPr>
          <w:rFonts w:ascii="仿宋_GB2312;仿宋" w:hAnsi="仿宋_GB2312;仿宋" w:eastAsia="仿宋_GB2312;仿宋" w:cs="方正仿宋_GBK;微软雅黑"/>
          <w:kern w:val="2"/>
          <w:sz w:val="32"/>
          <w:szCs w:val="32"/>
        </w:rPr>
      </w:pPr>
      <w:bookmarkStart w:id="27" w:name="tiao_27_kuan_1_xiang_4"/>
      <w:bookmarkEnd w:id="27"/>
      <w:r>
        <w:rPr>
          <w:rFonts w:ascii="仿宋_GB2312;仿宋" w:hAnsi="仿宋_GB2312;仿宋" w:cs="方正仿宋_GBK;微软雅黑" w:hint="eastAsia" w:eastAsia="仿宋_GB2312;仿宋"/>
          <w:kern w:val="2"/>
          <w:sz w:val="32"/>
          <w:szCs w:val="32"/>
        </w:rPr>
        <w:t>（</w:t>
      </w:r>
      <w:r>
        <w:rPr>
          <w:rFonts w:ascii="仿宋_GB2312;仿宋" w:hAnsi="仿宋_GB2312;仿宋" w:cs="方正仿宋_GBK;微软雅黑" w:eastAsia="仿宋_GB2312;仿宋"/>
          <w:kern w:val="2"/>
          <w:sz w:val="32"/>
          <w:szCs w:val="32"/>
        </w:rPr>
        <w:t>四）其他可以列为守信激励对象的</w:t>
      </w:r>
      <w:r>
        <w:rPr>
          <w:rFonts w:ascii="仿宋_GB2312;仿宋" w:hAnsi="仿宋_GB2312;仿宋" w:cs="方正仿宋_GBK;微软雅黑" w:hint="eastAsia" w:eastAsia="仿宋_GB2312;仿宋"/>
          <w:kern w:val="2"/>
          <w:sz w:val="32"/>
          <w:szCs w:val="32"/>
        </w:rPr>
        <w:t>情形</w:t>
      </w:r>
      <w:r>
        <w:rPr>
          <w:rFonts w:ascii="仿宋_GB2312;仿宋" w:hAnsi="仿宋_GB2312;仿宋" w:cs="方正仿宋_GBK;微软雅黑" w:eastAsia="仿宋_GB2312;仿宋"/>
          <w:kern w:val="2"/>
          <w:sz w:val="32"/>
          <w:szCs w:val="32"/>
        </w:rPr>
        <w:t>。</w:t>
      </w:r>
    </w:p>
    <w:p>
      <w:pPr>
        <w:pStyle w:val="Normal"/>
        <w:numPr>
          <w:ilvl w:val="0"/>
          <w:numId w:val="0"/>
        </w:numPr>
        <w:snapToGrid w:val="false"/>
        <w:spacing w:lineRule="exact" w:line="580"/>
        <w:ind w:firstLineChars="200" w:startChars="0" w:start="0" w:endChars="0" w:end="0"/>
        <w:outlineLvl w:val="2"/>
        <w:rPr>
          <w:rFonts w:ascii="仿宋_GB2312;仿宋" w:hAnsi="仿宋_GB2312;仿宋" w:eastAsia="仿宋_GB2312;仿宋" w:cs="方正仿宋_GBK;微软雅黑"/>
          <w:kern w:val="2"/>
          <w:sz w:val="32"/>
          <w:szCs w:val="32"/>
        </w:rPr>
      </w:pPr>
      <w:bookmarkStart w:id="28" w:name="tiao_27_kuan_2"/>
      <w:bookmarkEnd w:id="28"/>
      <w:r>
        <w:rPr>
          <w:rFonts w:ascii="仿宋_GB2312;仿宋" w:hAnsi="仿宋_GB2312;仿宋" w:cs="方正仿宋_GBK;微软雅黑" w:eastAsia="仿宋_GB2312;仿宋"/>
          <w:kern w:val="2"/>
          <w:sz w:val="32"/>
          <w:szCs w:val="32"/>
        </w:rPr>
        <w:t>守信激励对象的具体评定办法和标准由</w:t>
      </w:r>
      <w:r>
        <w:rPr>
          <w:rFonts w:ascii="仿宋_GB2312;仿宋" w:hAnsi="仿宋_GB2312;仿宋" w:cs="方正仿宋_GBK;微软雅黑" w:hint="eastAsia" w:eastAsia="仿宋_GB2312;仿宋"/>
          <w:kern w:val="2"/>
          <w:sz w:val="32"/>
          <w:szCs w:val="32"/>
        </w:rPr>
        <w:t>县级以上</w:t>
      </w:r>
      <w:r>
        <w:rPr>
          <w:rFonts w:ascii="仿宋_GB2312;仿宋" w:hAnsi="仿宋_GB2312;仿宋" w:cs="方正仿宋_GBK;微软雅黑" w:eastAsia="仿宋_GB2312;仿宋"/>
          <w:kern w:val="2"/>
          <w:sz w:val="32"/>
          <w:szCs w:val="32"/>
        </w:rPr>
        <w:t>人民政府发展改革部门会同有关部门制定，经</w:t>
      </w:r>
      <w:r>
        <w:rPr>
          <w:rFonts w:ascii="仿宋_GB2312;仿宋" w:hAnsi="仿宋_GB2312;仿宋" w:cs="方正仿宋_GBK;微软雅黑" w:hint="eastAsia" w:eastAsia="仿宋_GB2312;仿宋"/>
          <w:kern w:val="2"/>
          <w:sz w:val="32"/>
          <w:szCs w:val="32"/>
        </w:rPr>
        <w:t>本级</w:t>
      </w:r>
      <w:r>
        <w:rPr>
          <w:rFonts w:ascii="仿宋_GB2312;仿宋" w:hAnsi="仿宋_GB2312;仿宋" w:cs="方正仿宋_GBK;微软雅黑" w:eastAsia="仿宋_GB2312;仿宋"/>
          <w:kern w:val="2"/>
          <w:sz w:val="32"/>
          <w:szCs w:val="32"/>
        </w:rPr>
        <w:t>人民政府批准后公布实施。</w:t>
      </w:r>
    </w:p>
    <w:p>
      <w:pPr>
        <w:pStyle w:val="Normal"/>
        <w:numPr>
          <w:ilvl w:val="0"/>
          <w:numId w:val="0"/>
        </w:numPr>
        <w:snapToGrid w:val="false"/>
        <w:spacing w:lineRule="exact" w:line="580"/>
        <w:ind w:firstLineChars="200" w:startChars="0" w:start="0" w:endChars="0" w:end="0"/>
        <w:outlineLvl w:val="2"/>
        <w:rPr>
          <w:rFonts w:ascii="仿宋_GB2312;仿宋" w:hAnsi="仿宋_GB2312;仿宋" w:eastAsia="仿宋_GB2312;仿宋" w:cs="方正仿宋_GBK;微软雅黑" w:hint="eastAsia"/>
          <w:kern w:val="2"/>
          <w:sz w:val="32"/>
          <w:szCs w:val="32"/>
        </w:rPr>
      </w:pPr>
      <w:r>
        <w:rPr>
          <w:rFonts w:ascii="黑体" w:hAnsi="黑体" w:cs="方正仿宋_GBK;微软雅黑" w:hint="eastAsia" w:eastAsia="黑体"/>
          <w:kern w:val="2"/>
          <w:sz w:val="32"/>
          <w:szCs w:val="32"/>
        </w:rPr>
        <w:t>第三十八条</w:t>
      </w:r>
      <w:r>
        <w:rPr>
          <w:rFonts w:ascii="仿宋_GB2312;仿宋" w:hAnsi="仿宋_GB2312;仿宋" w:cs="方正仿宋_GBK;微软雅黑" w:hint="eastAsia" w:eastAsia="仿宋_GB2312;仿宋"/>
          <w:kern w:val="2"/>
          <w:sz w:val="32"/>
          <w:szCs w:val="32"/>
        </w:rPr>
        <w:t xml:space="preserve">  守信激励措施实行清单制管理。县级以上人民政府发展改革部门会同有关部门制定、更新守信激励措施清单。制定、更新守信激励措施清单时应当公开征求意见，报本级人民政府同意后向社会公布。设区的市、县（市、区）制定、更新的守信激励措施清单，还应当报上一级人民政府发展改革部门备案。</w:t>
      </w:r>
    </w:p>
    <w:p>
      <w:pPr>
        <w:pStyle w:val="Normal"/>
        <w:numPr>
          <w:ilvl w:val="0"/>
          <w:numId w:val="0"/>
        </w:numPr>
        <w:snapToGrid w:val="false"/>
        <w:spacing w:lineRule="exact" w:line="580"/>
        <w:ind w:firstLineChars="200" w:startChars="0" w:start="0" w:endChars="0" w:end="0"/>
        <w:outlineLvl w:val="2"/>
        <w:rPr>
          <w:rFonts w:ascii="仿宋_GB2312;仿宋" w:hAnsi="仿宋_GB2312;仿宋" w:eastAsia="仿宋_GB2312;仿宋" w:cs="方正仿宋_GBK;微软雅黑" w:hint="eastAsia"/>
          <w:kern w:val="2"/>
          <w:sz w:val="32"/>
          <w:szCs w:val="32"/>
        </w:rPr>
      </w:pPr>
      <w:r>
        <w:rPr>
          <w:rFonts w:ascii="仿宋_GB2312;仿宋" w:hAnsi="仿宋_GB2312;仿宋" w:cs="方正仿宋_GBK;微软雅黑" w:hint="eastAsia" w:eastAsia="仿宋_GB2312;仿宋"/>
          <w:kern w:val="2"/>
          <w:sz w:val="32"/>
          <w:szCs w:val="32"/>
        </w:rPr>
        <w:t>守信激励措施清单应当明确守信激励的实施对象、实施方式、实施主体等内容。</w:t>
      </w:r>
    </w:p>
    <w:p>
      <w:pPr>
        <w:pStyle w:val="Normal"/>
        <w:snapToGrid w:val="false"/>
        <w:spacing w:lineRule="exact" w:line="580"/>
        <w:ind w:firstLineChars="200" w:startChars="0" w:start="0" w:endChars="0" w:end="0"/>
        <w:rPr>
          <w:rFonts w:ascii="仿宋_GB2312;仿宋" w:hAnsi="仿宋_GB2312;仿宋" w:eastAsia="仿宋_GB2312;仿宋" w:cs="方正仿宋_GBK;微软雅黑" w:hint="eastAsia"/>
          <w:kern w:val="2"/>
          <w:sz w:val="32"/>
          <w:szCs w:val="32"/>
        </w:rPr>
      </w:pPr>
      <w:r>
        <w:rPr>
          <w:rFonts w:ascii="黑体" w:hAnsi="黑体" w:cs="方正仿宋_GBK;微软雅黑" w:hint="eastAsia" w:eastAsia="黑体"/>
          <w:kern w:val="2"/>
          <w:sz w:val="32"/>
          <w:szCs w:val="32"/>
        </w:rPr>
        <w:t>第三十九条</w:t>
      </w:r>
      <w:r>
        <w:rPr>
          <w:rFonts w:ascii="仿宋_GB2312;仿宋" w:hAnsi="仿宋_GB2312;仿宋" w:cs="方正仿宋_GBK;微软雅黑" w:hint="eastAsia" w:eastAsia="仿宋_GB2312;仿宋"/>
          <w:kern w:val="2"/>
          <w:sz w:val="32"/>
          <w:szCs w:val="32"/>
        </w:rPr>
        <w:t xml:space="preserve">  守信激励措施清单可以从下列范围内确定：</w:t>
      </w:r>
    </w:p>
    <w:p>
      <w:pPr>
        <w:pStyle w:val="Normal"/>
        <w:snapToGrid w:val="false"/>
        <w:spacing w:lineRule="exact" w:line="580"/>
        <w:ind w:firstLineChars="200" w:startChars="0" w:start="0" w:endChars="0" w:end="0"/>
        <w:rPr>
          <w:rFonts w:ascii="仿宋_GB2312;仿宋" w:hAnsi="仿宋_GB2312;仿宋" w:eastAsia="仿宋_GB2312;仿宋" w:cs="方正仿宋_GBK;微软雅黑" w:hint="eastAsia"/>
          <w:kern w:val="2"/>
          <w:sz w:val="32"/>
          <w:szCs w:val="32"/>
        </w:rPr>
      </w:pPr>
      <w:r>
        <w:rPr>
          <w:rFonts w:ascii="仿宋_GB2312;仿宋" w:hAnsi="仿宋_GB2312;仿宋" w:cs="方正仿宋_GBK;微软雅黑" w:hint="eastAsia" w:eastAsia="仿宋_GB2312;仿宋"/>
          <w:kern w:val="2"/>
          <w:sz w:val="32"/>
          <w:szCs w:val="32"/>
        </w:rPr>
        <w:t>（一）在行政许可中，给予</w:t>
      </w:r>
      <w:r>
        <w:rPr>
          <w:rFonts w:ascii="仿宋_GB2312;仿宋" w:hAnsi="仿宋_GB2312;仿宋" w:cs="方正仿宋_GBK;微软雅黑" w:eastAsia="仿宋_GB2312;仿宋"/>
          <w:kern w:val="2"/>
          <w:sz w:val="32"/>
          <w:szCs w:val="32"/>
        </w:rPr>
        <w:t>容缺受理、优先办理</w:t>
      </w:r>
      <w:r>
        <w:rPr>
          <w:rFonts w:ascii="仿宋_GB2312;仿宋" w:hAnsi="仿宋_GB2312;仿宋" w:cs="方正仿宋_GBK;微软雅黑" w:hint="eastAsia" w:eastAsia="仿宋_GB2312;仿宋"/>
          <w:kern w:val="2"/>
          <w:sz w:val="32"/>
          <w:szCs w:val="32"/>
        </w:rPr>
        <w:t>、</w:t>
      </w:r>
      <w:r>
        <w:rPr>
          <w:rFonts w:ascii="仿宋_GB2312;仿宋" w:hAnsi="仿宋_GB2312;仿宋" w:cs="方正仿宋_GBK;微软雅黑" w:eastAsia="仿宋_GB2312;仿宋"/>
          <w:kern w:val="2"/>
          <w:sz w:val="32"/>
          <w:szCs w:val="32"/>
        </w:rPr>
        <w:t>简化程序等</w:t>
      </w:r>
      <w:r>
        <w:rPr>
          <w:rFonts w:ascii="仿宋_GB2312;仿宋" w:hAnsi="仿宋_GB2312;仿宋" w:cs="方正仿宋_GBK;微软雅黑" w:hint="eastAsia" w:eastAsia="仿宋_GB2312;仿宋"/>
          <w:kern w:val="2"/>
          <w:sz w:val="32"/>
          <w:szCs w:val="32"/>
        </w:rPr>
        <w:t xml:space="preserve">相关便利； </w:t>
      </w:r>
    </w:p>
    <w:p>
      <w:pPr>
        <w:pStyle w:val="Normal"/>
        <w:snapToGrid w:val="false"/>
        <w:spacing w:lineRule="exact" w:line="580"/>
        <w:ind w:firstLineChars="200" w:startChars="0" w:start="0" w:endChars="0" w:end="0"/>
        <w:rPr>
          <w:rFonts w:ascii="仿宋_GB2312;仿宋" w:hAnsi="仿宋_GB2312;仿宋" w:eastAsia="仿宋_GB2312;仿宋" w:cs="方正仿宋_GBK;微软雅黑" w:hint="eastAsia"/>
          <w:kern w:val="2"/>
          <w:sz w:val="32"/>
          <w:szCs w:val="32"/>
        </w:rPr>
      </w:pPr>
      <w:r>
        <w:rPr>
          <w:rFonts w:ascii="仿宋_GB2312;仿宋" w:hAnsi="仿宋_GB2312;仿宋" w:cs="方正仿宋_GBK;微软雅黑" w:hint="eastAsia" w:eastAsia="仿宋_GB2312;仿宋"/>
          <w:kern w:val="2"/>
          <w:sz w:val="32"/>
          <w:szCs w:val="32"/>
        </w:rPr>
        <w:t xml:space="preserve">（二）在财政性资金补助、创业扶持等政府优惠政策实施中，同等条件下列为优先选择对象或者给予重点支持； </w:t>
      </w:r>
    </w:p>
    <w:p>
      <w:pPr>
        <w:pStyle w:val="Normal"/>
        <w:snapToGrid w:val="false"/>
        <w:spacing w:lineRule="exact" w:line="580"/>
        <w:ind w:firstLineChars="200" w:startChars="0" w:start="0" w:endChars="0" w:end="0"/>
        <w:rPr>
          <w:rFonts w:ascii="仿宋_GB2312;仿宋" w:hAnsi="仿宋_GB2312;仿宋" w:eastAsia="仿宋_GB2312;仿宋" w:cs="方正仿宋_GBK;微软雅黑" w:hint="eastAsia"/>
          <w:kern w:val="2"/>
          <w:sz w:val="32"/>
          <w:szCs w:val="32"/>
        </w:rPr>
      </w:pPr>
      <w:r>
        <w:rPr>
          <w:rFonts w:ascii="仿宋_GB2312;仿宋" w:hAnsi="仿宋_GB2312;仿宋" w:cs="方正仿宋_GBK;微软雅黑" w:hint="eastAsia" w:eastAsia="仿宋_GB2312;仿宋"/>
          <w:kern w:val="2"/>
          <w:sz w:val="32"/>
          <w:szCs w:val="32"/>
        </w:rPr>
        <w:t>（三）在公共资源交易中，给予信用加分、提升信用等级等便利；</w:t>
      </w:r>
    </w:p>
    <w:p>
      <w:pPr>
        <w:pStyle w:val="Normal"/>
        <w:snapToGrid w:val="false"/>
        <w:spacing w:lineRule="exact" w:line="580"/>
        <w:ind w:firstLineChars="200" w:startChars="0" w:start="0" w:endChars="0" w:end="0"/>
        <w:rPr>
          <w:rFonts w:ascii="仿宋_GB2312;仿宋" w:hAnsi="仿宋_GB2312;仿宋" w:eastAsia="仿宋_GB2312;仿宋" w:cs="方正仿宋_GBK;微软雅黑" w:hint="eastAsia"/>
          <w:kern w:val="2"/>
          <w:sz w:val="32"/>
          <w:szCs w:val="32"/>
        </w:rPr>
      </w:pPr>
      <w:r>
        <w:rPr>
          <w:rFonts w:ascii="仿宋_GB2312;仿宋" w:hAnsi="仿宋_GB2312;仿宋" w:cs="方正仿宋_GBK;微软雅黑" w:hint="eastAsia" w:eastAsia="仿宋_GB2312;仿宋"/>
          <w:kern w:val="2"/>
          <w:sz w:val="32"/>
          <w:szCs w:val="32"/>
        </w:rPr>
        <w:t xml:space="preserve">（四）在日常监督管理和专项检查中，优化抽查比例和减少检查频次； </w:t>
      </w:r>
    </w:p>
    <w:p>
      <w:pPr>
        <w:pStyle w:val="Normal"/>
        <w:snapToGrid w:val="false"/>
        <w:spacing w:lineRule="exact" w:line="580"/>
        <w:ind w:firstLineChars="200" w:startChars="0" w:start="0" w:endChars="0" w:end="0"/>
        <w:rPr>
          <w:rFonts w:ascii="仿宋_GB2312;仿宋" w:hAnsi="仿宋_GB2312;仿宋" w:eastAsia="仿宋_GB2312;仿宋" w:cs="方正仿宋_GBK;微软雅黑" w:hint="eastAsia"/>
          <w:kern w:val="2"/>
          <w:sz w:val="32"/>
          <w:szCs w:val="32"/>
        </w:rPr>
      </w:pPr>
      <w:r>
        <w:rPr>
          <w:rFonts w:ascii="仿宋_GB2312;仿宋" w:hAnsi="仿宋_GB2312;仿宋" w:cs="方正仿宋_GBK;微软雅黑" w:hint="eastAsia" w:eastAsia="仿宋_GB2312;仿宋"/>
          <w:kern w:val="2"/>
          <w:sz w:val="32"/>
          <w:szCs w:val="32"/>
        </w:rPr>
        <w:t>（五）在教育科研、就业、创业、社会保障等公共服务方面给予支持；</w:t>
      </w:r>
    </w:p>
    <w:p>
      <w:pPr>
        <w:pStyle w:val="Normal"/>
        <w:snapToGrid w:val="false"/>
        <w:spacing w:lineRule="exact" w:line="580"/>
        <w:ind w:firstLineChars="200" w:startChars="0" w:start="0" w:endChars="0" w:end="0"/>
        <w:rPr>
          <w:rFonts w:ascii="仿宋_GB2312;仿宋" w:hAnsi="仿宋_GB2312;仿宋" w:eastAsia="仿宋_GB2312;仿宋" w:cs="方正仿宋_GBK;微软雅黑" w:hint="eastAsia"/>
          <w:kern w:val="2"/>
          <w:sz w:val="32"/>
          <w:szCs w:val="32"/>
        </w:rPr>
      </w:pPr>
      <w:r>
        <w:rPr>
          <w:rFonts w:ascii="仿宋_GB2312;仿宋" w:hAnsi="仿宋_GB2312;仿宋" w:cs="方正仿宋_GBK;微软雅黑" w:hint="eastAsia" w:eastAsia="仿宋_GB2312;仿宋"/>
          <w:kern w:val="2"/>
          <w:sz w:val="32"/>
          <w:szCs w:val="32"/>
        </w:rPr>
        <w:t>（六）优先推荐评优评先；</w:t>
      </w:r>
    </w:p>
    <w:p>
      <w:pPr>
        <w:pStyle w:val="Normal"/>
        <w:snapToGrid w:val="false"/>
        <w:spacing w:lineRule="exact" w:line="580"/>
        <w:ind w:firstLineChars="200" w:startChars="0" w:start="0" w:endChars="0" w:end="0"/>
        <w:rPr>
          <w:rFonts w:ascii="仿宋_GB2312;仿宋" w:hAnsi="仿宋_GB2312;仿宋" w:eastAsia="仿宋_GB2312;仿宋" w:cs="方正仿宋_GBK;微软雅黑" w:hint="eastAsia"/>
          <w:kern w:val="2"/>
          <w:sz w:val="32"/>
          <w:szCs w:val="32"/>
        </w:rPr>
      </w:pPr>
      <w:r>
        <w:rPr>
          <w:rFonts w:ascii="仿宋_GB2312;仿宋" w:hAnsi="仿宋_GB2312;仿宋" w:cs="方正仿宋_GBK;微软雅黑" w:hint="eastAsia" w:eastAsia="仿宋_GB2312;仿宋"/>
          <w:kern w:val="2"/>
          <w:sz w:val="32"/>
          <w:szCs w:val="32"/>
        </w:rPr>
        <w:t>（七）在信用网站或者相关媒体上宣传推介；</w:t>
      </w:r>
    </w:p>
    <w:p>
      <w:pPr>
        <w:pStyle w:val="Normal"/>
        <w:snapToGrid w:val="false"/>
        <w:spacing w:lineRule="exact" w:line="580"/>
        <w:ind w:firstLineChars="200" w:startChars="0" w:start="0" w:endChars="0" w:end="0"/>
        <w:rPr>
          <w:rFonts w:ascii="仿宋_GB2312;仿宋" w:hAnsi="仿宋_GB2312;仿宋" w:eastAsia="仿宋_GB2312;仿宋" w:cs="方正仿宋_GBK;微软雅黑" w:hint="eastAsia"/>
          <w:kern w:val="2"/>
          <w:sz w:val="32"/>
          <w:szCs w:val="32"/>
        </w:rPr>
      </w:pPr>
      <w:r>
        <w:rPr>
          <w:rFonts w:ascii="仿宋_GB2312;仿宋" w:hAnsi="仿宋_GB2312;仿宋" w:cs="方正仿宋_GBK;微软雅黑" w:hint="eastAsia" w:eastAsia="仿宋_GB2312;仿宋"/>
          <w:kern w:val="2"/>
          <w:sz w:val="32"/>
          <w:szCs w:val="32"/>
        </w:rPr>
        <w:t>（八）其他激励措施。</w:t>
      </w:r>
    </w:p>
    <w:p>
      <w:pPr>
        <w:pStyle w:val="Normal"/>
        <w:numPr>
          <w:ilvl w:val="0"/>
          <w:numId w:val="0"/>
        </w:numPr>
        <w:snapToGrid w:val="false"/>
        <w:spacing w:lineRule="exact" w:line="580"/>
        <w:ind w:firstLineChars="200" w:startChars="0" w:start="0" w:endChars="0" w:end="0"/>
        <w:outlineLvl w:val="2"/>
        <w:rPr>
          <w:rFonts w:ascii="仿宋_GB2312;仿宋" w:hAnsi="仿宋_GB2312;仿宋" w:eastAsia="仿宋_GB2312;仿宋" w:cs="方正仿宋_GBK;微软雅黑"/>
          <w:kern w:val="2"/>
          <w:sz w:val="32"/>
          <w:szCs w:val="32"/>
        </w:rPr>
      </w:pPr>
      <w:r>
        <w:rPr>
          <w:rFonts w:ascii="黑体" w:hAnsi="黑体" w:cs="方正仿宋_GBK;微软雅黑" w:hint="eastAsia" w:eastAsia="黑体"/>
          <w:kern w:val="2"/>
          <w:sz w:val="32"/>
          <w:szCs w:val="32"/>
        </w:rPr>
        <w:t>第四十条</w:t>
      </w:r>
      <w:r>
        <w:rPr>
          <w:rFonts w:ascii="楷体_GB2312;楷体" w:hAnsi="楷体_GB2312;楷体" w:cs="方正仿宋_GBK;微软雅黑" w:hint="eastAsia" w:eastAsia="楷体_GB2312;楷体"/>
          <w:kern w:val="2"/>
          <w:sz w:val="32"/>
          <w:szCs w:val="32"/>
        </w:rPr>
        <w:t xml:space="preserve">  </w:t>
      </w:r>
      <w:r>
        <w:rPr>
          <w:rFonts w:ascii="仿宋_GB2312;仿宋" w:hAnsi="仿宋_GB2312;仿宋" w:cs="方正仿宋_GBK;微软雅黑" w:hint="eastAsia" w:eastAsia="仿宋_GB2312;仿宋"/>
          <w:kern w:val="2"/>
          <w:sz w:val="32"/>
          <w:szCs w:val="32"/>
        </w:rPr>
        <w:t>信用主体被认定为失信主体，应当给予失信惩戒的，由国家机关以及法律、法规授权的具有管理公共事务职能的组织依照本条例规定的程序实施。违反法定程序构成重大且明显违法的，失信惩戒无效。</w:t>
      </w:r>
    </w:p>
    <w:p>
      <w:pPr>
        <w:pStyle w:val="Normal"/>
        <w:numPr>
          <w:ilvl w:val="0"/>
          <w:numId w:val="0"/>
        </w:numPr>
        <w:snapToGrid w:val="false"/>
        <w:spacing w:lineRule="exact" w:line="580"/>
        <w:ind w:firstLineChars="200" w:startChars="0" w:start="0" w:endChars="0" w:end="0"/>
        <w:outlineLvl w:val="2"/>
        <w:rPr>
          <w:rFonts w:ascii="仿宋_GB2312;仿宋" w:hAnsi="仿宋_GB2312;仿宋" w:eastAsia="仿宋_GB2312;仿宋" w:cs="方正仿宋_GBK;微软雅黑" w:hint="eastAsia"/>
          <w:kern w:val="2"/>
          <w:sz w:val="32"/>
          <w:szCs w:val="32"/>
        </w:rPr>
      </w:pPr>
      <w:r>
        <w:rPr>
          <w:rFonts w:ascii="仿宋_GB2312;仿宋" w:hAnsi="仿宋_GB2312;仿宋" w:cs="方正仿宋_GBK;微软雅黑" w:hint="eastAsia" w:eastAsia="仿宋_GB2312;仿宋"/>
          <w:kern w:val="2"/>
          <w:sz w:val="32"/>
          <w:szCs w:val="32"/>
        </w:rPr>
        <w:t>实施失信惩戒应当遵循合法、关联、比例原则，按照</w:t>
      </w:r>
      <w:r>
        <w:rPr>
          <w:rFonts w:ascii="仿宋_GB2312;仿宋" w:hAnsi="仿宋_GB2312;仿宋" w:cs="方正仿宋_GBK;微软雅黑" w:eastAsia="仿宋_GB2312;仿宋"/>
          <w:kern w:val="2"/>
          <w:sz w:val="32"/>
          <w:szCs w:val="32"/>
        </w:rPr>
        <w:t>失信惩戒措施清单</w:t>
      </w:r>
      <w:r>
        <w:rPr>
          <w:rFonts w:ascii="仿宋_GB2312;仿宋" w:hAnsi="仿宋_GB2312;仿宋" w:cs="方正仿宋_GBK;微软雅黑" w:hint="eastAsia" w:eastAsia="仿宋_GB2312;仿宋"/>
          <w:kern w:val="2"/>
          <w:sz w:val="32"/>
          <w:szCs w:val="32"/>
        </w:rPr>
        <w:t>和法定程序</w:t>
      </w:r>
      <w:r>
        <w:rPr>
          <w:rFonts w:ascii="仿宋_GB2312;仿宋" w:hAnsi="仿宋_GB2312;仿宋" w:cs="方正仿宋_GBK;微软雅黑" w:eastAsia="仿宋_GB2312;仿宋"/>
          <w:kern w:val="2"/>
          <w:sz w:val="32"/>
          <w:szCs w:val="32"/>
        </w:rPr>
        <w:t>采取轻重适度的惩戒措施</w:t>
      </w:r>
      <w:r>
        <w:rPr>
          <w:rFonts w:ascii="仿宋_GB2312;仿宋" w:hAnsi="仿宋_GB2312;仿宋" w:cs="方正仿宋_GBK;微软雅黑" w:hint="eastAsia" w:eastAsia="仿宋_GB2312;仿宋"/>
          <w:kern w:val="2"/>
          <w:sz w:val="32"/>
          <w:szCs w:val="32"/>
        </w:rPr>
        <w:t>，与失信主体的失信行为的事实相关联，与失信行为的性质、领域、情节和社会危害程度相适应，确保过惩相当。</w:t>
      </w:r>
    </w:p>
    <w:p>
      <w:pPr>
        <w:pStyle w:val="Normal"/>
        <w:numPr>
          <w:ilvl w:val="0"/>
          <w:numId w:val="0"/>
        </w:numPr>
        <w:snapToGrid w:val="false"/>
        <w:spacing w:lineRule="exact" w:line="580"/>
        <w:ind w:firstLineChars="200" w:startChars="0" w:start="0" w:endChars="0" w:end="0"/>
        <w:outlineLvl w:val="2"/>
        <w:rPr>
          <w:rFonts w:ascii="仿宋_GB2312;仿宋" w:hAnsi="仿宋_GB2312;仿宋" w:eastAsia="仿宋_GB2312;仿宋" w:cs="方正仿宋_GBK;微软雅黑" w:hint="eastAsia"/>
          <w:kern w:val="2"/>
          <w:sz w:val="32"/>
          <w:szCs w:val="32"/>
        </w:rPr>
      </w:pPr>
      <w:r>
        <w:rPr>
          <w:rFonts w:ascii="仿宋_GB2312;仿宋" w:hAnsi="仿宋_GB2312;仿宋" w:cs="方正仿宋_GBK;微软雅黑" w:hint="eastAsia" w:eastAsia="仿宋_GB2312;仿宋"/>
          <w:kern w:val="2"/>
          <w:sz w:val="32"/>
          <w:szCs w:val="32"/>
        </w:rPr>
        <w:t>禁止在法律、法规规定外增设惩戒措施、在法定惩戒标准之上加重惩戒或者</w:t>
      </w:r>
      <w:r>
        <w:rPr>
          <w:rFonts w:ascii="仿宋_GB2312;仿宋" w:hAnsi="仿宋_GB2312;仿宋" w:cs="方正仿宋_GBK;微软雅黑" w:eastAsia="仿宋_GB2312;仿宋"/>
          <w:kern w:val="2"/>
          <w:sz w:val="32"/>
          <w:szCs w:val="32"/>
        </w:rPr>
        <w:t>对失信主体以外的第三方实施</w:t>
      </w:r>
      <w:r>
        <w:rPr>
          <w:rFonts w:ascii="仿宋_GB2312;仿宋" w:hAnsi="仿宋_GB2312;仿宋" w:cs="方正仿宋_GBK;微软雅黑" w:hint="eastAsia" w:eastAsia="仿宋_GB2312;仿宋"/>
          <w:kern w:val="2"/>
          <w:sz w:val="32"/>
          <w:szCs w:val="32"/>
        </w:rPr>
        <w:t>失信</w:t>
      </w:r>
      <w:r>
        <w:rPr>
          <w:rFonts w:ascii="仿宋_GB2312;仿宋" w:hAnsi="仿宋_GB2312;仿宋" w:cs="方正仿宋_GBK;微软雅黑" w:eastAsia="仿宋_GB2312;仿宋"/>
          <w:kern w:val="2"/>
          <w:sz w:val="32"/>
          <w:szCs w:val="32"/>
        </w:rPr>
        <w:t>惩戒</w:t>
      </w:r>
      <w:r>
        <w:rPr>
          <w:rFonts w:ascii="仿宋_GB2312;仿宋" w:hAnsi="仿宋_GB2312;仿宋" w:cs="方正仿宋_GBK;微软雅黑" w:hint="eastAsia" w:eastAsia="仿宋_GB2312;仿宋"/>
          <w:kern w:val="2"/>
          <w:sz w:val="32"/>
          <w:szCs w:val="32"/>
        </w:rPr>
        <w:t>。</w:t>
      </w:r>
    </w:p>
    <w:p>
      <w:pPr>
        <w:pStyle w:val="Normal"/>
        <w:numPr>
          <w:ilvl w:val="0"/>
          <w:numId w:val="0"/>
        </w:numPr>
        <w:snapToGrid w:val="false"/>
        <w:spacing w:lineRule="exact" w:line="580"/>
        <w:ind w:firstLineChars="200" w:startChars="0" w:start="0" w:endChars="0" w:end="0"/>
        <w:outlineLvl w:val="2"/>
        <w:rPr>
          <w:rFonts w:ascii="仿宋_GB2312;仿宋" w:hAnsi="仿宋_GB2312;仿宋" w:eastAsia="仿宋_GB2312;仿宋" w:cs="方正仿宋_GBK;微软雅黑" w:hint="eastAsia"/>
          <w:kern w:val="2"/>
          <w:sz w:val="32"/>
          <w:szCs w:val="32"/>
        </w:rPr>
      </w:pPr>
      <w:r>
        <w:rPr>
          <w:rFonts w:ascii="黑体" w:hAnsi="黑体" w:cs="方正仿宋_GBK;微软雅黑" w:hint="eastAsia" w:eastAsia="黑体"/>
          <w:kern w:val="2"/>
          <w:sz w:val="32"/>
          <w:szCs w:val="32"/>
        </w:rPr>
        <w:t>第四十一条</w:t>
      </w:r>
      <w:r>
        <w:rPr>
          <w:rFonts w:ascii="仿宋_GB2312;仿宋" w:hAnsi="仿宋_GB2312;仿宋" w:cs="方正仿宋_GBK;微软雅黑" w:hint="eastAsia" w:eastAsia="仿宋_GB2312;仿宋"/>
          <w:kern w:val="2"/>
          <w:sz w:val="32"/>
          <w:szCs w:val="32"/>
        </w:rPr>
        <w:t xml:space="preserve">  失信惩戒措施实行清单制管理。在执行全国失信惩戒措施基础清单的同时，地方性法规对失信惩戒措施有补充规定的，因社会治理、市场监督管理和公共服务的需要，自治区、设区的市人民政府发展改革部门会同有关部门可以制定适用于本地区的失信惩戒措施补充清单，并根据全国失信惩戒措施基础清单的更新情况和工作需要适时更新。</w:t>
      </w:r>
    </w:p>
    <w:p>
      <w:pPr>
        <w:pStyle w:val="Normal"/>
        <w:numPr>
          <w:ilvl w:val="0"/>
          <w:numId w:val="0"/>
        </w:numPr>
        <w:snapToGrid w:val="false"/>
        <w:spacing w:lineRule="exact" w:line="580"/>
        <w:ind w:firstLineChars="200" w:startChars="0" w:start="0" w:endChars="0" w:end="0"/>
        <w:outlineLvl w:val="2"/>
        <w:rPr>
          <w:rFonts w:ascii="仿宋_GB2312;仿宋" w:hAnsi="仿宋_GB2312;仿宋" w:eastAsia="仿宋_GB2312;仿宋" w:cs="方正仿宋_GBK;微软雅黑" w:hint="eastAsia"/>
          <w:kern w:val="2"/>
          <w:sz w:val="32"/>
          <w:szCs w:val="32"/>
        </w:rPr>
      </w:pPr>
      <w:r>
        <w:rPr>
          <w:rFonts w:ascii="仿宋_GB2312;仿宋" w:hAnsi="仿宋_GB2312;仿宋" w:cs="方正仿宋_GBK;微软雅黑" w:hint="eastAsia" w:eastAsia="仿宋_GB2312;仿宋"/>
          <w:kern w:val="2"/>
          <w:sz w:val="32"/>
          <w:szCs w:val="32"/>
        </w:rPr>
        <w:t>制定、更新失信惩戒措施补充清单时，应当公开征求意见，报本级人民政府同意后向社会公布。设区的市制定、更新的失信惩戒措施补充清单，还应当报自治区人民政府发展改革部门备案。</w:t>
      </w:r>
    </w:p>
    <w:p>
      <w:pPr>
        <w:pStyle w:val="Normal"/>
        <w:numPr>
          <w:ilvl w:val="0"/>
          <w:numId w:val="0"/>
        </w:numPr>
        <w:snapToGrid w:val="false"/>
        <w:spacing w:lineRule="exact" w:line="580"/>
        <w:ind w:firstLineChars="200" w:startChars="0" w:start="0" w:endChars="0" w:end="0"/>
        <w:outlineLvl w:val="2"/>
        <w:rPr>
          <w:rFonts w:ascii="仿宋_GB2312;仿宋" w:hAnsi="仿宋_GB2312;仿宋" w:eastAsia="仿宋_GB2312;仿宋" w:cs="方正仿宋_GBK;微软雅黑" w:hint="eastAsia"/>
          <w:kern w:val="2"/>
          <w:sz w:val="32"/>
          <w:szCs w:val="32"/>
        </w:rPr>
      </w:pPr>
      <w:r>
        <w:rPr>
          <w:rFonts w:ascii="仿宋_GB2312;仿宋" w:hAnsi="仿宋_GB2312;仿宋" w:cs="方正仿宋_GBK;微软雅黑" w:hint="eastAsia" w:eastAsia="仿宋_GB2312;仿宋"/>
          <w:kern w:val="2"/>
          <w:sz w:val="32"/>
          <w:szCs w:val="32"/>
        </w:rPr>
        <w:t>失信惩戒措施补充清单应当明确惩戒实施对象、实施方式、实施期限、实施主体、实施范围、实施手段等内容。</w:t>
      </w:r>
    </w:p>
    <w:p>
      <w:pPr>
        <w:pStyle w:val="Normal"/>
        <w:snapToGrid w:val="false"/>
        <w:spacing w:lineRule="exact" w:line="580"/>
        <w:ind w:firstLineChars="200" w:startChars="0" w:start="0" w:endChars="0" w:end="0"/>
        <w:rPr>
          <w:rFonts w:ascii="仿宋_GB2312;仿宋" w:hAnsi="仿宋_GB2312;仿宋" w:eastAsia="仿宋_GB2312;仿宋" w:cs="方正仿宋_GBK;微软雅黑" w:hint="eastAsia"/>
          <w:kern w:val="2"/>
          <w:sz w:val="32"/>
          <w:szCs w:val="32"/>
        </w:rPr>
      </w:pPr>
      <w:bookmarkStart w:id="29" w:name="tiao_24_kuan_3"/>
      <w:bookmarkEnd w:id="29"/>
      <w:r>
        <w:rPr>
          <w:rFonts w:ascii="黑体" w:hAnsi="黑体" w:cs="方正仿宋_GBK;微软雅黑" w:hint="eastAsia" w:eastAsia="黑体"/>
          <w:kern w:val="2"/>
          <w:sz w:val="32"/>
          <w:szCs w:val="32"/>
        </w:rPr>
        <w:t>第四十二条</w:t>
      </w:r>
      <w:r>
        <w:rPr>
          <w:rFonts w:ascii="仿宋_GB2312;仿宋" w:hAnsi="仿宋_GB2312;仿宋" w:cs="方正仿宋_GBK;微软雅黑" w:hint="eastAsia" w:eastAsia="仿宋_GB2312;仿宋"/>
          <w:kern w:val="2"/>
          <w:sz w:val="32"/>
          <w:szCs w:val="32"/>
        </w:rPr>
        <w:t xml:space="preserve">  失信惩戒措施补充清单确定的惩戒措施应当限制在下列范围内：</w:t>
      </w:r>
    </w:p>
    <w:p>
      <w:pPr>
        <w:pStyle w:val="Normal"/>
        <w:snapToGrid w:val="false"/>
        <w:spacing w:lineRule="exact" w:line="580"/>
        <w:ind w:firstLineChars="200" w:startChars="0" w:start="0" w:endChars="0" w:end="0"/>
        <w:rPr>
          <w:rFonts w:ascii="仿宋_GB2312;仿宋" w:hAnsi="仿宋_GB2312;仿宋" w:eastAsia="仿宋_GB2312;仿宋" w:cs="方正仿宋_GBK;微软雅黑"/>
          <w:kern w:val="2"/>
          <w:sz w:val="32"/>
          <w:szCs w:val="32"/>
        </w:rPr>
      </w:pPr>
      <w:r>
        <w:rPr>
          <w:rFonts w:ascii="仿宋_GB2312;仿宋" w:hAnsi="仿宋_GB2312;仿宋" w:cs="方正仿宋_GBK;微软雅黑" w:eastAsia="仿宋_GB2312;仿宋"/>
          <w:kern w:val="2"/>
          <w:sz w:val="32"/>
          <w:szCs w:val="32"/>
        </w:rPr>
        <w:t>（一）在行政管理和公共服务中，限制享受相关便利；</w:t>
      </w:r>
    </w:p>
    <w:p>
      <w:pPr>
        <w:pStyle w:val="Normal"/>
        <w:snapToGrid w:val="false"/>
        <w:spacing w:lineRule="exact" w:line="580"/>
        <w:ind w:firstLineChars="200" w:startChars="0" w:start="0" w:endChars="0" w:end="0"/>
        <w:rPr>
          <w:rFonts w:ascii="仿宋_GB2312;仿宋" w:hAnsi="仿宋_GB2312;仿宋" w:eastAsia="仿宋_GB2312;仿宋" w:cs="方正仿宋_GBK;微软雅黑"/>
          <w:kern w:val="2"/>
          <w:sz w:val="32"/>
          <w:szCs w:val="32"/>
        </w:rPr>
      </w:pPr>
      <w:r>
        <w:rPr>
          <w:rFonts w:ascii="仿宋_GB2312;仿宋" w:hAnsi="仿宋_GB2312;仿宋" w:cs="方正仿宋_GBK;微软雅黑" w:eastAsia="仿宋_GB2312;仿宋"/>
          <w:kern w:val="2"/>
          <w:sz w:val="32"/>
          <w:szCs w:val="32"/>
        </w:rPr>
        <w:t>（二）在日常监督管理和专项检查中，列为重点监督管理对象，提高抽查比例、增加检查频次，加强现场检查；</w:t>
      </w:r>
    </w:p>
    <w:p>
      <w:pPr>
        <w:pStyle w:val="Normal"/>
        <w:snapToGrid w:val="false"/>
        <w:spacing w:lineRule="exact" w:line="580"/>
        <w:ind w:firstLineChars="200" w:startChars="0" w:start="0" w:endChars="0" w:end="0"/>
        <w:rPr>
          <w:rFonts w:ascii="仿宋_GB2312;仿宋" w:hAnsi="仿宋_GB2312;仿宋" w:eastAsia="仿宋_GB2312;仿宋" w:cs="方正仿宋_GBK;微软雅黑"/>
          <w:kern w:val="2"/>
          <w:sz w:val="32"/>
          <w:szCs w:val="32"/>
        </w:rPr>
      </w:pPr>
      <w:r>
        <w:rPr>
          <w:rFonts w:ascii="仿宋_GB2312;仿宋" w:hAnsi="仿宋_GB2312;仿宋" w:cs="方正仿宋_GBK;微软雅黑" w:eastAsia="仿宋_GB2312;仿宋"/>
          <w:kern w:val="2"/>
          <w:sz w:val="32"/>
          <w:szCs w:val="32"/>
        </w:rPr>
        <w:t>（三）在财政性资金补助、创业扶持等政府优惠政策实施中，作出相应限制；</w:t>
      </w:r>
    </w:p>
    <w:p>
      <w:pPr>
        <w:pStyle w:val="Normal"/>
        <w:snapToGrid w:val="false"/>
        <w:spacing w:lineRule="exact" w:line="580"/>
        <w:ind w:firstLineChars="200" w:startChars="0" w:start="0" w:endChars="0" w:end="0"/>
        <w:rPr>
          <w:rFonts w:ascii="仿宋_GB2312;仿宋" w:hAnsi="仿宋_GB2312;仿宋" w:eastAsia="仿宋_GB2312;仿宋" w:cs="方正仿宋_GBK;微软雅黑"/>
          <w:kern w:val="2"/>
          <w:sz w:val="32"/>
          <w:szCs w:val="32"/>
        </w:rPr>
      </w:pPr>
      <w:r>
        <w:rPr>
          <w:rFonts w:ascii="仿宋_GB2312;仿宋" w:hAnsi="仿宋_GB2312;仿宋" w:cs="方正仿宋_GBK;微软雅黑" w:eastAsia="仿宋_GB2312;仿宋"/>
          <w:kern w:val="2"/>
          <w:sz w:val="32"/>
          <w:szCs w:val="32"/>
        </w:rPr>
        <w:t>（四）在公共资源交易中，予以相应减分、降低信用等次；</w:t>
      </w:r>
    </w:p>
    <w:p>
      <w:pPr>
        <w:pStyle w:val="Normal"/>
        <w:snapToGrid w:val="false"/>
        <w:spacing w:lineRule="exact" w:line="580"/>
        <w:ind w:firstLineChars="200" w:startChars="0" w:start="0" w:endChars="0" w:end="0"/>
        <w:rPr>
          <w:rFonts w:ascii="仿宋_GB2312;仿宋" w:hAnsi="仿宋_GB2312;仿宋" w:eastAsia="仿宋_GB2312;仿宋" w:cs="方正仿宋_GBK;微软雅黑"/>
          <w:kern w:val="2"/>
          <w:sz w:val="32"/>
          <w:szCs w:val="32"/>
        </w:rPr>
      </w:pPr>
      <w:r>
        <w:rPr>
          <w:rFonts w:ascii="仿宋_GB2312;仿宋" w:hAnsi="仿宋_GB2312;仿宋" w:cs="方正仿宋_GBK;微软雅黑" w:eastAsia="仿宋_GB2312;仿宋"/>
          <w:kern w:val="2"/>
          <w:sz w:val="32"/>
          <w:szCs w:val="32"/>
        </w:rPr>
        <w:t>（五）限制参与政府投资或者政府与社会资本合作的建设项目，或者予以提高保证金比例；</w:t>
      </w:r>
    </w:p>
    <w:p>
      <w:pPr>
        <w:pStyle w:val="Normal"/>
        <w:snapToGrid w:val="false"/>
        <w:spacing w:lineRule="exact" w:line="580"/>
        <w:ind w:firstLineChars="200" w:startChars="0" w:start="0" w:endChars="0" w:end="0"/>
        <w:rPr>
          <w:rFonts w:ascii="仿宋_GB2312;仿宋" w:hAnsi="仿宋_GB2312;仿宋" w:eastAsia="仿宋_GB2312;仿宋" w:cs="方正仿宋_GBK;微软雅黑"/>
          <w:kern w:val="2"/>
          <w:sz w:val="32"/>
          <w:szCs w:val="32"/>
        </w:rPr>
      </w:pPr>
      <w:r>
        <w:rPr>
          <w:rFonts w:ascii="仿宋_GB2312;仿宋" w:hAnsi="仿宋_GB2312;仿宋" w:cs="方正仿宋_GBK;微软雅黑" w:eastAsia="仿宋_GB2312;仿宋"/>
          <w:kern w:val="2"/>
          <w:sz w:val="32"/>
          <w:szCs w:val="32"/>
        </w:rPr>
        <w:t>（六）在评比表彰中，作出相应限制；</w:t>
      </w:r>
    </w:p>
    <w:p>
      <w:pPr>
        <w:pStyle w:val="Normal"/>
        <w:snapToGrid w:val="false"/>
        <w:spacing w:lineRule="exact" w:line="580"/>
        <w:ind w:firstLineChars="200" w:startChars="0" w:start="0" w:endChars="0" w:end="0"/>
        <w:rPr>
          <w:rFonts w:ascii="仿宋_GB2312;仿宋" w:hAnsi="仿宋_GB2312;仿宋" w:eastAsia="仿宋_GB2312;仿宋" w:cs="方正仿宋_GBK;微软雅黑" w:hint="eastAsia"/>
          <w:kern w:val="2"/>
          <w:sz w:val="32"/>
          <w:szCs w:val="32"/>
        </w:rPr>
      </w:pPr>
      <w:r>
        <w:rPr>
          <w:rFonts w:ascii="仿宋_GB2312;仿宋" w:hAnsi="仿宋_GB2312;仿宋" w:cs="方正仿宋_GBK;微软雅黑" w:eastAsia="仿宋_GB2312;仿宋"/>
          <w:kern w:val="2"/>
          <w:sz w:val="32"/>
          <w:szCs w:val="32"/>
        </w:rPr>
        <w:t>（七）取消财政性资金补助、项目支持；</w:t>
      </w:r>
    </w:p>
    <w:p>
      <w:pPr>
        <w:pStyle w:val="Normal"/>
        <w:snapToGrid w:val="false"/>
        <w:spacing w:lineRule="exact" w:line="580"/>
        <w:ind w:firstLineChars="200" w:startChars="0" w:start="0" w:endChars="0" w:end="0"/>
        <w:rPr>
          <w:rFonts w:ascii="仿宋_GB2312;仿宋" w:hAnsi="仿宋_GB2312;仿宋" w:eastAsia="仿宋_GB2312;仿宋" w:cs="方正仿宋_GBK;微软雅黑" w:hint="eastAsia"/>
          <w:kern w:val="2"/>
          <w:sz w:val="32"/>
          <w:szCs w:val="32"/>
        </w:rPr>
      </w:pPr>
      <w:r>
        <w:rPr>
          <w:rFonts w:ascii="仿宋_GB2312;仿宋" w:hAnsi="仿宋_GB2312;仿宋" w:cs="方正仿宋_GBK;微软雅黑" w:hint="eastAsia" w:eastAsia="仿宋_GB2312;仿宋"/>
          <w:kern w:val="2"/>
          <w:sz w:val="32"/>
          <w:szCs w:val="32"/>
        </w:rPr>
        <w:t>（八）地方性法规规定的其他惩戒措施。</w:t>
      </w:r>
    </w:p>
    <w:p>
      <w:pPr>
        <w:pStyle w:val="Normal"/>
        <w:numPr>
          <w:ilvl w:val="0"/>
          <w:numId w:val="0"/>
        </w:numPr>
        <w:snapToGrid w:val="false"/>
        <w:spacing w:lineRule="exact" w:line="580"/>
        <w:ind w:firstLineChars="200" w:startChars="0" w:start="0" w:endChars="0" w:end="0"/>
        <w:outlineLvl w:val="2"/>
        <w:rPr>
          <w:rFonts w:ascii="仿宋_GB2312;仿宋" w:hAnsi="仿宋_GB2312;仿宋" w:eastAsia="仿宋_GB2312;仿宋" w:cs="方正仿宋_GBK;微软雅黑" w:hint="eastAsia"/>
          <w:kern w:val="2"/>
          <w:sz w:val="32"/>
          <w:szCs w:val="32"/>
        </w:rPr>
      </w:pPr>
      <w:r>
        <w:rPr>
          <w:rFonts w:ascii="黑体" w:hAnsi="黑体" w:cs="方正仿宋_GBK;微软雅黑" w:hint="eastAsia" w:eastAsia="黑体"/>
          <w:kern w:val="2"/>
          <w:sz w:val="32"/>
          <w:szCs w:val="32"/>
        </w:rPr>
        <w:t>第四十三条</w:t>
      </w:r>
      <w:r>
        <w:rPr>
          <w:rFonts w:ascii="仿宋_GB2312;仿宋" w:hAnsi="仿宋_GB2312;仿宋" w:cs="方正仿宋_GBK;微软雅黑" w:hint="eastAsia" w:eastAsia="仿宋_GB2312;仿宋"/>
          <w:kern w:val="2"/>
          <w:sz w:val="32"/>
          <w:szCs w:val="32"/>
        </w:rPr>
        <w:t xml:space="preserve">  国家机关以及法律、法规授权的具有管理公共事务职能的组织认定失信行为，应当依据下列文书：</w:t>
      </w:r>
    </w:p>
    <w:p>
      <w:pPr>
        <w:pStyle w:val="Normal"/>
        <w:numPr>
          <w:ilvl w:val="0"/>
          <w:numId w:val="0"/>
        </w:numPr>
        <w:snapToGrid w:val="false"/>
        <w:spacing w:lineRule="exact" w:line="580"/>
        <w:ind w:firstLineChars="200" w:startChars="0" w:start="0" w:endChars="0" w:end="0"/>
        <w:outlineLvl w:val="2"/>
        <w:rPr>
          <w:rFonts w:ascii="仿宋_GB2312;仿宋" w:hAnsi="仿宋_GB2312;仿宋" w:eastAsia="仿宋_GB2312;仿宋" w:cs="方正仿宋_GBK;微软雅黑" w:hint="eastAsia"/>
          <w:kern w:val="2"/>
          <w:sz w:val="32"/>
          <w:szCs w:val="32"/>
        </w:rPr>
      </w:pPr>
      <w:r>
        <w:rPr>
          <w:rFonts w:ascii="仿宋_GB2312;仿宋" w:hAnsi="仿宋_GB2312;仿宋" w:cs="方正仿宋_GBK;微软雅黑" w:hint="eastAsia" w:eastAsia="仿宋_GB2312;仿宋"/>
          <w:kern w:val="2"/>
          <w:sz w:val="32"/>
          <w:szCs w:val="32"/>
        </w:rPr>
        <w:t>（一）生效的司法裁判文书、仲裁文书；</w:t>
      </w:r>
    </w:p>
    <w:p>
      <w:pPr>
        <w:pStyle w:val="Normal"/>
        <w:numPr>
          <w:ilvl w:val="0"/>
          <w:numId w:val="0"/>
        </w:numPr>
        <w:snapToGrid w:val="false"/>
        <w:spacing w:lineRule="exact" w:line="580"/>
        <w:ind w:firstLineChars="200" w:startChars="0" w:start="0" w:endChars="0" w:end="0"/>
        <w:outlineLvl w:val="2"/>
        <w:rPr>
          <w:rFonts w:ascii="仿宋_GB2312;仿宋" w:hAnsi="仿宋_GB2312;仿宋" w:eastAsia="仿宋_GB2312;仿宋" w:cs="方正仿宋_GBK;微软雅黑" w:hint="eastAsia"/>
          <w:kern w:val="2"/>
          <w:sz w:val="32"/>
          <w:szCs w:val="32"/>
        </w:rPr>
      </w:pPr>
      <w:r>
        <w:rPr>
          <w:rFonts w:ascii="仿宋_GB2312;仿宋" w:hAnsi="仿宋_GB2312;仿宋" w:cs="方正仿宋_GBK;微软雅黑" w:hint="eastAsia" w:eastAsia="仿宋_GB2312;仿宋"/>
          <w:kern w:val="2"/>
          <w:sz w:val="32"/>
          <w:szCs w:val="32"/>
        </w:rPr>
        <w:t>（二）生效的行政处罚、行政裁决等行政行为决定文书；</w:t>
      </w:r>
    </w:p>
    <w:p>
      <w:pPr>
        <w:pStyle w:val="Normal"/>
        <w:numPr>
          <w:ilvl w:val="0"/>
          <w:numId w:val="0"/>
        </w:numPr>
        <w:snapToGrid w:val="false"/>
        <w:spacing w:lineRule="exact" w:line="580"/>
        <w:ind w:firstLineChars="200" w:startChars="0" w:start="0" w:endChars="0" w:end="0"/>
        <w:outlineLvl w:val="2"/>
        <w:rPr>
          <w:rFonts w:ascii="仿宋_GB2312;仿宋" w:hAnsi="仿宋_GB2312;仿宋" w:eastAsia="仿宋_GB2312;仿宋" w:cs="方正仿宋_GBK;微软雅黑" w:hint="eastAsia"/>
          <w:kern w:val="2"/>
          <w:sz w:val="32"/>
          <w:szCs w:val="32"/>
        </w:rPr>
      </w:pPr>
      <w:r>
        <w:rPr>
          <w:rFonts w:ascii="仿宋_GB2312;仿宋" w:hAnsi="仿宋_GB2312;仿宋" w:cs="方正仿宋_GBK;微软雅黑" w:hint="eastAsia" w:eastAsia="仿宋_GB2312;仿宋"/>
          <w:kern w:val="2"/>
          <w:sz w:val="32"/>
          <w:szCs w:val="32"/>
        </w:rPr>
        <w:t>（三）法律、法规或者国家规定可以作为失信行为认定依据的其他文书。</w:t>
      </w:r>
    </w:p>
    <w:p>
      <w:pPr>
        <w:pStyle w:val="Normal"/>
        <w:numPr>
          <w:ilvl w:val="0"/>
          <w:numId w:val="0"/>
        </w:numPr>
        <w:snapToGrid w:val="false"/>
        <w:spacing w:lineRule="exact" w:line="580"/>
        <w:ind w:firstLineChars="200" w:startChars="0" w:start="0" w:endChars="0" w:end="0"/>
        <w:outlineLvl w:val="2"/>
        <w:rPr>
          <w:rFonts w:ascii="仿宋_GB2312;仿宋" w:hAnsi="仿宋_GB2312;仿宋" w:eastAsia="仿宋_GB2312;仿宋" w:cs="方正仿宋_GBK;微软雅黑" w:hint="eastAsia"/>
          <w:kern w:val="2"/>
          <w:sz w:val="32"/>
          <w:szCs w:val="32"/>
        </w:rPr>
      </w:pPr>
      <w:r>
        <w:rPr>
          <w:rFonts w:ascii="仿宋_GB2312;仿宋" w:hAnsi="仿宋_GB2312;仿宋" w:cs="方正仿宋_GBK;微软雅黑" w:hint="eastAsia" w:eastAsia="仿宋_GB2312;仿宋"/>
          <w:kern w:val="2"/>
          <w:sz w:val="32"/>
          <w:szCs w:val="32"/>
        </w:rPr>
        <w:t>信用主体</w:t>
      </w:r>
      <w:r>
        <w:rPr>
          <w:rFonts w:ascii="仿宋_GB2312;仿宋" w:hAnsi="仿宋_GB2312;仿宋" w:cs="方正仿宋_GBK;微软雅黑" w:eastAsia="仿宋_GB2312;仿宋"/>
          <w:kern w:val="2"/>
          <w:sz w:val="32"/>
          <w:szCs w:val="32"/>
        </w:rPr>
        <w:t>被认定为失信主体的，其失信信息应当依法</w:t>
      </w:r>
      <w:r>
        <w:rPr>
          <w:rFonts w:ascii="仿宋_GB2312;仿宋" w:hAnsi="仿宋_GB2312;仿宋" w:cs="方正仿宋_GBK;微软雅黑" w:hint="eastAsia" w:eastAsia="仿宋_GB2312;仿宋"/>
          <w:kern w:val="2"/>
          <w:sz w:val="32"/>
          <w:szCs w:val="32"/>
        </w:rPr>
        <w:t>记入信用记录</w:t>
      </w:r>
      <w:r>
        <w:rPr>
          <w:rFonts w:ascii="仿宋_GB2312;仿宋" w:hAnsi="仿宋_GB2312;仿宋" w:cs="方正仿宋_GBK;微软雅黑" w:eastAsia="仿宋_GB2312;仿宋"/>
          <w:kern w:val="2"/>
          <w:sz w:val="32"/>
          <w:szCs w:val="32"/>
        </w:rPr>
        <w:t>。</w:t>
      </w:r>
    </w:p>
    <w:p>
      <w:pPr>
        <w:pStyle w:val="Normal"/>
        <w:numPr>
          <w:ilvl w:val="0"/>
          <w:numId w:val="0"/>
        </w:numPr>
        <w:snapToGrid w:val="false"/>
        <w:spacing w:lineRule="exact" w:line="580"/>
        <w:ind w:firstLineChars="200" w:startChars="0" w:start="0" w:endChars="0" w:end="0"/>
        <w:outlineLvl w:val="2"/>
        <w:rPr>
          <w:rFonts w:ascii="仿宋_GB2312;仿宋" w:hAnsi="仿宋_GB2312;仿宋" w:eastAsia="仿宋_GB2312;仿宋" w:cs="方正仿宋_GBK;微软雅黑" w:hint="eastAsia"/>
          <w:iCs/>
          <w:kern w:val="2"/>
          <w:sz w:val="32"/>
          <w:szCs w:val="32"/>
        </w:rPr>
      </w:pPr>
      <w:bookmarkStart w:id="30" w:name="tiao_26_kuan_2"/>
      <w:bookmarkEnd w:id="30"/>
      <w:r>
        <w:rPr>
          <w:rFonts w:ascii="黑体" w:hAnsi="黑体" w:cs="方正仿宋_GBK;微软雅黑" w:hint="eastAsia" w:eastAsia="黑体"/>
          <w:iCs/>
          <w:kern w:val="2"/>
          <w:sz w:val="32"/>
          <w:szCs w:val="32"/>
        </w:rPr>
        <w:t>第四十四条</w:t>
      </w:r>
      <w:r>
        <w:rPr>
          <w:rFonts w:ascii="仿宋_GB2312;仿宋" w:hAnsi="仿宋_GB2312;仿宋" w:cs="方正仿宋_GBK;微软雅黑" w:hint="eastAsia" w:eastAsia="仿宋_GB2312;仿宋"/>
          <w:iCs/>
          <w:kern w:val="2"/>
          <w:sz w:val="32"/>
          <w:szCs w:val="32"/>
        </w:rPr>
        <w:t xml:space="preserve">  下列严重失信行为的责任主体应当列入严重失信主体名单：</w:t>
      </w:r>
    </w:p>
    <w:p>
      <w:pPr>
        <w:pStyle w:val="Normal"/>
        <w:snapToGrid w:val="false"/>
        <w:spacing w:lineRule="exact" w:line="580"/>
        <w:ind w:firstLineChars="200" w:startChars="0" w:start="0" w:endChars="0" w:end="0"/>
        <w:rPr>
          <w:rFonts w:ascii="仿宋_GB2312;仿宋" w:hAnsi="仿宋_GB2312;仿宋" w:eastAsia="仿宋_GB2312;仿宋" w:cs="方正仿宋_GBK;微软雅黑" w:hint="eastAsia"/>
          <w:iCs/>
          <w:kern w:val="2"/>
          <w:sz w:val="32"/>
          <w:szCs w:val="32"/>
        </w:rPr>
      </w:pPr>
      <w:r>
        <w:rPr>
          <w:rFonts w:ascii="仿宋_GB2312;仿宋" w:hAnsi="仿宋_GB2312;仿宋" w:cs="方正仿宋_GBK;微软雅黑" w:hint="eastAsia" w:eastAsia="仿宋_GB2312;仿宋"/>
          <w:iCs/>
          <w:kern w:val="2"/>
          <w:sz w:val="32"/>
          <w:szCs w:val="32"/>
        </w:rPr>
        <w:t>（一）在食品药品、生态环境、工程质量、安全生产、消防安全、强制性产品认证等领域严重危害公民身体健康和生命安全的；</w:t>
      </w:r>
    </w:p>
    <w:p>
      <w:pPr>
        <w:pStyle w:val="Normal"/>
        <w:snapToGrid w:val="false"/>
        <w:spacing w:lineRule="exact" w:line="580"/>
        <w:ind w:firstLineChars="200" w:startChars="0" w:start="0" w:endChars="0" w:end="0"/>
        <w:rPr>
          <w:rFonts w:ascii="仿宋_GB2312;仿宋" w:hAnsi="仿宋_GB2312;仿宋" w:eastAsia="仿宋_GB2312;仿宋" w:cs="方正仿宋_GBK;微软雅黑" w:hint="eastAsia"/>
          <w:iCs/>
          <w:kern w:val="2"/>
          <w:sz w:val="32"/>
          <w:szCs w:val="32"/>
        </w:rPr>
      </w:pPr>
      <w:r>
        <w:rPr>
          <w:rFonts w:ascii="仿宋_GB2312;仿宋" w:hAnsi="仿宋_GB2312;仿宋" w:cs="方正仿宋_GBK;微软雅黑" w:hint="eastAsia" w:eastAsia="仿宋_GB2312;仿宋"/>
          <w:iCs/>
          <w:kern w:val="2"/>
          <w:sz w:val="32"/>
          <w:szCs w:val="32"/>
        </w:rPr>
        <w:t>（二）贿赂、逃税骗税、恶意逃废债务、恶意拖欠货款或者服务费、恶意欠薪、非法集资、合同欺诈、电信网络诈骗、传销、无证照经营、制售假冒伪劣产品和故意侵犯知识产权、出借和借用资质投标、围标串标、虚假广告、侵害消费者或者证券期货投资者合法权益、严重破坏网络空间传播秩序、聚众扰乱社会秩序等严重破坏市场公平竞争秩序和社会正常秩序的；</w:t>
      </w:r>
    </w:p>
    <w:p>
      <w:pPr>
        <w:pStyle w:val="Normal"/>
        <w:snapToGrid w:val="false"/>
        <w:spacing w:lineRule="exact" w:line="580"/>
        <w:ind w:firstLineChars="200" w:startChars="0" w:start="0" w:endChars="0" w:end="0"/>
        <w:rPr>
          <w:rFonts w:ascii="仿宋_GB2312;仿宋" w:hAnsi="仿宋_GB2312;仿宋" w:eastAsia="仿宋_GB2312;仿宋" w:cs="方正仿宋_GBK;微软雅黑" w:hint="eastAsia"/>
          <w:iCs/>
          <w:kern w:val="2"/>
          <w:sz w:val="32"/>
          <w:szCs w:val="32"/>
        </w:rPr>
      </w:pPr>
      <w:r>
        <w:rPr>
          <w:rFonts w:ascii="仿宋_GB2312;仿宋" w:hAnsi="仿宋_GB2312;仿宋" w:cs="方正仿宋_GBK;微软雅黑" w:hint="eastAsia" w:eastAsia="仿宋_GB2312;仿宋"/>
          <w:iCs/>
          <w:kern w:val="2"/>
          <w:sz w:val="32"/>
          <w:szCs w:val="32"/>
        </w:rPr>
        <w:t>（三）在司法机关、行政机关作出的裁判或者决定生效后，有履行能力但是拒不履行、逃避执行等严重影响司法机关和行政机关公信力的；</w:t>
      </w:r>
    </w:p>
    <w:p>
      <w:pPr>
        <w:pStyle w:val="Normal"/>
        <w:snapToGrid w:val="false"/>
        <w:spacing w:lineRule="exact" w:line="580"/>
        <w:ind w:firstLineChars="200" w:startChars="0" w:start="0" w:endChars="0" w:end="0"/>
        <w:rPr>
          <w:rFonts w:ascii="仿宋_GB2312;仿宋" w:hAnsi="仿宋_GB2312;仿宋" w:eastAsia="仿宋_GB2312;仿宋" w:cs="方正仿宋_GBK;微软雅黑"/>
          <w:iCs/>
          <w:kern w:val="2"/>
          <w:sz w:val="32"/>
          <w:szCs w:val="32"/>
        </w:rPr>
      </w:pPr>
      <w:r>
        <w:rPr>
          <w:rFonts w:ascii="仿宋_GB2312;仿宋" w:hAnsi="仿宋_GB2312;仿宋" w:cs="方正仿宋_GBK;微软雅黑" w:hint="eastAsia" w:eastAsia="仿宋_GB2312;仿宋"/>
          <w:iCs/>
          <w:kern w:val="2"/>
          <w:sz w:val="32"/>
          <w:szCs w:val="32"/>
        </w:rPr>
        <w:t>（四）拒不履行国防义务，拒绝、逃避兵役，拒绝、拖延民用资源征用或者阻碍对被征用的民用资源进行改造，危害国防利益，破坏国防设施的；</w:t>
      </w:r>
    </w:p>
    <w:p>
      <w:pPr>
        <w:pStyle w:val="Normal"/>
        <w:snapToGrid w:val="false"/>
        <w:spacing w:lineRule="exact" w:line="580"/>
        <w:ind w:firstLineChars="200" w:startChars="0" w:start="0" w:endChars="0" w:end="0"/>
        <w:rPr>
          <w:rFonts w:ascii="仿宋_GB2312;仿宋" w:hAnsi="仿宋_GB2312;仿宋" w:eastAsia="仿宋_GB2312;仿宋" w:cs="方正仿宋_GBK;微软雅黑" w:hint="eastAsia"/>
          <w:iCs/>
          <w:kern w:val="2"/>
          <w:sz w:val="32"/>
          <w:szCs w:val="32"/>
        </w:rPr>
      </w:pPr>
      <w:r>
        <w:rPr>
          <w:rFonts w:ascii="仿宋_GB2312;仿宋" w:hAnsi="仿宋_GB2312;仿宋" w:cs="方正仿宋_GBK;微软雅黑" w:eastAsia="仿宋_GB2312;仿宋"/>
          <w:iCs/>
          <w:kern w:val="2"/>
          <w:sz w:val="32"/>
          <w:szCs w:val="32"/>
        </w:rPr>
        <w:t>（</w:t>
      </w:r>
      <w:r>
        <w:rPr>
          <w:rFonts w:ascii="仿宋_GB2312;仿宋" w:hAnsi="仿宋_GB2312;仿宋" w:cs="方正仿宋_GBK;微软雅黑" w:hint="eastAsia" w:eastAsia="仿宋_GB2312;仿宋"/>
          <w:iCs/>
          <w:kern w:val="2"/>
          <w:sz w:val="32"/>
          <w:szCs w:val="32"/>
        </w:rPr>
        <w:t>五</w:t>
      </w:r>
      <w:r>
        <w:rPr>
          <w:rFonts w:ascii="仿宋_GB2312;仿宋" w:hAnsi="仿宋_GB2312;仿宋" w:cs="方正仿宋_GBK;微软雅黑" w:eastAsia="仿宋_GB2312;仿宋"/>
          <w:iCs/>
          <w:kern w:val="2"/>
          <w:sz w:val="32"/>
          <w:szCs w:val="32"/>
        </w:rPr>
        <w:t>）</w:t>
      </w:r>
      <w:r>
        <w:rPr>
          <w:rFonts w:ascii="仿宋_GB2312;仿宋" w:hAnsi="仿宋_GB2312;仿宋" w:cs="方正仿宋_GBK;微软雅黑" w:hint="eastAsia" w:eastAsia="仿宋_GB2312;仿宋"/>
          <w:iCs/>
          <w:kern w:val="2"/>
          <w:sz w:val="32"/>
          <w:szCs w:val="32"/>
        </w:rPr>
        <w:t>在</w:t>
      </w:r>
      <w:r>
        <w:rPr>
          <w:rFonts w:ascii="仿宋_GB2312;仿宋" w:hAnsi="仿宋_GB2312;仿宋" w:cs="方正仿宋_GBK;微软雅黑" w:eastAsia="仿宋_GB2312;仿宋"/>
          <w:iCs/>
          <w:kern w:val="2"/>
          <w:sz w:val="32"/>
          <w:szCs w:val="32"/>
        </w:rPr>
        <w:t>国家工作人员选拔考试、国家职业资格考试等</w:t>
      </w:r>
      <w:r>
        <w:rPr>
          <w:rFonts w:ascii="仿宋_GB2312;仿宋" w:hAnsi="仿宋_GB2312;仿宋" w:cs="方正仿宋_GBK;微软雅黑" w:hint="eastAsia" w:eastAsia="仿宋_GB2312;仿宋"/>
          <w:iCs/>
          <w:kern w:val="2"/>
          <w:sz w:val="32"/>
          <w:szCs w:val="32"/>
        </w:rPr>
        <w:t>中</w:t>
      </w:r>
      <w:r>
        <w:rPr>
          <w:rFonts w:ascii="仿宋_GB2312;仿宋" w:hAnsi="仿宋_GB2312;仿宋" w:cs="方正仿宋_GBK;微软雅黑" w:eastAsia="仿宋_GB2312;仿宋"/>
          <w:iCs/>
          <w:kern w:val="2"/>
          <w:sz w:val="32"/>
          <w:szCs w:val="32"/>
        </w:rPr>
        <w:t>作弊</w:t>
      </w:r>
      <w:r>
        <w:rPr>
          <w:rFonts w:ascii="仿宋_GB2312;仿宋" w:hAnsi="仿宋_GB2312;仿宋" w:cs="方正仿宋_GBK;微软雅黑" w:hint="eastAsia" w:eastAsia="仿宋_GB2312;仿宋"/>
          <w:iCs/>
          <w:kern w:val="2"/>
          <w:sz w:val="32"/>
          <w:szCs w:val="32"/>
        </w:rPr>
        <w:t>，</w:t>
      </w:r>
      <w:r>
        <w:rPr>
          <w:rFonts w:ascii="仿宋_GB2312;仿宋" w:hAnsi="仿宋_GB2312;仿宋" w:cs="方正仿宋_GBK;微软雅黑" w:eastAsia="仿宋_GB2312;仿宋"/>
          <w:iCs/>
          <w:kern w:val="2"/>
          <w:sz w:val="32"/>
          <w:szCs w:val="32"/>
        </w:rPr>
        <w:t>抄袭、剽窃他人科研学术成果，</w:t>
      </w:r>
      <w:r>
        <w:rPr>
          <w:rFonts w:ascii="仿宋_GB2312;仿宋" w:hAnsi="仿宋_GB2312;仿宋" w:cs="方正仿宋_GBK;微软雅黑" w:hint="eastAsia" w:eastAsia="仿宋_GB2312;仿宋"/>
          <w:iCs/>
          <w:kern w:val="2"/>
          <w:sz w:val="32"/>
          <w:szCs w:val="32"/>
        </w:rPr>
        <w:t>故意侵犯他人知识产权，采取贿赂、造假等不正当手段获取</w:t>
      </w:r>
      <w:r>
        <w:rPr>
          <w:rFonts w:ascii="仿宋_GB2312;仿宋" w:hAnsi="仿宋_GB2312;仿宋" w:cs="方正仿宋_GBK;微软雅黑" w:eastAsia="仿宋_GB2312;仿宋"/>
          <w:iCs/>
          <w:kern w:val="2"/>
          <w:sz w:val="32"/>
          <w:szCs w:val="32"/>
        </w:rPr>
        <w:t>科技计划项目</w:t>
      </w:r>
      <w:r>
        <w:rPr>
          <w:rFonts w:ascii="仿宋_GB2312;仿宋" w:hAnsi="仿宋_GB2312;仿宋" w:cs="方正仿宋_GBK;微软雅黑" w:hint="eastAsia" w:eastAsia="仿宋_GB2312;仿宋"/>
          <w:iCs/>
          <w:kern w:val="2"/>
          <w:sz w:val="32"/>
          <w:szCs w:val="32"/>
        </w:rPr>
        <w:t>承担资格</w:t>
      </w:r>
      <w:r>
        <w:rPr>
          <w:rFonts w:ascii="仿宋_GB2312;仿宋" w:hAnsi="仿宋_GB2312;仿宋" w:cs="方正仿宋_GBK;微软雅黑" w:eastAsia="仿宋_GB2312;仿宋"/>
          <w:iCs/>
          <w:kern w:val="2"/>
          <w:sz w:val="32"/>
          <w:szCs w:val="32"/>
        </w:rPr>
        <w:t>和科研经费以及奖励、荣誉等</w:t>
      </w:r>
      <w:r>
        <w:rPr>
          <w:rFonts w:ascii="仿宋_GB2312;仿宋" w:hAnsi="仿宋_GB2312;仿宋" w:cs="方正仿宋_GBK;微软雅黑" w:hint="eastAsia" w:eastAsia="仿宋_GB2312;仿宋"/>
          <w:iCs/>
          <w:kern w:val="2"/>
          <w:sz w:val="32"/>
          <w:szCs w:val="32"/>
        </w:rPr>
        <w:t>情节严重的；</w:t>
      </w:r>
    </w:p>
    <w:p>
      <w:pPr>
        <w:pStyle w:val="Normal"/>
        <w:snapToGrid w:val="false"/>
        <w:spacing w:lineRule="exact" w:line="580"/>
        <w:ind w:firstLineChars="200" w:startChars="0" w:start="0" w:endChars="0" w:end="0"/>
        <w:rPr>
          <w:rFonts w:ascii="仿宋_GB2312;仿宋" w:hAnsi="仿宋_GB2312;仿宋" w:eastAsia="仿宋_GB2312;仿宋" w:cs="方正仿宋_GBK;微软雅黑" w:hint="eastAsia"/>
          <w:iCs/>
          <w:kern w:val="2"/>
          <w:sz w:val="32"/>
          <w:szCs w:val="32"/>
        </w:rPr>
      </w:pPr>
      <w:r>
        <w:rPr>
          <w:rFonts w:ascii="仿宋_GB2312;仿宋" w:hAnsi="仿宋_GB2312;仿宋" w:cs="方正仿宋_GBK;微软雅黑" w:hint="eastAsia" w:eastAsia="仿宋_GB2312;仿宋"/>
          <w:iCs/>
          <w:kern w:val="2"/>
          <w:sz w:val="32"/>
          <w:szCs w:val="32"/>
        </w:rPr>
        <w:t>（六）实施</w:t>
      </w:r>
      <w:r>
        <w:rPr>
          <w:rFonts w:ascii="仿宋_GB2312;仿宋" w:hAnsi="仿宋_GB2312;仿宋" w:cs="方正仿宋_GBK;微软雅黑" w:eastAsia="仿宋_GB2312;仿宋"/>
          <w:iCs/>
          <w:kern w:val="2"/>
          <w:sz w:val="32"/>
          <w:szCs w:val="32"/>
        </w:rPr>
        <w:t>法律、法规规定的其他严重失信行为</w:t>
      </w:r>
      <w:r>
        <w:rPr>
          <w:rFonts w:ascii="仿宋_GB2312;仿宋" w:hAnsi="仿宋_GB2312;仿宋" w:cs="方正仿宋_GBK;微软雅黑" w:hint="eastAsia" w:eastAsia="仿宋_GB2312;仿宋"/>
          <w:iCs/>
          <w:kern w:val="2"/>
          <w:sz w:val="32"/>
          <w:szCs w:val="32"/>
        </w:rPr>
        <w:t>的</w:t>
      </w:r>
      <w:r>
        <w:rPr>
          <w:rFonts w:ascii="仿宋_GB2312;仿宋" w:hAnsi="仿宋_GB2312;仿宋" w:cs="方正仿宋_GBK;微软雅黑" w:eastAsia="仿宋_GB2312;仿宋"/>
          <w:iCs/>
          <w:kern w:val="2"/>
          <w:sz w:val="32"/>
          <w:szCs w:val="32"/>
        </w:rPr>
        <w:t>。</w:t>
      </w:r>
    </w:p>
    <w:p>
      <w:pPr>
        <w:pStyle w:val="Normal"/>
        <w:snapToGrid w:val="false"/>
        <w:spacing w:lineRule="exact" w:line="580"/>
        <w:ind w:firstLineChars="200" w:startChars="0" w:start="0" w:endChars="0" w:end="0"/>
        <w:rPr>
          <w:rFonts w:ascii="仿宋_GB2312;仿宋" w:hAnsi="仿宋_GB2312;仿宋" w:eastAsia="仿宋_GB2312;仿宋" w:cs="方正仿宋_GBK;微软雅黑"/>
          <w:iCs/>
          <w:kern w:val="2"/>
          <w:sz w:val="32"/>
          <w:szCs w:val="32"/>
        </w:rPr>
      </w:pPr>
      <w:r>
        <w:rPr>
          <w:rFonts w:ascii="仿宋_GB2312;仿宋" w:hAnsi="仿宋_GB2312;仿宋" w:cs="方正仿宋_GBK;微软雅黑" w:hint="eastAsia" w:eastAsia="仿宋_GB2312;仿宋"/>
          <w:iCs/>
          <w:kern w:val="2"/>
          <w:sz w:val="32"/>
          <w:szCs w:val="32"/>
        </w:rPr>
        <w:t>设列严重失信主体名单的领域，应当以法律、法规或者国家规定为依据，不得擅自增加或者扩展。</w:t>
      </w:r>
    </w:p>
    <w:p>
      <w:pPr>
        <w:pStyle w:val="Normal"/>
        <w:numPr>
          <w:ilvl w:val="0"/>
          <w:numId w:val="0"/>
        </w:numPr>
        <w:snapToGrid w:val="false"/>
        <w:spacing w:lineRule="exact" w:line="580"/>
        <w:ind w:firstLineChars="200" w:startChars="0" w:start="0" w:endChars="0" w:end="0"/>
        <w:outlineLvl w:val="2"/>
        <w:rPr>
          <w:rFonts w:eastAsia="楷体_GB2312;楷体" w:hint="eastAsia"/>
        </w:rPr>
      </w:pPr>
      <w:bookmarkStart w:id="31" w:name="tiao_33_kuan_1_xiang_8"/>
      <w:bookmarkStart w:id="32" w:name="tiao_29_kuan_1_xiang_4"/>
      <w:bookmarkStart w:id="33" w:name="tiao_28_kuan_6"/>
      <w:bookmarkEnd w:id="31"/>
      <w:bookmarkEnd w:id="32"/>
      <w:bookmarkEnd w:id="33"/>
      <w:r>
        <w:rPr>
          <w:rFonts w:ascii="黑体" w:hAnsi="黑体" w:cs="方正仿宋_GBK;微软雅黑" w:hint="eastAsia" w:eastAsia="黑体"/>
          <w:kern w:val="2"/>
          <w:sz w:val="32"/>
          <w:szCs w:val="32"/>
        </w:rPr>
        <w:t>第四十五条</w:t>
      </w:r>
      <w:r>
        <w:rPr>
          <w:rFonts w:ascii="仿宋_GB2312;仿宋" w:hAnsi="仿宋_GB2312;仿宋" w:cs="方正仿宋_GBK;微软雅黑" w:hint="eastAsia" w:eastAsia="仿宋_GB2312;仿宋"/>
          <w:kern w:val="2"/>
          <w:sz w:val="32"/>
          <w:szCs w:val="32"/>
        </w:rPr>
        <w:t xml:space="preserve">  严重失信主体的认定标准应当执行法律、行政法规或者国家有关规定。地方性法规规定严重失信行为的，应当同时规定严重失信主体认定标准和失信惩戒措施。</w:t>
      </w:r>
    </w:p>
    <w:p>
      <w:pPr>
        <w:pStyle w:val="Normal"/>
        <w:numPr>
          <w:ilvl w:val="0"/>
          <w:numId w:val="0"/>
        </w:numPr>
        <w:snapToGrid w:val="false"/>
        <w:spacing w:lineRule="exact" w:line="580"/>
        <w:ind w:firstLineChars="200" w:startChars="0" w:start="0" w:endChars="0" w:end="0"/>
        <w:outlineLvl w:val="2"/>
        <w:rPr>
          <w:rFonts w:ascii="仿宋_GB2312;仿宋" w:hAnsi="仿宋_GB2312;仿宋" w:eastAsia="仿宋_GB2312;仿宋" w:cs="方正仿宋_GBK;微软雅黑"/>
          <w:kern w:val="2"/>
          <w:sz w:val="32"/>
          <w:szCs w:val="32"/>
        </w:rPr>
      </w:pPr>
      <w:r>
        <w:rPr>
          <w:rFonts w:ascii="仿宋_GB2312;仿宋" w:hAnsi="仿宋_GB2312;仿宋" w:cs="方正仿宋_GBK;微软雅黑" w:hint="eastAsia" w:eastAsia="仿宋_GB2312;仿宋"/>
          <w:kern w:val="2"/>
          <w:sz w:val="32"/>
          <w:szCs w:val="32"/>
        </w:rPr>
        <w:t>制定仅在本行政区域内实施的严重失信主体认定标准，应当公开征求意见，并向社会公布。制定机关应当对认定标准执行情况定期进行评估并实行动态调整。</w:t>
      </w:r>
    </w:p>
    <w:p>
      <w:pPr>
        <w:pStyle w:val="Normal"/>
        <w:numPr>
          <w:ilvl w:val="0"/>
          <w:numId w:val="0"/>
        </w:numPr>
        <w:snapToGrid w:val="false"/>
        <w:spacing w:lineRule="exact" w:line="580"/>
        <w:ind w:firstLineChars="200" w:startChars="0" w:start="0" w:endChars="0" w:end="0"/>
        <w:outlineLvl w:val="2"/>
        <w:rPr>
          <w:rFonts w:ascii="仿宋_GB2312;仿宋" w:hAnsi="仿宋_GB2312;仿宋" w:eastAsia="仿宋_GB2312;仿宋" w:cs="方正仿宋_GBK;微软雅黑" w:hint="eastAsia"/>
          <w:kern w:val="2"/>
          <w:sz w:val="32"/>
          <w:szCs w:val="32"/>
        </w:rPr>
      </w:pPr>
      <w:r>
        <w:rPr>
          <w:rFonts w:ascii="黑体" w:hAnsi="黑体" w:cs="方正仿宋_GBK;微软雅黑" w:hint="eastAsia" w:eastAsia="黑体"/>
          <w:kern w:val="2"/>
          <w:sz w:val="32"/>
          <w:szCs w:val="32"/>
        </w:rPr>
        <w:t>第四十六条</w:t>
      </w:r>
      <w:r>
        <w:rPr>
          <w:rFonts w:ascii="仿宋_GB2312;仿宋" w:hAnsi="仿宋_GB2312;仿宋" w:cs="方正仿宋_GBK;微软雅黑" w:hint="eastAsia" w:eastAsia="仿宋_GB2312;仿宋"/>
          <w:kern w:val="2"/>
          <w:sz w:val="32"/>
          <w:szCs w:val="32"/>
        </w:rPr>
        <w:t xml:space="preserve">  国家机关以及法律、法规授权的具有管理公共事务职能的组织作出认定严重失信主体决定前，应当书面告知当事人作出决定的事由、依据及其享有的权利；当事人提出异议的，应当予以核实并及时反馈核实结果；当事人对核实结果仍有异议的，可以依法组织听证并书面反馈听证处理结果。</w:t>
      </w:r>
    </w:p>
    <w:p>
      <w:pPr>
        <w:pStyle w:val="Normal"/>
        <w:numPr>
          <w:ilvl w:val="0"/>
          <w:numId w:val="0"/>
        </w:numPr>
        <w:snapToGrid w:val="false"/>
        <w:spacing w:lineRule="exact" w:line="580"/>
        <w:ind w:firstLineChars="200" w:startChars="0" w:start="0" w:endChars="0" w:end="0"/>
        <w:outlineLvl w:val="2"/>
        <w:rPr>
          <w:rFonts w:ascii="仿宋_GB2312;仿宋" w:hAnsi="仿宋_GB2312;仿宋" w:eastAsia="仿宋_GB2312;仿宋" w:cs="方正仿宋_GBK;微软雅黑" w:hint="eastAsia"/>
          <w:kern w:val="2"/>
          <w:sz w:val="32"/>
          <w:szCs w:val="32"/>
        </w:rPr>
      </w:pPr>
      <w:r>
        <w:rPr>
          <w:rFonts w:ascii="仿宋_GB2312;仿宋" w:hAnsi="仿宋_GB2312;仿宋" w:cs="方正仿宋_GBK;微软雅黑" w:hint="eastAsia" w:eastAsia="仿宋_GB2312;仿宋"/>
          <w:kern w:val="2"/>
          <w:sz w:val="32"/>
          <w:szCs w:val="32"/>
        </w:rPr>
        <w:t>禁止不按照认定标准和认定程序擅自认定严重失信主体。</w:t>
      </w:r>
    </w:p>
    <w:p>
      <w:pPr>
        <w:pStyle w:val="Normal"/>
        <w:numPr>
          <w:ilvl w:val="0"/>
          <w:numId w:val="0"/>
        </w:numPr>
        <w:snapToGrid w:val="false"/>
        <w:spacing w:lineRule="exact" w:line="580"/>
        <w:ind w:firstLineChars="200" w:startChars="0" w:start="0" w:endChars="0" w:end="0"/>
        <w:outlineLvl w:val="2"/>
        <w:rPr>
          <w:rFonts w:ascii="仿宋_GB2312;仿宋" w:hAnsi="仿宋_GB2312;仿宋" w:eastAsia="仿宋_GB2312;仿宋" w:cs="方正仿宋_GBK;微软雅黑" w:hint="eastAsia"/>
          <w:kern w:val="2"/>
          <w:sz w:val="32"/>
          <w:szCs w:val="32"/>
        </w:rPr>
      </w:pPr>
      <w:r>
        <w:rPr>
          <w:rFonts w:ascii="黑体" w:hAnsi="黑体" w:cs="方正仿宋_GBK;微软雅黑" w:hint="eastAsia" w:eastAsia="黑体"/>
          <w:kern w:val="2"/>
          <w:sz w:val="32"/>
          <w:szCs w:val="32"/>
        </w:rPr>
        <w:t>第四十七条</w:t>
      </w:r>
      <w:r>
        <w:rPr>
          <w:rFonts w:ascii="楷体_GB2312;楷体" w:hAnsi="楷体_GB2312;楷体" w:cs="方正仿宋_GBK;微软雅黑" w:hint="eastAsia" w:eastAsia="楷体_GB2312;楷体"/>
          <w:kern w:val="2"/>
          <w:sz w:val="32"/>
          <w:szCs w:val="32"/>
        </w:rPr>
        <w:t xml:space="preserve"> </w:t>
      </w:r>
      <w:r>
        <w:rPr>
          <w:rFonts w:ascii="黑体" w:hAnsi="黑体" w:cs="方正仿宋_GBK;微软雅黑" w:eastAsia="黑体"/>
          <w:kern w:val="2"/>
          <w:sz w:val="32"/>
          <w:szCs w:val="32"/>
        </w:rPr>
        <w:t xml:space="preserve"> </w:t>
      </w:r>
      <w:r>
        <w:rPr>
          <w:rFonts w:ascii="仿宋_GB2312;仿宋" w:hAnsi="仿宋_GB2312;仿宋" w:cs="方正仿宋_GBK;微软雅黑" w:hint="eastAsia" w:eastAsia="仿宋_GB2312;仿宋"/>
          <w:kern w:val="2"/>
          <w:sz w:val="32"/>
          <w:szCs w:val="32"/>
        </w:rPr>
        <w:t>国家机关以及法律、法规授权的具有管理公共事务职能的组织对严重失信主体以外的其他失信主体作出失信惩戒决定</w:t>
      </w:r>
      <w:r>
        <w:rPr>
          <w:rFonts w:ascii="仿宋_GB2312;仿宋" w:hAnsi="仿宋_GB2312;仿宋" w:cs="方正仿宋_GBK;微软雅黑" w:eastAsia="仿宋_GB2312;仿宋"/>
          <w:kern w:val="2"/>
          <w:sz w:val="32"/>
          <w:szCs w:val="32"/>
        </w:rPr>
        <w:t>前，应当书面告知当事人列入的事实、理由、依据、</w:t>
      </w:r>
      <w:r>
        <w:rPr>
          <w:rFonts w:ascii="仿宋_GB2312;仿宋" w:hAnsi="仿宋_GB2312;仿宋" w:cs="方正仿宋_GBK;微软雅黑" w:hint="eastAsia" w:eastAsia="仿宋_GB2312;仿宋"/>
          <w:kern w:val="2"/>
          <w:sz w:val="32"/>
          <w:szCs w:val="32"/>
        </w:rPr>
        <w:t>惩戒</w:t>
      </w:r>
      <w:r>
        <w:rPr>
          <w:rFonts w:ascii="仿宋_GB2312;仿宋" w:hAnsi="仿宋_GB2312;仿宋" w:cs="方正仿宋_GBK;微软雅黑" w:eastAsia="仿宋_GB2312;仿宋"/>
          <w:kern w:val="2"/>
          <w:sz w:val="32"/>
          <w:szCs w:val="32"/>
        </w:rPr>
        <w:t>措施以及当事人享有的陈述、申辩</w:t>
      </w:r>
      <w:r>
        <w:rPr>
          <w:rFonts w:ascii="仿宋_GB2312;仿宋" w:hAnsi="仿宋_GB2312;仿宋" w:cs="方正仿宋_GBK;微软雅黑" w:hint="eastAsia" w:eastAsia="仿宋_GB2312;仿宋"/>
          <w:kern w:val="2"/>
          <w:sz w:val="32"/>
          <w:szCs w:val="32"/>
        </w:rPr>
        <w:t>等权利</w:t>
      </w:r>
      <w:r>
        <w:rPr>
          <w:rFonts w:ascii="仿宋_GB2312;仿宋" w:hAnsi="仿宋_GB2312;仿宋" w:cs="方正仿宋_GBK;微软雅黑" w:eastAsia="仿宋_GB2312;仿宋"/>
          <w:kern w:val="2"/>
          <w:sz w:val="32"/>
          <w:szCs w:val="32"/>
        </w:rPr>
        <w:t>；无法书面告知的，应当公告告知。</w:t>
      </w:r>
    </w:p>
    <w:p>
      <w:pPr>
        <w:pStyle w:val="Normal"/>
        <w:numPr>
          <w:ilvl w:val="0"/>
          <w:numId w:val="0"/>
        </w:numPr>
        <w:snapToGrid w:val="false"/>
        <w:spacing w:lineRule="exact" w:line="580"/>
        <w:ind w:firstLineChars="200" w:startChars="0" w:start="0" w:endChars="0" w:end="0"/>
        <w:outlineLvl w:val="2"/>
        <w:rPr>
          <w:rFonts w:ascii="仿宋_GB2312;仿宋" w:hAnsi="仿宋_GB2312;仿宋" w:eastAsia="仿宋_GB2312;仿宋" w:cs="方正仿宋_GBK;微软雅黑" w:hint="eastAsia"/>
          <w:kern w:val="2"/>
          <w:sz w:val="32"/>
          <w:szCs w:val="32"/>
        </w:rPr>
      </w:pPr>
      <w:r>
        <w:rPr>
          <w:rFonts w:ascii="仿宋_GB2312;仿宋" w:hAnsi="仿宋_GB2312;仿宋" w:cs="方正仿宋_GBK;微软雅黑" w:eastAsia="仿宋_GB2312;仿宋"/>
          <w:kern w:val="2"/>
          <w:sz w:val="32"/>
          <w:szCs w:val="32"/>
        </w:rPr>
        <w:t>当事人有异议的，有权</w:t>
      </w:r>
      <w:r>
        <w:rPr>
          <w:rFonts w:ascii="仿宋_GB2312;仿宋" w:hAnsi="仿宋_GB2312;仿宋" w:cs="方正仿宋_GBK;微软雅黑" w:hint="eastAsia" w:eastAsia="仿宋_GB2312;仿宋"/>
          <w:kern w:val="2"/>
          <w:sz w:val="32"/>
          <w:szCs w:val="32"/>
        </w:rPr>
        <w:t>自</w:t>
      </w:r>
      <w:r>
        <w:rPr>
          <w:rFonts w:ascii="仿宋_GB2312;仿宋" w:hAnsi="仿宋_GB2312;仿宋" w:cs="方正仿宋_GBK;微软雅黑" w:eastAsia="仿宋_GB2312;仿宋"/>
          <w:kern w:val="2"/>
          <w:sz w:val="32"/>
          <w:szCs w:val="32"/>
        </w:rPr>
        <w:t>收到告知书之日起</w:t>
      </w:r>
      <w:r>
        <w:rPr>
          <w:rFonts w:ascii="仿宋_GB2312;仿宋" w:hAnsi="仿宋_GB2312;仿宋" w:cs="方正仿宋_GBK;微软雅黑" w:hint="eastAsia" w:eastAsia="仿宋_GB2312;仿宋"/>
          <w:kern w:val="2"/>
          <w:sz w:val="32"/>
          <w:szCs w:val="32"/>
        </w:rPr>
        <w:t>十</w:t>
      </w:r>
      <w:r>
        <w:rPr>
          <w:rFonts w:ascii="仿宋_GB2312;仿宋" w:hAnsi="仿宋_GB2312;仿宋" w:cs="方正仿宋_GBK;微软雅黑" w:eastAsia="仿宋_GB2312;仿宋"/>
          <w:kern w:val="2"/>
          <w:sz w:val="32"/>
          <w:szCs w:val="32"/>
        </w:rPr>
        <w:t>个工作日内向</w:t>
      </w:r>
      <w:r>
        <w:rPr>
          <w:rFonts w:ascii="仿宋_GB2312;仿宋" w:hAnsi="仿宋_GB2312;仿宋" w:cs="方正仿宋_GBK;微软雅黑" w:hint="eastAsia" w:eastAsia="仿宋_GB2312;仿宋"/>
          <w:kern w:val="2"/>
          <w:sz w:val="32"/>
          <w:szCs w:val="32"/>
        </w:rPr>
        <w:t>认定机关</w:t>
      </w:r>
      <w:r>
        <w:rPr>
          <w:rFonts w:ascii="仿宋_GB2312;仿宋" w:hAnsi="仿宋_GB2312;仿宋" w:cs="方正仿宋_GBK;微软雅黑" w:eastAsia="仿宋_GB2312;仿宋"/>
          <w:kern w:val="2"/>
          <w:sz w:val="32"/>
          <w:szCs w:val="32"/>
        </w:rPr>
        <w:t>提交书面陈述、申辩及相关证明材料；通过公告方式告知的，当事人自公告告知之日起</w:t>
      </w:r>
      <w:r>
        <w:rPr>
          <w:rFonts w:ascii="仿宋_GB2312;仿宋" w:hAnsi="仿宋_GB2312;仿宋" w:cs="方正仿宋_GBK;微软雅黑" w:hint="eastAsia" w:eastAsia="仿宋_GB2312;仿宋"/>
          <w:kern w:val="2"/>
          <w:sz w:val="32"/>
          <w:szCs w:val="32"/>
        </w:rPr>
        <w:t>三十</w:t>
      </w:r>
      <w:r>
        <w:rPr>
          <w:rFonts w:ascii="仿宋_GB2312;仿宋" w:hAnsi="仿宋_GB2312;仿宋" w:cs="方正仿宋_GBK;微软雅黑" w:eastAsia="仿宋_GB2312;仿宋"/>
          <w:kern w:val="2"/>
          <w:sz w:val="32"/>
          <w:szCs w:val="32"/>
        </w:rPr>
        <w:t>日内未提出陈述、申辩意见的，视为无异议。</w:t>
      </w:r>
    </w:p>
    <w:p>
      <w:pPr>
        <w:pStyle w:val="Normal"/>
        <w:numPr>
          <w:ilvl w:val="0"/>
          <w:numId w:val="0"/>
        </w:numPr>
        <w:snapToGrid w:val="false"/>
        <w:spacing w:lineRule="exact" w:line="580"/>
        <w:ind w:firstLineChars="200" w:startChars="0" w:start="0" w:endChars="0" w:end="0"/>
        <w:outlineLvl w:val="2"/>
        <w:rPr>
          <w:rFonts w:ascii="仿宋_GB2312;仿宋" w:hAnsi="仿宋_GB2312;仿宋" w:eastAsia="仿宋_GB2312;仿宋" w:cs="方正仿宋_GBK;微软雅黑"/>
          <w:kern w:val="2"/>
          <w:sz w:val="32"/>
          <w:szCs w:val="32"/>
        </w:rPr>
      </w:pPr>
      <w:r>
        <w:rPr>
          <w:rFonts w:ascii="仿宋_GB2312;仿宋" w:hAnsi="仿宋_GB2312;仿宋" w:cs="方正仿宋_GBK;微软雅黑" w:hint="eastAsia" w:eastAsia="仿宋_GB2312;仿宋"/>
          <w:kern w:val="2"/>
          <w:sz w:val="32"/>
          <w:szCs w:val="32"/>
        </w:rPr>
        <w:t>认定机关</w:t>
      </w:r>
      <w:r>
        <w:rPr>
          <w:rFonts w:ascii="仿宋_GB2312;仿宋" w:hAnsi="仿宋_GB2312;仿宋" w:cs="方正仿宋_GBK;微软雅黑" w:eastAsia="仿宋_GB2312;仿宋"/>
          <w:kern w:val="2"/>
          <w:sz w:val="32"/>
          <w:szCs w:val="32"/>
        </w:rPr>
        <w:t>应当自收到陈述、申辩意见之日起</w:t>
      </w:r>
      <w:r>
        <w:rPr>
          <w:rFonts w:ascii="仿宋_GB2312;仿宋" w:hAnsi="仿宋_GB2312;仿宋" w:cs="方正仿宋_GBK;微软雅黑" w:hint="eastAsia" w:eastAsia="仿宋_GB2312;仿宋"/>
          <w:kern w:val="2"/>
          <w:sz w:val="32"/>
          <w:szCs w:val="32"/>
        </w:rPr>
        <w:t>十五</w:t>
      </w:r>
      <w:r>
        <w:rPr>
          <w:rFonts w:ascii="仿宋_GB2312;仿宋" w:hAnsi="仿宋_GB2312;仿宋" w:cs="方正仿宋_GBK;微软雅黑" w:eastAsia="仿宋_GB2312;仿宋"/>
          <w:kern w:val="2"/>
          <w:sz w:val="32"/>
          <w:szCs w:val="32"/>
        </w:rPr>
        <w:t>个工作日内进行复核并书面答复当事人。</w:t>
      </w:r>
    </w:p>
    <w:p>
      <w:pPr>
        <w:pStyle w:val="Normal"/>
        <w:numPr>
          <w:ilvl w:val="0"/>
          <w:numId w:val="0"/>
        </w:numPr>
        <w:snapToGrid w:val="false"/>
        <w:spacing w:lineRule="exact" w:line="580"/>
        <w:ind w:firstLineChars="200" w:startChars="0" w:start="0" w:endChars="0" w:end="0"/>
        <w:outlineLvl w:val="2"/>
        <w:rPr>
          <w:rFonts w:ascii="仿宋_GB2312;仿宋" w:hAnsi="仿宋_GB2312;仿宋" w:eastAsia="仿宋_GB2312;仿宋" w:cs="方正仿宋_GBK;微软雅黑" w:hint="eastAsia"/>
          <w:kern w:val="2"/>
          <w:sz w:val="32"/>
          <w:szCs w:val="32"/>
        </w:rPr>
      </w:pPr>
      <w:r>
        <w:rPr>
          <w:rFonts w:ascii="仿宋_GB2312;仿宋" w:hAnsi="仿宋_GB2312;仿宋" w:cs="方正仿宋_GBK;微软雅黑" w:hint="eastAsia" w:eastAsia="仿宋_GB2312;仿宋"/>
          <w:kern w:val="2"/>
          <w:sz w:val="32"/>
          <w:szCs w:val="32"/>
        </w:rPr>
        <w:t>作出失信惩戒决定的</w:t>
      </w:r>
      <w:r>
        <w:rPr>
          <w:rFonts w:ascii="仿宋_GB2312;仿宋" w:hAnsi="仿宋_GB2312;仿宋" w:cs="方正仿宋_GBK;微软雅黑" w:eastAsia="仿宋_GB2312;仿宋"/>
          <w:kern w:val="2"/>
          <w:sz w:val="32"/>
          <w:szCs w:val="32"/>
        </w:rPr>
        <w:t>机关不得因当事人陈述、申辩而给予更重的处罚。</w:t>
      </w:r>
    </w:p>
    <w:p>
      <w:pPr>
        <w:pStyle w:val="Normal"/>
        <w:numPr>
          <w:ilvl w:val="0"/>
          <w:numId w:val="0"/>
        </w:numPr>
        <w:snapToGrid w:val="false"/>
        <w:spacing w:lineRule="exact" w:line="580"/>
        <w:ind w:firstLineChars="200" w:startChars="0" w:start="0" w:endChars="0" w:end="0"/>
        <w:outlineLvl w:val="2"/>
        <w:rPr>
          <w:rFonts w:ascii="仿宋_GB2312;仿宋" w:hAnsi="仿宋_GB2312;仿宋" w:eastAsia="仿宋_GB2312;仿宋" w:cs="方正仿宋_GBK;微软雅黑"/>
          <w:kern w:val="2"/>
          <w:sz w:val="32"/>
          <w:szCs w:val="32"/>
        </w:rPr>
      </w:pPr>
      <w:r>
        <w:rPr>
          <w:rFonts w:ascii="黑体" w:hAnsi="黑体" w:cs="方正仿宋_GBK;微软雅黑" w:hint="eastAsia" w:eastAsia="黑体"/>
          <w:kern w:val="2"/>
          <w:sz w:val="32"/>
          <w:szCs w:val="32"/>
        </w:rPr>
        <w:t xml:space="preserve">第四十八条 </w:t>
      </w:r>
      <w:r>
        <w:rPr>
          <w:rFonts w:ascii="黑体" w:hAnsi="黑体" w:cs="方正仿宋_GBK;微软雅黑" w:eastAsia="黑体"/>
          <w:kern w:val="2"/>
          <w:sz w:val="32"/>
          <w:szCs w:val="32"/>
        </w:rPr>
        <w:t xml:space="preserve"> </w:t>
      </w:r>
      <w:r>
        <w:rPr>
          <w:rFonts w:ascii="仿宋_GB2312;仿宋" w:hAnsi="仿宋_GB2312;仿宋" w:cs="方正仿宋_GBK;微软雅黑" w:hint="eastAsia" w:eastAsia="仿宋_GB2312;仿宋"/>
          <w:kern w:val="2"/>
          <w:sz w:val="32"/>
          <w:szCs w:val="32"/>
        </w:rPr>
        <w:t>国家机关以及法律、法规授权的具有管理公共事务职能的组织对失信主体</w:t>
      </w:r>
      <w:r>
        <w:rPr>
          <w:rFonts w:ascii="仿宋_GB2312;仿宋" w:hAnsi="仿宋_GB2312;仿宋" w:cs="方正仿宋_GBK;微软雅黑" w:eastAsia="仿宋_GB2312;仿宋"/>
          <w:kern w:val="2"/>
          <w:sz w:val="32"/>
          <w:szCs w:val="32"/>
        </w:rPr>
        <w:t>给予</w:t>
      </w:r>
      <w:r>
        <w:rPr>
          <w:rFonts w:ascii="仿宋_GB2312;仿宋" w:hAnsi="仿宋_GB2312;仿宋" w:cs="方正仿宋_GBK;微软雅黑" w:hint="eastAsia" w:eastAsia="仿宋_GB2312;仿宋"/>
          <w:kern w:val="2"/>
          <w:sz w:val="32"/>
          <w:szCs w:val="32"/>
        </w:rPr>
        <w:t>失信惩戒</w:t>
      </w:r>
      <w:r>
        <w:rPr>
          <w:rFonts w:ascii="仿宋_GB2312;仿宋" w:hAnsi="仿宋_GB2312;仿宋" w:cs="方正仿宋_GBK;微软雅黑" w:eastAsia="仿宋_GB2312;仿宋"/>
          <w:kern w:val="2"/>
          <w:sz w:val="32"/>
          <w:szCs w:val="32"/>
        </w:rPr>
        <w:t>，应当制作</w:t>
      </w:r>
      <w:r>
        <w:rPr>
          <w:rFonts w:ascii="仿宋_GB2312;仿宋" w:hAnsi="仿宋_GB2312;仿宋" w:cs="方正仿宋_GBK;微软雅黑" w:hint="eastAsia" w:eastAsia="仿宋_GB2312;仿宋"/>
          <w:kern w:val="2"/>
          <w:sz w:val="32"/>
          <w:szCs w:val="32"/>
        </w:rPr>
        <w:t>失信惩戒</w:t>
      </w:r>
      <w:r>
        <w:rPr>
          <w:rFonts w:ascii="仿宋_GB2312;仿宋" w:hAnsi="仿宋_GB2312;仿宋" w:cs="方正仿宋_GBK;微软雅黑" w:eastAsia="仿宋_GB2312;仿宋"/>
          <w:kern w:val="2"/>
          <w:sz w:val="32"/>
          <w:szCs w:val="32"/>
        </w:rPr>
        <w:t>决定书。</w:t>
      </w:r>
      <w:r>
        <w:rPr>
          <w:rFonts w:ascii="仿宋_GB2312;仿宋" w:hAnsi="仿宋_GB2312;仿宋" w:cs="方正仿宋_GBK;微软雅黑" w:hint="eastAsia" w:eastAsia="仿宋_GB2312;仿宋"/>
          <w:kern w:val="2"/>
          <w:sz w:val="32"/>
          <w:szCs w:val="32"/>
        </w:rPr>
        <w:t>失信惩戒</w:t>
      </w:r>
      <w:r>
        <w:rPr>
          <w:rFonts w:ascii="仿宋_GB2312;仿宋" w:hAnsi="仿宋_GB2312;仿宋" w:cs="方正仿宋_GBK;微软雅黑" w:eastAsia="仿宋_GB2312;仿宋"/>
          <w:kern w:val="2"/>
          <w:sz w:val="32"/>
          <w:szCs w:val="32"/>
        </w:rPr>
        <w:t>决定书应当载明下列事项：</w:t>
      </w:r>
    </w:p>
    <w:p>
      <w:pPr>
        <w:pStyle w:val="Normal"/>
        <w:numPr>
          <w:ilvl w:val="0"/>
          <w:numId w:val="0"/>
        </w:numPr>
        <w:snapToGrid w:val="false"/>
        <w:spacing w:lineRule="exact" w:line="580"/>
        <w:ind w:firstLineChars="200" w:startChars="0" w:start="0" w:endChars="0" w:end="0"/>
        <w:outlineLvl w:val="2"/>
        <w:rPr>
          <w:rFonts w:ascii="仿宋_GB2312;仿宋" w:hAnsi="仿宋_GB2312;仿宋" w:eastAsia="仿宋_GB2312;仿宋" w:cs="方正仿宋_GBK;微软雅黑"/>
          <w:kern w:val="2"/>
          <w:sz w:val="32"/>
          <w:szCs w:val="32"/>
        </w:rPr>
      </w:pPr>
      <w:bookmarkStart w:id="34" w:name="tiao_59_kuan_1_xiang_1"/>
      <w:bookmarkEnd w:id="34"/>
      <w:r>
        <w:rPr>
          <w:rFonts w:ascii="仿宋_GB2312;仿宋" w:hAnsi="仿宋_GB2312;仿宋" w:cs="方正仿宋_GBK;微软雅黑" w:eastAsia="仿宋_GB2312;仿宋"/>
          <w:kern w:val="2"/>
          <w:sz w:val="32"/>
          <w:szCs w:val="32"/>
        </w:rPr>
        <w:t>（一）当事人的姓名或者名称、地址；</w:t>
      </w:r>
    </w:p>
    <w:p>
      <w:pPr>
        <w:pStyle w:val="Normal"/>
        <w:numPr>
          <w:ilvl w:val="0"/>
          <w:numId w:val="0"/>
        </w:numPr>
        <w:snapToGrid w:val="false"/>
        <w:spacing w:lineRule="exact" w:line="580"/>
        <w:ind w:firstLineChars="200" w:startChars="0" w:start="0" w:endChars="0" w:end="0"/>
        <w:outlineLvl w:val="2"/>
        <w:rPr>
          <w:rFonts w:ascii="仿宋_GB2312;仿宋" w:hAnsi="仿宋_GB2312;仿宋" w:eastAsia="仿宋_GB2312;仿宋" w:cs="方正仿宋_GBK;微软雅黑"/>
          <w:kern w:val="2"/>
          <w:sz w:val="32"/>
          <w:szCs w:val="32"/>
        </w:rPr>
      </w:pPr>
      <w:bookmarkStart w:id="35" w:name="tiao_59_kuan_1_xiang_2"/>
      <w:bookmarkEnd w:id="35"/>
      <w:r>
        <w:rPr>
          <w:rFonts w:ascii="仿宋_GB2312;仿宋" w:hAnsi="仿宋_GB2312;仿宋" w:cs="方正仿宋_GBK;微软雅黑" w:eastAsia="仿宋_GB2312;仿宋"/>
          <w:kern w:val="2"/>
          <w:sz w:val="32"/>
          <w:szCs w:val="32"/>
        </w:rPr>
        <w:t>（二）</w:t>
      </w:r>
      <w:r>
        <w:rPr>
          <w:rFonts w:ascii="仿宋_GB2312;仿宋" w:hAnsi="仿宋_GB2312;仿宋" w:cs="方正仿宋_GBK;微软雅黑" w:hint="eastAsia" w:eastAsia="仿宋_GB2312;仿宋"/>
          <w:kern w:val="2"/>
          <w:sz w:val="32"/>
          <w:szCs w:val="32"/>
        </w:rPr>
        <w:t>失信行为</w:t>
      </w:r>
      <w:r>
        <w:rPr>
          <w:rFonts w:ascii="仿宋_GB2312;仿宋" w:hAnsi="仿宋_GB2312;仿宋" w:cs="方正仿宋_GBK;微软雅黑" w:eastAsia="仿宋_GB2312;仿宋"/>
          <w:kern w:val="2"/>
          <w:sz w:val="32"/>
          <w:szCs w:val="32"/>
        </w:rPr>
        <w:t>的事实和证据；</w:t>
      </w:r>
    </w:p>
    <w:p>
      <w:pPr>
        <w:pStyle w:val="Normal"/>
        <w:numPr>
          <w:ilvl w:val="0"/>
          <w:numId w:val="0"/>
        </w:numPr>
        <w:snapToGrid w:val="false"/>
        <w:spacing w:lineRule="exact" w:line="580"/>
        <w:ind w:firstLineChars="200" w:startChars="0" w:start="0" w:endChars="0" w:end="0"/>
        <w:outlineLvl w:val="2"/>
        <w:rPr>
          <w:rFonts w:ascii="仿宋_GB2312;仿宋" w:hAnsi="仿宋_GB2312;仿宋" w:eastAsia="仿宋_GB2312;仿宋" w:cs="方正仿宋_GBK;微软雅黑"/>
          <w:kern w:val="2"/>
          <w:sz w:val="32"/>
          <w:szCs w:val="32"/>
        </w:rPr>
      </w:pPr>
      <w:bookmarkStart w:id="36" w:name="tiao_59_kuan_1_xiang_3"/>
      <w:bookmarkEnd w:id="36"/>
      <w:r>
        <w:rPr>
          <w:rFonts w:ascii="仿宋_GB2312;仿宋" w:hAnsi="仿宋_GB2312;仿宋" w:cs="方正仿宋_GBK;微软雅黑" w:eastAsia="仿宋_GB2312;仿宋"/>
          <w:kern w:val="2"/>
          <w:sz w:val="32"/>
          <w:szCs w:val="32"/>
        </w:rPr>
        <w:t>（三）</w:t>
      </w:r>
      <w:r>
        <w:rPr>
          <w:rFonts w:ascii="仿宋_GB2312;仿宋" w:hAnsi="仿宋_GB2312;仿宋" w:cs="方正仿宋_GBK;微软雅黑" w:hint="eastAsia" w:eastAsia="仿宋_GB2312;仿宋"/>
          <w:kern w:val="2"/>
          <w:sz w:val="32"/>
          <w:szCs w:val="32"/>
        </w:rPr>
        <w:t>失信惩戒措施</w:t>
      </w:r>
      <w:r>
        <w:rPr>
          <w:rFonts w:ascii="仿宋_GB2312;仿宋" w:hAnsi="仿宋_GB2312;仿宋" w:cs="方正仿宋_GBK;微软雅黑" w:eastAsia="仿宋_GB2312;仿宋"/>
          <w:kern w:val="2"/>
          <w:sz w:val="32"/>
          <w:szCs w:val="32"/>
        </w:rPr>
        <w:t>的种类和依据；</w:t>
      </w:r>
    </w:p>
    <w:p>
      <w:pPr>
        <w:pStyle w:val="Normal"/>
        <w:numPr>
          <w:ilvl w:val="0"/>
          <w:numId w:val="0"/>
        </w:numPr>
        <w:snapToGrid w:val="false"/>
        <w:spacing w:lineRule="exact" w:line="580"/>
        <w:ind w:firstLineChars="200" w:startChars="0" w:start="0" w:endChars="0" w:end="0"/>
        <w:outlineLvl w:val="2"/>
        <w:rPr>
          <w:rFonts w:ascii="仿宋_GB2312;仿宋" w:hAnsi="仿宋_GB2312;仿宋" w:eastAsia="仿宋_GB2312;仿宋" w:cs="方正仿宋_GBK;微软雅黑"/>
          <w:kern w:val="2"/>
          <w:sz w:val="32"/>
          <w:szCs w:val="32"/>
        </w:rPr>
      </w:pPr>
      <w:bookmarkStart w:id="37" w:name="tiao_59_kuan_1_xiang_4"/>
      <w:bookmarkEnd w:id="37"/>
      <w:r>
        <w:rPr>
          <w:rFonts w:ascii="仿宋_GB2312;仿宋" w:hAnsi="仿宋_GB2312;仿宋" w:cs="方正仿宋_GBK;微软雅黑" w:eastAsia="仿宋_GB2312;仿宋"/>
          <w:kern w:val="2"/>
          <w:sz w:val="32"/>
          <w:szCs w:val="32"/>
        </w:rPr>
        <w:t>（四）</w:t>
      </w:r>
      <w:r>
        <w:rPr>
          <w:rFonts w:ascii="仿宋_GB2312;仿宋" w:hAnsi="仿宋_GB2312;仿宋" w:cs="方正仿宋_GBK;微软雅黑" w:hint="eastAsia" w:eastAsia="仿宋_GB2312;仿宋"/>
          <w:kern w:val="2"/>
          <w:sz w:val="32"/>
          <w:szCs w:val="32"/>
        </w:rPr>
        <w:t>失信惩戒</w:t>
      </w:r>
      <w:r>
        <w:rPr>
          <w:rFonts w:ascii="仿宋_GB2312;仿宋" w:hAnsi="仿宋_GB2312;仿宋" w:cs="方正仿宋_GBK;微软雅黑" w:eastAsia="仿宋_GB2312;仿宋"/>
          <w:kern w:val="2"/>
          <w:sz w:val="32"/>
          <w:szCs w:val="32"/>
        </w:rPr>
        <w:t>的</w:t>
      </w:r>
      <w:r>
        <w:rPr>
          <w:rFonts w:ascii="仿宋_GB2312;仿宋" w:hAnsi="仿宋_GB2312;仿宋" w:cs="方正仿宋_GBK;微软雅黑" w:hint="eastAsia" w:eastAsia="仿宋_GB2312;仿宋"/>
          <w:kern w:val="2"/>
          <w:sz w:val="32"/>
          <w:szCs w:val="32"/>
        </w:rPr>
        <w:t>实施</w:t>
      </w:r>
      <w:r>
        <w:rPr>
          <w:rFonts w:ascii="仿宋_GB2312;仿宋" w:hAnsi="仿宋_GB2312;仿宋" w:cs="方正仿宋_GBK;微软雅黑" w:eastAsia="仿宋_GB2312;仿宋"/>
          <w:kern w:val="2"/>
          <w:sz w:val="32"/>
          <w:szCs w:val="32"/>
        </w:rPr>
        <w:t>方式和期限；</w:t>
      </w:r>
    </w:p>
    <w:p>
      <w:pPr>
        <w:pStyle w:val="Normal"/>
        <w:numPr>
          <w:ilvl w:val="0"/>
          <w:numId w:val="0"/>
        </w:numPr>
        <w:snapToGrid w:val="false"/>
        <w:spacing w:lineRule="exact" w:line="580"/>
        <w:ind w:firstLineChars="200" w:startChars="0" w:start="0" w:endChars="0" w:end="0"/>
        <w:outlineLvl w:val="2"/>
        <w:rPr>
          <w:rFonts w:ascii="仿宋_GB2312;仿宋" w:hAnsi="仿宋_GB2312;仿宋" w:eastAsia="仿宋_GB2312;仿宋" w:cs="方正仿宋_GBK;微软雅黑"/>
          <w:kern w:val="2"/>
          <w:sz w:val="32"/>
          <w:szCs w:val="32"/>
        </w:rPr>
      </w:pPr>
      <w:bookmarkStart w:id="38" w:name="tiao_59_kuan_1_xiang_5"/>
      <w:bookmarkEnd w:id="38"/>
      <w:r>
        <w:rPr>
          <w:rFonts w:ascii="仿宋_GB2312;仿宋" w:hAnsi="仿宋_GB2312;仿宋" w:cs="方正仿宋_GBK;微软雅黑" w:eastAsia="仿宋_GB2312;仿宋"/>
          <w:kern w:val="2"/>
          <w:sz w:val="32"/>
          <w:szCs w:val="32"/>
        </w:rPr>
        <w:t>（五）</w:t>
      </w:r>
      <w:r>
        <w:rPr>
          <w:rFonts w:ascii="仿宋_GB2312;仿宋" w:hAnsi="仿宋_GB2312;仿宋" w:cs="方正仿宋_GBK;微软雅黑" w:hint="eastAsia" w:eastAsia="仿宋_GB2312;仿宋"/>
          <w:kern w:val="2"/>
          <w:sz w:val="32"/>
          <w:szCs w:val="32"/>
        </w:rPr>
        <w:t>救济</w:t>
      </w:r>
      <w:r>
        <w:rPr>
          <w:rFonts w:ascii="仿宋_GB2312;仿宋" w:hAnsi="仿宋_GB2312;仿宋" w:cs="方正仿宋_GBK;微软雅黑" w:eastAsia="仿宋_GB2312;仿宋"/>
          <w:kern w:val="2"/>
          <w:sz w:val="32"/>
          <w:szCs w:val="32"/>
        </w:rPr>
        <w:t>途径和期限；</w:t>
      </w:r>
    </w:p>
    <w:p>
      <w:pPr>
        <w:pStyle w:val="Normal"/>
        <w:numPr>
          <w:ilvl w:val="0"/>
          <w:numId w:val="0"/>
        </w:numPr>
        <w:snapToGrid w:val="false"/>
        <w:spacing w:lineRule="exact" w:line="580"/>
        <w:ind w:firstLineChars="200" w:startChars="0" w:start="0" w:endChars="0" w:end="0"/>
        <w:outlineLvl w:val="2"/>
        <w:rPr>
          <w:rFonts w:ascii="仿宋_GB2312;仿宋" w:hAnsi="仿宋_GB2312;仿宋" w:eastAsia="仿宋_GB2312;仿宋" w:cs="方正仿宋_GBK;微软雅黑"/>
          <w:kern w:val="2"/>
          <w:sz w:val="32"/>
          <w:szCs w:val="32"/>
        </w:rPr>
      </w:pPr>
      <w:bookmarkStart w:id="39" w:name="tiao_59_kuan_1_xiang_6"/>
      <w:bookmarkEnd w:id="39"/>
      <w:r>
        <w:rPr>
          <w:rFonts w:ascii="仿宋_GB2312;仿宋" w:hAnsi="仿宋_GB2312;仿宋" w:cs="方正仿宋_GBK;微软雅黑" w:eastAsia="仿宋_GB2312;仿宋"/>
          <w:kern w:val="2"/>
          <w:sz w:val="32"/>
          <w:szCs w:val="32"/>
        </w:rPr>
        <w:t>（六）作出</w:t>
      </w:r>
      <w:r>
        <w:rPr>
          <w:rFonts w:ascii="仿宋_GB2312;仿宋" w:hAnsi="仿宋_GB2312;仿宋" w:cs="方正仿宋_GBK;微软雅黑" w:hint="eastAsia" w:eastAsia="仿宋_GB2312;仿宋"/>
          <w:kern w:val="2"/>
          <w:sz w:val="32"/>
          <w:szCs w:val="32"/>
        </w:rPr>
        <w:t>失信惩戒</w:t>
      </w:r>
      <w:r>
        <w:rPr>
          <w:rFonts w:ascii="仿宋_GB2312;仿宋" w:hAnsi="仿宋_GB2312;仿宋" w:cs="方正仿宋_GBK;微软雅黑" w:eastAsia="仿宋_GB2312;仿宋"/>
          <w:kern w:val="2"/>
          <w:sz w:val="32"/>
          <w:szCs w:val="32"/>
        </w:rPr>
        <w:t>决定的机关名称和作出决定的日期。</w:t>
      </w:r>
    </w:p>
    <w:p>
      <w:pPr>
        <w:pStyle w:val="Normal"/>
        <w:numPr>
          <w:ilvl w:val="0"/>
          <w:numId w:val="0"/>
        </w:numPr>
        <w:snapToGrid w:val="false"/>
        <w:spacing w:lineRule="exact" w:line="580"/>
        <w:ind w:firstLineChars="200" w:startChars="0" w:start="0" w:endChars="0" w:end="0"/>
        <w:outlineLvl w:val="2"/>
        <w:rPr>
          <w:rFonts w:ascii="仿宋_GB2312;仿宋" w:hAnsi="仿宋_GB2312;仿宋" w:eastAsia="仿宋_GB2312;仿宋" w:cs="方正仿宋_GBK;微软雅黑"/>
          <w:kern w:val="2"/>
          <w:sz w:val="32"/>
          <w:szCs w:val="32"/>
        </w:rPr>
      </w:pPr>
      <w:bookmarkStart w:id="40" w:name="tiao_59_kuan_2"/>
      <w:bookmarkEnd w:id="40"/>
      <w:r>
        <w:rPr>
          <w:rFonts w:ascii="仿宋_GB2312;仿宋" w:hAnsi="仿宋_GB2312;仿宋" w:cs="方正仿宋_GBK;微软雅黑" w:hint="eastAsia" w:eastAsia="仿宋_GB2312;仿宋"/>
          <w:kern w:val="2"/>
          <w:sz w:val="32"/>
          <w:szCs w:val="32"/>
        </w:rPr>
        <w:t>失信惩戒</w:t>
      </w:r>
      <w:r>
        <w:rPr>
          <w:rFonts w:ascii="仿宋_GB2312;仿宋" w:hAnsi="仿宋_GB2312;仿宋" w:cs="方正仿宋_GBK;微软雅黑" w:eastAsia="仿宋_GB2312;仿宋"/>
          <w:kern w:val="2"/>
          <w:sz w:val="32"/>
          <w:szCs w:val="32"/>
        </w:rPr>
        <w:t>决定书</w:t>
      </w:r>
      <w:r>
        <w:rPr>
          <w:rFonts w:ascii="仿宋_GB2312;仿宋" w:hAnsi="仿宋_GB2312;仿宋" w:cs="方正仿宋_GBK;微软雅黑" w:hint="eastAsia" w:eastAsia="仿宋_GB2312;仿宋"/>
          <w:kern w:val="2"/>
          <w:sz w:val="32"/>
          <w:szCs w:val="32"/>
        </w:rPr>
        <w:t>应当</w:t>
      </w:r>
      <w:r>
        <w:rPr>
          <w:rFonts w:ascii="仿宋_GB2312;仿宋" w:hAnsi="仿宋_GB2312;仿宋" w:cs="方正仿宋_GBK;微软雅黑" w:eastAsia="仿宋_GB2312;仿宋"/>
          <w:kern w:val="2"/>
          <w:sz w:val="32"/>
          <w:szCs w:val="32"/>
        </w:rPr>
        <w:t>盖有作出</w:t>
      </w:r>
      <w:r>
        <w:rPr>
          <w:rFonts w:ascii="仿宋_GB2312;仿宋" w:hAnsi="仿宋_GB2312;仿宋" w:cs="方正仿宋_GBK;微软雅黑" w:hint="eastAsia" w:eastAsia="仿宋_GB2312;仿宋"/>
          <w:kern w:val="2"/>
          <w:sz w:val="32"/>
          <w:szCs w:val="32"/>
        </w:rPr>
        <w:t>失信惩戒</w:t>
      </w:r>
      <w:r>
        <w:rPr>
          <w:rFonts w:ascii="仿宋_GB2312;仿宋" w:hAnsi="仿宋_GB2312;仿宋" w:cs="方正仿宋_GBK;微软雅黑" w:eastAsia="仿宋_GB2312;仿宋"/>
          <w:kern w:val="2"/>
          <w:sz w:val="32"/>
          <w:szCs w:val="32"/>
        </w:rPr>
        <w:t>决定的机关的印章。</w:t>
      </w:r>
    </w:p>
    <w:p>
      <w:pPr>
        <w:pStyle w:val="Normal"/>
        <w:numPr>
          <w:ilvl w:val="0"/>
          <w:numId w:val="0"/>
        </w:numPr>
        <w:snapToGrid w:val="false"/>
        <w:spacing w:lineRule="exact" w:line="580"/>
        <w:ind w:firstLineChars="200" w:startChars="0" w:start="0" w:endChars="0" w:end="0"/>
        <w:outlineLvl w:val="2"/>
        <w:rPr>
          <w:rFonts w:ascii="仿宋_GB2312;仿宋" w:hAnsi="仿宋_GB2312;仿宋" w:eastAsia="仿宋_GB2312;仿宋" w:cs="方正仿宋_GBK;微软雅黑"/>
          <w:kern w:val="2"/>
          <w:sz w:val="32"/>
          <w:szCs w:val="32"/>
        </w:rPr>
      </w:pPr>
      <w:r>
        <w:rPr>
          <w:rFonts w:ascii="黑体" w:hAnsi="黑体" w:cs="方正仿宋_GBK;微软雅黑" w:hint="eastAsia" w:eastAsia="黑体"/>
          <w:kern w:val="2"/>
          <w:sz w:val="32"/>
          <w:szCs w:val="32"/>
        </w:rPr>
        <w:t>第四十九条</w:t>
      </w:r>
      <w:bookmarkStart w:id="41" w:name="tiao_61_kuan_1"/>
      <w:bookmarkEnd w:id="41"/>
      <w:r>
        <w:rPr>
          <w:rFonts w:ascii="黑体" w:hAnsi="黑体" w:cs="方正仿宋_GBK;微软雅黑" w:eastAsia="黑体"/>
          <w:kern w:val="2"/>
          <w:sz w:val="32"/>
          <w:szCs w:val="32"/>
        </w:rPr>
        <w:t>　</w:t>
      </w:r>
      <w:r>
        <w:rPr>
          <w:rFonts w:ascii="仿宋_GB2312;仿宋" w:hAnsi="仿宋_GB2312;仿宋" w:cs="方正仿宋_GBK;微软雅黑" w:hint="eastAsia" w:eastAsia="仿宋_GB2312;仿宋"/>
          <w:kern w:val="2"/>
          <w:sz w:val="32"/>
          <w:szCs w:val="32"/>
        </w:rPr>
        <w:t>失信惩戒</w:t>
      </w:r>
      <w:r>
        <w:rPr>
          <w:rFonts w:ascii="仿宋_GB2312;仿宋" w:hAnsi="仿宋_GB2312;仿宋" w:cs="方正仿宋_GBK;微软雅黑" w:eastAsia="仿宋_GB2312;仿宋"/>
          <w:kern w:val="2"/>
          <w:sz w:val="32"/>
          <w:szCs w:val="32"/>
        </w:rPr>
        <w:t>决定书应当在宣告后当场交付当事人；当事人不在场的，</w:t>
      </w:r>
      <w:r>
        <w:rPr>
          <w:rFonts w:ascii="仿宋_GB2312;仿宋" w:hAnsi="仿宋_GB2312;仿宋" w:cs="方正仿宋_GBK;微软雅黑" w:hint="eastAsia" w:eastAsia="仿宋_GB2312;仿宋"/>
          <w:kern w:val="2"/>
          <w:sz w:val="32"/>
          <w:szCs w:val="32"/>
        </w:rPr>
        <w:t>作出失信惩戒决定的机关</w:t>
      </w:r>
      <w:r>
        <w:rPr>
          <w:rFonts w:ascii="仿宋_GB2312;仿宋" w:hAnsi="仿宋_GB2312;仿宋" w:cs="方正仿宋_GBK;微软雅黑" w:eastAsia="仿宋_GB2312;仿宋"/>
          <w:kern w:val="2"/>
          <w:sz w:val="32"/>
          <w:szCs w:val="32"/>
        </w:rPr>
        <w:t>应当在七日内送达当事人。</w:t>
      </w:r>
    </w:p>
    <w:p>
      <w:pPr>
        <w:pStyle w:val="Normal"/>
        <w:numPr>
          <w:ilvl w:val="0"/>
          <w:numId w:val="0"/>
        </w:numPr>
        <w:snapToGrid w:val="false"/>
        <w:spacing w:lineRule="exact" w:line="580"/>
        <w:ind w:firstLineChars="200" w:startChars="0" w:start="0" w:endChars="0" w:end="0"/>
        <w:outlineLvl w:val="2"/>
        <w:rPr>
          <w:rFonts w:ascii="仿宋_GB2312;仿宋" w:hAnsi="仿宋_GB2312;仿宋" w:eastAsia="仿宋_GB2312;仿宋" w:cs="方正仿宋_GBK;微软雅黑"/>
          <w:kern w:val="2"/>
          <w:sz w:val="32"/>
          <w:szCs w:val="32"/>
        </w:rPr>
      </w:pPr>
      <w:bookmarkStart w:id="42" w:name="tiao_61_kuan_2"/>
      <w:bookmarkEnd w:id="42"/>
      <w:r>
        <w:rPr>
          <w:rFonts w:ascii="仿宋_GB2312;仿宋" w:hAnsi="仿宋_GB2312;仿宋" w:cs="方正仿宋_GBK;微软雅黑" w:eastAsia="仿宋_GB2312;仿宋"/>
          <w:kern w:val="2"/>
          <w:sz w:val="32"/>
          <w:szCs w:val="32"/>
        </w:rPr>
        <w:t>当事人同意并签订确认书的，</w:t>
      </w:r>
      <w:r>
        <w:rPr>
          <w:rFonts w:ascii="仿宋_GB2312;仿宋" w:hAnsi="仿宋_GB2312;仿宋" w:cs="方正仿宋_GBK;微软雅黑" w:hint="eastAsia" w:eastAsia="仿宋_GB2312;仿宋"/>
          <w:kern w:val="2"/>
          <w:sz w:val="32"/>
          <w:szCs w:val="32"/>
        </w:rPr>
        <w:t>作出失信惩戒决定的</w:t>
      </w:r>
      <w:r>
        <w:rPr>
          <w:rFonts w:ascii="仿宋_GB2312;仿宋" w:hAnsi="仿宋_GB2312;仿宋" w:cs="方正仿宋_GBK;微软雅黑" w:eastAsia="仿宋_GB2312;仿宋"/>
          <w:kern w:val="2"/>
          <w:sz w:val="32"/>
          <w:szCs w:val="32"/>
        </w:rPr>
        <w:t>机关可以采用传真、电子邮件等方式，将决定书等送达当事人。</w:t>
      </w:r>
    </w:p>
    <w:p>
      <w:pPr>
        <w:pStyle w:val="Normal"/>
        <w:numPr>
          <w:ilvl w:val="0"/>
          <w:numId w:val="0"/>
        </w:numPr>
        <w:snapToGrid w:val="false"/>
        <w:spacing w:lineRule="exact" w:line="580"/>
        <w:ind w:firstLineChars="200" w:startChars="0" w:start="0" w:endChars="0" w:end="0"/>
        <w:outlineLvl w:val="2"/>
        <w:rPr>
          <w:rFonts w:ascii="仿宋_GB2312;仿宋" w:hAnsi="仿宋_GB2312;仿宋" w:eastAsia="仿宋_GB2312;仿宋" w:cs="方正仿宋_GBK;微软雅黑" w:hint="eastAsia"/>
          <w:kern w:val="2"/>
          <w:sz w:val="32"/>
          <w:szCs w:val="32"/>
        </w:rPr>
      </w:pPr>
      <w:r>
        <w:rPr>
          <w:rFonts w:ascii="黑体" w:hAnsi="黑体" w:cs="方正仿宋_GBK;微软雅黑" w:hint="eastAsia" w:eastAsia="黑体"/>
          <w:kern w:val="2"/>
          <w:sz w:val="32"/>
          <w:szCs w:val="32"/>
        </w:rPr>
        <w:t>第五十条</w:t>
      </w:r>
      <w:r>
        <w:rPr>
          <w:rFonts w:ascii="仿宋_GB2312;仿宋" w:hAnsi="仿宋_GB2312;仿宋" w:cs="方正仿宋_GBK;微软雅黑" w:hint="eastAsia" w:eastAsia="仿宋_GB2312;仿宋"/>
          <w:kern w:val="2"/>
          <w:sz w:val="32"/>
          <w:szCs w:val="32"/>
        </w:rPr>
        <w:t xml:space="preserve">  严重失信主体是法人或者非法人组织的，在记录其严重失信信息的同时，认定机关应当在其法定代表人、主要负责人、实际控制人和其他直接责任人员的个人信用记录中同步标注，并实施相应的惩戒措施。 </w:t>
      </w:r>
    </w:p>
    <w:p>
      <w:pPr>
        <w:pStyle w:val="Normal"/>
        <w:numPr>
          <w:ilvl w:val="0"/>
          <w:numId w:val="0"/>
        </w:numPr>
        <w:snapToGrid w:val="false"/>
        <w:spacing w:lineRule="exact" w:line="580"/>
        <w:ind w:firstLineChars="200" w:startChars="0" w:start="0" w:endChars="0" w:end="0"/>
        <w:outlineLvl w:val="2"/>
        <w:rPr>
          <w:rFonts w:ascii="仿宋_GB2312;仿宋" w:hAnsi="仿宋_GB2312;仿宋" w:eastAsia="仿宋_GB2312;仿宋" w:cs="方正仿宋_GBK;微软雅黑"/>
          <w:kern w:val="2"/>
          <w:sz w:val="32"/>
          <w:szCs w:val="32"/>
        </w:rPr>
      </w:pPr>
      <w:r>
        <w:rPr>
          <w:rFonts w:ascii="黑体" w:hAnsi="黑体" w:cs="黑体" w:hint="eastAsia" w:eastAsia="黑体"/>
          <w:sz w:val="32"/>
          <w:szCs w:val="32"/>
        </w:rPr>
        <w:t xml:space="preserve">第五十一条  </w:t>
      </w:r>
      <w:r>
        <w:rPr>
          <w:rFonts w:ascii="仿宋_GB2312;仿宋" w:hAnsi="仿宋_GB2312;仿宋" w:cs="方正仿宋_GBK;微软雅黑" w:hint="eastAsia" w:eastAsia="仿宋_GB2312;仿宋"/>
          <w:kern w:val="2"/>
          <w:sz w:val="32"/>
          <w:szCs w:val="32"/>
        </w:rPr>
        <w:t>失信惩戒的退出方式包括：</w:t>
      </w:r>
    </w:p>
    <w:p>
      <w:pPr>
        <w:pStyle w:val="Normal"/>
        <w:numPr>
          <w:ilvl w:val="0"/>
          <w:numId w:val="0"/>
        </w:numPr>
        <w:snapToGrid w:val="false"/>
        <w:spacing w:lineRule="exact" w:line="580"/>
        <w:ind w:firstLineChars="200" w:startChars="0" w:start="0" w:endChars="0" w:end="0"/>
        <w:outlineLvl w:val="2"/>
        <w:rPr>
          <w:rFonts w:ascii="仿宋_GB2312;仿宋" w:hAnsi="仿宋_GB2312;仿宋" w:eastAsia="仿宋_GB2312;仿宋" w:cs="方正仿宋_GBK;微软雅黑" w:hint="eastAsia"/>
          <w:kern w:val="2"/>
          <w:sz w:val="32"/>
          <w:szCs w:val="32"/>
        </w:rPr>
      </w:pPr>
      <w:r>
        <w:rPr>
          <w:rFonts w:eastAsia="仿宋_GB2312;仿宋" w:cs="方正仿宋_GBK;微软雅黑" w:hint="eastAsia" w:ascii="仿宋_GB2312;仿宋" w:hAnsi="仿宋_GB2312;仿宋"/>
          <w:kern w:val="2"/>
          <w:sz w:val="32"/>
          <w:szCs w:val="32"/>
        </w:rPr>
        <w:t>(</w:t>
      </w:r>
      <w:r>
        <w:rPr>
          <w:rFonts w:ascii="仿宋_GB2312;仿宋" w:hAnsi="仿宋_GB2312;仿宋" w:cs="方正仿宋_GBK;微软雅黑" w:hint="eastAsia" w:eastAsia="仿宋_GB2312;仿宋"/>
          <w:kern w:val="2"/>
          <w:sz w:val="32"/>
          <w:szCs w:val="32"/>
        </w:rPr>
        <w:t>一</w:t>
      </w:r>
      <w:r>
        <w:rPr>
          <w:rFonts w:eastAsia="仿宋_GB2312;仿宋" w:cs="方正仿宋_GBK;微软雅黑" w:hint="eastAsia" w:ascii="仿宋_GB2312;仿宋" w:hAnsi="仿宋_GB2312;仿宋"/>
          <w:kern w:val="2"/>
          <w:sz w:val="32"/>
          <w:szCs w:val="32"/>
        </w:rPr>
        <w:t>)</w:t>
      </w:r>
      <w:r>
        <w:rPr>
          <w:rFonts w:ascii="仿宋_GB2312;仿宋" w:hAnsi="仿宋_GB2312;仿宋" w:cs="方正仿宋_GBK;微软雅黑" w:hint="eastAsia" w:eastAsia="仿宋_GB2312;仿宋"/>
          <w:kern w:val="2"/>
          <w:sz w:val="32"/>
          <w:szCs w:val="32"/>
        </w:rPr>
        <w:t>惩戒期限届满自动退出；</w:t>
      </w:r>
    </w:p>
    <w:p>
      <w:pPr>
        <w:pStyle w:val="Normal"/>
        <w:numPr>
          <w:ilvl w:val="0"/>
          <w:numId w:val="0"/>
        </w:numPr>
        <w:snapToGrid w:val="false"/>
        <w:spacing w:lineRule="exact" w:line="580"/>
        <w:ind w:firstLineChars="200" w:startChars="0" w:start="0" w:endChars="0" w:end="0"/>
        <w:outlineLvl w:val="2"/>
        <w:rPr>
          <w:rFonts w:ascii="仿宋_GB2312;仿宋" w:hAnsi="仿宋_GB2312;仿宋" w:eastAsia="仿宋_GB2312;仿宋" w:cs="方正仿宋_GBK;微软雅黑" w:hint="eastAsia"/>
          <w:kern w:val="2"/>
          <w:sz w:val="32"/>
          <w:szCs w:val="32"/>
        </w:rPr>
      </w:pPr>
      <w:r>
        <w:rPr>
          <w:rFonts w:eastAsia="仿宋_GB2312;仿宋" w:cs="方正仿宋_GBK;微软雅黑" w:hint="eastAsia" w:ascii="仿宋_GB2312;仿宋" w:hAnsi="仿宋_GB2312;仿宋"/>
          <w:kern w:val="2"/>
          <w:sz w:val="32"/>
          <w:szCs w:val="32"/>
        </w:rPr>
        <w:t>(</w:t>
      </w:r>
      <w:r>
        <w:rPr>
          <w:rFonts w:ascii="仿宋_GB2312;仿宋" w:hAnsi="仿宋_GB2312;仿宋" w:cs="方正仿宋_GBK;微软雅黑" w:hint="eastAsia" w:eastAsia="仿宋_GB2312;仿宋"/>
          <w:kern w:val="2"/>
          <w:sz w:val="32"/>
          <w:szCs w:val="32"/>
        </w:rPr>
        <w:t>二</w:t>
      </w:r>
      <w:r>
        <w:rPr>
          <w:rFonts w:eastAsia="仿宋_GB2312;仿宋" w:cs="方正仿宋_GBK;微软雅黑" w:hint="eastAsia" w:ascii="仿宋_GB2312;仿宋" w:hAnsi="仿宋_GB2312;仿宋"/>
          <w:kern w:val="2"/>
          <w:sz w:val="32"/>
          <w:szCs w:val="32"/>
        </w:rPr>
        <w:t>)</w:t>
      </w:r>
      <w:r>
        <w:rPr>
          <w:rFonts w:ascii="仿宋_GB2312;仿宋" w:hAnsi="仿宋_GB2312;仿宋" w:cs="方正仿宋_GBK;微软雅黑" w:hint="eastAsia" w:eastAsia="仿宋_GB2312;仿宋"/>
          <w:kern w:val="2"/>
          <w:sz w:val="32"/>
          <w:szCs w:val="32"/>
        </w:rPr>
        <w:t>认定标准发生改变，不符合新认定标准；</w:t>
      </w:r>
    </w:p>
    <w:p>
      <w:pPr>
        <w:pStyle w:val="Normal"/>
        <w:numPr>
          <w:ilvl w:val="0"/>
          <w:numId w:val="0"/>
        </w:numPr>
        <w:snapToGrid w:val="false"/>
        <w:spacing w:lineRule="exact" w:line="580"/>
        <w:ind w:firstLineChars="200" w:startChars="0" w:start="0" w:endChars="0" w:end="0"/>
        <w:outlineLvl w:val="2"/>
        <w:rPr>
          <w:rFonts w:ascii="仿宋_GB2312;仿宋" w:hAnsi="仿宋_GB2312;仿宋" w:eastAsia="仿宋_GB2312;仿宋" w:cs="方正仿宋_GBK;微软雅黑" w:hint="eastAsia"/>
          <w:kern w:val="2"/>
          <w:sz w:val="32"/>
          <w:szCs w:val="32"/>
        </w:rPr>
      </w:pPr>
      <w:r>
        <w:rPr>
          <w:rFonts w:eastAsia="仿宋_GB2312;仿宋" w:cs="方正仿宋_GBK;微软雅黑" w:hint="eastAsia" w:ascii="仿宋_GB2312;仿宋" w:hAnsi="仿宋_GB2312;仿宋"/>
          <w:kern w:val="2"/>
          <w:sz w:val="32"/>
          <w:szCs w:val="32"/>
        </w:rPr>
        <w:t>(</w:t>
      </w:r>
      <w:r>
        <w:rPr>
          <w:rFonts w:ascii="仿宋_GB2312;仿宋" w:hAnsi="仿宋_GB2312;仿宋" w:cs="方正仿宋_GBK;微软雅黑" w:hint="eastAsia" w:eastAsia="仿宋_GB2312;仿宋"/>
          <w:kern w:val="2"/>
          <w:sz w:val="32"/>
          <w:szCs w:val="32"/>
        </w:rPr>
        <w:t>三</w:t>
      </w:r>
      <w:r>
        <w:rPr>
          <w:rFonts w:eastAsia="仿宋_GB2312;仿宋" w:cs="方正仿宋_GBK;微软雅黑" w:hint="eastAsia" w:ascii="仿宋_GB2312;仿宋" w:hAnsi="仿宋_GB2312;仿宋"/>
          <w:kern w:val="2"/>
          <w:sz w:val="32"/>
          <w:szCs w:val="32"/>
        </w:rPr>
        <w:t>)</w:t>
      </w:r>
      <w:r>
        <w:rPr>
          <w:rFonts w:ascii="仿宋_GB2312;仿宋" w:hAnsi="仿宋_GB2312;仿宋" w:cs="方正仿宋_GBK;微软雅黑" w:hint="eastAsia" w:eastAsia="仿宋_GB2312;仿宋"/>
          <w:kern w:val="2"/>
          <w:sz w:val="32"/>
          <w:szCs w:val="32"/>
        </w:rPr>
        <w:t>异议成立，失信惩戒对象认定有误；</w:t>
      </w:r>
    </w:p>
    <w:p>
      <w:pPr>
        <w:pStyle w:val="Normal"/>
        <w:numPr>
          <w:ilvl w:val="0"/>
          <w:numId w:val="0"/>
        </w:numPr>
        <w:snapToGrid w:val="false"/>
        <w:spacing w:lineRule="exact" w:line="580"/>
        <w:ind w:firstLineChars="200" w:startChars="0" w:start="0" w:endChars="0" w:end="0"/>
        <w:outlineLvl w:val="2"/>
        <w:rPr>
          <w:rFonts w:ascii="仿宋_GB2312;仿宋" w:hAnsi="仿宋_GB2312;仿宋" w:eastAsia="仿宋_GB2312;仿宋" w:cs="方正仿宋_GBK;微软雅黑" w:hint="eastAsia"/>
          <w:kern w:val="2"/>
          <w:sz w:val="32"/>
          <w:szCs w:val="32"/>
        </w:rPr>
      </w:pPr>
      <w:r>
        <w:rPr>
          <w:rFonts w:eastAsia="仿宋_GB2312;仿宋" w:cs="方正仿宋_GBK;微软雅黑" w:hint="eastAsia" w:ascii="仿宋_GB2312;仿宋" w:hAnsi="仿宋_GB2312;仿宋"/>
          <w:kern w:val="2"/>
          <w:sz w:val="32"/>
          <w:szCs w:val="32"/>
        </w:rPr>
        <w:t>(</w:t>
      </w:r>
      <w:r>
        <w:rPr>
          <w:rFonts w:ascii="仿宋_GB2312;仿宋" w:hAnsi="仿宋_GB2312;仿宋" w:cs="方正仿宋_GBK;微软雅黑" w:hint="eastAsia" w:eastAsia="仿宋_GB2312;仿宋"/>
          <w:kern w:val="2"/>
          <w:sz w:val="32"/>
          <w:szCs w:val="32"/>
        </w:rPr>
        <w:t>四</w:t>
      </w:r>
      <w:r>
        <w:rPr>
          <w:rFonts w:eastAsia="仿宋_GB2312;仿宋" w:cs="方正仿宋_GBK;微软雅黑" w:hint="eastAsia" w:ascii="仿宋_GB2312;仿宋" w:hAnsi="仿宋_GB2312;仿宋"/>
          <w:kern w:val="2"/>
          <w:sz w:val="32"/>
          <w:szCs w:val="32"/>
        </w:rPr>
        <w:t>)</w:t>
      </w:r>
      <w:r>
        <w:rPr>
          <w:rFonts w:ascii="仿宋_GB2312;仿宋" w:hAnsi="仿宋_GB2312;仿宋" w:cs="方正仿宋_GBK;微软雅黑" w:hint="eastAsia" w:eastAsia="仿宋_GB2312;仿宋"/>
          <w:kern w:val="2"/>
          <w:sz w:val="32"/>
          <w:szCs w:val="32"/>
        </w:rPr>
        <w:t>被列为失信惩戒的主要事实、依据被撤销；</w:t>
      </w:r>
    </w:p>
    <w:p>
      <w:pPr>
        <w:pStyle w:val="Normal"/>
        <w:numPr>
          <w:ilvl w:val="0"/>
          <w:numId w:val="0"/>
        </w:numPr>
        <w:snapToGrid w:val="false"/>
        <w:spacing w:lineRule="exact" w:line="580"/>
        <w:ind w:firstLineChars="200" w:startChars="0" w:start="0" w:endChars="0" w:end="0"/>
        <w:outlineLvl w:val="2"/>
        <w:rPr>
          <w:rFonts w:ascii="仿宋_GB2312;仿宋" w:hAnsi="仿宋_GB2312;仿宋" w:eastAsia="仿宋_GB2312;仿宋" w:cs="方正仿宋_GBK;微软雅黑" w:hint="eastAsia"/>
          <w:kern w:val="2"/>
          <w:sz w:val="32"/>
          <w:szCs w:val="32"/>
        </w:rPr>
      </w:pPr>
      <w:r>
        <w:rPr>
          <w:rFonts w:eastAsia="仿宋_GB2312;仿宋" w:cs="方正仿宋_GBK;微软雅黑" w:hint="eastAsia" w:ascii="仿宋_GB2312;仿宋" w:hAnsi="仿宋_GB2312;仿宋"/>
          <w:kern w:val="2"/>
          <w:sz w:val="32"/>
          <w:szCs w:val="32"/>
        </w:rPr>
        <w:t>(</w:t>
      </w:r>
      <w:r>
        <w:rPr>
          <w:rFonts w:ascii="仿宋_GB2312;仿宋" w:hAnsi="仿宋_GB2312;仿宋" w:cs="方正仿宋_GBK;微软雅黑" w:hint="eastAsia" w:eastAsia="仿宋_GB2312;仿宋"/>
          <w:kern w:val="2"/>
          <w:sz w:val="32"/>
          <w:szCs w:val="32"/>
        </w:rPr>
        <w:t>五</w:t>
      </w:r>
      <w:r>
        <w:rPr>
          <w:rFonts w:eastAsia="仿宋_GB2312;仿宋" w:cs="方正仿宋_GBK;微软雅黑" w:hint="eastAsia" w:ascii="仿宋_GB2312;仿宋" w:hAnsi="仿宋_GB2312;仿宋"/>
          <w:kern w:val="2"/>
          <w:sz w:val="32"/>
          <w:szCs w:val="32"/>
        </w:rPr>
        <w:t>)</w:t>
      </w:r>
      <w:r>
        <w:rPr>
          <w:rFonts w:ascii="仿宋_GB2312;仿宋" w:hAnsi="仿宋_GB2312;仿宋" w:cs="方正仿宋_GBK;微软雅黑" w:hint="eastAsia" w:eastAsia="仿宋_GB2312;仿宋"/>
          <w:kern w:val="2"/>
          <w:sz w:val="32"/>
          <w:szCs w:val="32"/>
        </w:rPr>
        <w:t>失信惩戒对象按照有关规定和标准完成信用修复。</w:t>
      </w:r>
    </w:p>
    <w:p>
      <w:pPr>
        <w:pStyle w:val="Normal"/>
        <w:numPr>
          <w:ilvl w:val="0"/>
          <w:numId w:val="0"/>
        </w:numPr>
        <w:snapToGrid w:val="false"/>
        <w:spacing w:lineRule="exact" w:line="580"/>
        <w:ind w:firstLineChars="200" w:startChars="0" w:start="0" w:endChars="0" w:end="0"/>
        <w:outlineLvl w:val="2"/>
        <w:rPr>
          <w:rFonts w:ascii="仿宋_GB2312;仿宋" w:hAnsi="仿宋_GB2312;仿宋" w:eastAsia="仿宋_GB2312;仿宋" w:cs="方正仿宋_GBK;微软雅黑" w:hint="eastAsia"/>
          <w:kern w:val="2"/>
          <w:sz w:val="32"/>
          <w:szCs w:val="32"/>
        </w:rPr>
      </w:pPr>
      <w:r>
        <w:rPr>
          <w:rFonts w:ascii="仿宋_GB2312;仿宋" w:hAnsi="仿宋_GB2312;仿宋" w:cs="方正仿宋_GBK;微软雅黑" w:hint="eastAsia" w:eastAsia="仿宋_GB2312;仿宋"/>
          <w:kern w:val="2"/>
          <w:sz w:val="32"/>
          <w:szCs w:val="32"/>
        </w:rPr>
        <w:t>失信惩戒对象符合退出标准的，可以向认定机关提出退出申请，认定机关应当自收到申请材料之日起七个工作日内反馈处理结果，并及时将退出信息共享至同级人民政府发展改革部门以及自治区信用信息共享平台。</w:t>
      </w:r>
    </w:p>
    <w:p>
      <w:pPr>
        <w:pStyle w:val="Normal"/>
        <w:numPr>
          <w:ilvl w:val="0"/>
          <w:numId w:val="0"/>
        </w:numPr>
        <w:snapToGrid w:val="false"/>
        <w:spacing w:lineRule="exact" w:line="580"/>
        <w:ind w:firstLineChars="200" w:startChars="0" w:start="0" w:endChars="0" w:end="0"/>
        <w:outlineLvl w:val="2"/>
        <w:rPr>
          <w:rFonts w:ascii="仿宋_GB2312;仿宋" w:hAnsi="仿宋_GB2312;仿宋" w:eastAsia="仿宋_GB2312;仿宋" w:cs="方正仿宋_GBK;微软雅黑" w:hint="eastAsia"/>
          <w:i/>
          <w:kern w:val="2"/>
          <w:sz w:val="32"/>
          <w:szCs w:val="32"/>
          <w:u w:val="single"/>
          <w:bdr w:val="single" w:sz="4" w:space="0" w:color="000000"/>
        </w:rPr>
      </w:pPr>
      <w:r>
        <w:rPr>
          <w:rFonts w:ascii="黑体" w:hAnsi="黑体" w:cs="方正仿宋_GBK;微软雅黑" w:hint="eastAsia" w:eastAsia="黑体"/>
          <w:kern w:val="2"/>
          <w:sz w:val="32"/>
          <w:szCs w:val="32"/>
        </w:rPr>
        <w:t>第五十二条</w:t>
      </w:r>
      <w:r>
        <w:rPr>
          <w:rFonts w:ascii="楷体_GB2312;楷体" w:hAnsi="楷体_GB2312;楷体" w:cs="方正仿宋_GBK;微软雅黑" w:hint="eastAsia" w:eastAsia="楷体_GB2312;楷体"/>
          <w:kern w:val="2"/>
          <w:sz w:val="32"/>
          <w:szCs w:val="32"/>
        </w:rPr>
        <w:t xml:space="preserve">  </w:t>
      </w:r>
      <w:r>
        <w:rPr>
          <w:rFonts w:ascii="仿宋_GB2312;仿宋" w:hAnsi="仿宋_GB2312;仿宋" w:cs="方正仿宋_GBK;微软雅黑" w:hint="eastAsia" w:eastAsia="仿宋_GB2312;仿宋"/>
          <w:kern w:val="2"/>
          <w:sz w:val="32"/>
          <w:szCs w:val="32"/>
        </w:rPr>
        <w:t>鼓励行业协会商会等社会组织对信用状况良好的会员采取重点推荐、表扬奖励、提高评价等守信激励措施；</w:t>
      </w:r>
      <w:r>
        <w:rPr>
          <w:rFonts w:ascii="仿宋_GB2312;仿宋" w:hAnsi="仿宋_GB2312;仿宋" w:cs="方正仿宋_GBK;微软雅黑" w:eastAsia="仿宋_GB2312;仿宋"/>
          <w:kern w:val="2"/>
          <w:sz w:val="32"/>
          <w:szCs w:val="32"/>
        </w:rPr>
        <w:t>对失信会员</w:t>
      </w:r>
      <w:r>
        <w:rPr>
          <w:rFonts w:ascii="仿宋_GB2312;仿宋" w:hAnsi="仿宋_GB2312;仿宋" w:cs="方正仿宋_GBK;微软雅黑" w:hint="eastAsia" w:eastAsia="仿宋_GB2312;仿宋"/>
          <w:kern w:val="2"/>
          <w:sz w:val="32"/>
          <w:szCs w:val="32"/>
        </w:rPr>
        <w:t>采取</w:t>
      </w:r>
      <w:r>
        <w:rPr>
          <w:rFonts w:ascii="仿宋_GB2312;仿宋" w:hAnsi="仿宋_GB2312;仿宋" w:cs="方正仿宋_GBK;微软雅黑" w:eastAsia="仿宋_GB2312;仿宋"/>
          <w:kern w:val="2"/>
          <w:sz w:val="32"/>
          <w:szCs w:val="32"/>
        </w:rPr>
        <w:t>警告、行业内通报批评、公开谴责、不予接纳、劝退等惩戒措施。</w:t>
      </w:r>
    </w:p>
    <w:p>
      <w:pPr>
        <w:pStyle w:val="Normal"/>
        <w:numPr>
          <w:ilvl w:val="0"/>
          <w:numId w:val="0"/>
        </w:numPr>
        <w:snapToGrid w:val="false"/>
        <w:spacing w:lineRule="exact" w:line="580"/>
        <w:ind w:firstLineChars="200" w:startChars="0" w:start="0" w:endChars="0" w:end="0"/>
        <w:outlineLvl w:val="2"/>
        <w:rPr>
          <w:rFonts w:ascii="黑体" w:hAnsi="黑体" w:eastAsia="黑体" w:cs="方正仿宋_GBK;微软雅黑"/>
          <w:kern w:val="2"/>
          <w:sz w:val="32"/>
          <w:szCs w:val="32"/>
        </w:rPr>
      </w:pPr>
      <w:r>
        <w:rPr>
          <w:rFonts w:ascii="黑体" w:hAnsi="黑体" w:cs="方正仿宋_GBK;微软雅黑" w:eastAsia="黑体"/>
          <w:kern w:val="2"/>
          <w:sz w:val="32"/>
          <w:szCs w:val="32"/>
        </w:rPr>
        <w:t>第</w:t>
      </w:r>
      <w:r>
        <w:rPr>
          <w:rFonts w:ascii="黑体" w:hAnsi="黑体" w:cs="方正仿宋_GBK;微软雅黑" w:hint="eastAsia" w:eastAsia="黑体"/>
          <w:kern w:val="2"/>
          <w:sz w:val="32"/>
          <w:szCs w:val="32"/>
        </w:rPr>
        <w:t>五十三</w:t>
      </w:r>
      <w:r>
        <w:rPr>
          <w:rFonts w:ascii="黑体" w:hAnsi="黑体" w:cs="方正仿宋_GBK;微软雅黑" w:eastAsia="黑体"/>
          <w:kern w:val="2"/>
          <w:sz w:val="32"/>
          <w:szCs w:val="32"/>
        </w:rPr>
        <w:t>条　</w:t>
      </w:r>
      <w:r>
        <w:rPr>
          <w:rFonts w:ascii="仿宋_GB2312;仿宋" w:hAnsi="仿宋_GB2312;仿宋" w:cs="方正仿宋_GBK;微软雅黑" w:eastAsia="仿宋_GB2312;仿宋"/>
          <w:kern w:val="2"/>
          <w:sz w:val="32"/>
          <w:szCs w:val="32"/>
        </w:rPr>
        <w:t>鼓励市场主体根据信用主体的信用状况，对守信主体采取优惠便利、增加交易机会等降低市场交易成本的措施；对失信主体采取取消优惠、提高保证金等增加交易成本的措施。</w:t>
      </w:r>
    </w:p>
    <w:p>
      <w:pPr>
        <w:pStyle w:val="Normal"/>
        <w:snapToGrid w:val="false"/>
        <w:spacing w:lineRule="exact" w:line="580"/>
        <w:ind w:firstLineChars="200" w:startChars="0" w:start="0" w:endChars="0" w:end="0"/>
        <w:rPr>
          <w:rFonts w:ascii="仿宋_GB2312;仿宋" w:hAnsi="仿宋_GB2312;仿宋" w:eastAsia="仿宋_GB2312;仿宋" w:cs="方正仿宋_GBK;微软雅黑" w:hint="eastAsia"/>
          <w:kern w:val="2"/>
          <w:sz w:val="32"/>
          <w:szCs w:val="32"/>
        </w:rPr>
      </w:pPr>
      <w:r>
        <w:rPr>
          <w:rFonts w:eastAsia="仿宋_GB2312;仿宋" w:cs="方正仿宋_GBK;微软雅黑" w:hint="eastAsia" w:ascii="仿宋_GB2312;仿宋" w:hAnsi="仿宋_GB2312;仿宋"/>
          <w:kern w:val="2"/>
          <w:sz w:val="32"/>
          <w:szCs w:val="32"/>
        </w:rPr>
      </w:r>
      <w:bookmarkStart w:id="43" w:name="tiao_32_kuan_2"/>
      <w:bookmarkEnd w:id="43"/>
    </w:p>
    <w:p>
      <w:pPr>
        <w:pStyle w:val="Normal"/>
        <w:numPr>
          <w:ilvl w:val="0"/>
          <w:numId w:val="0"/>
        </w:numPr>
        <w:snapToGrid w:val="false"/>
        <w:spacing w:lineRule="exact" w:line="580"/>
        <w:ind w:firstLineChars="200" w:startChars="0" w:start="0" w:endChars="0" w:end="0"/>
        <w:jc w:val="center"/>
        <w:outlineLvl w:val="1"/>
        <w:rPr>
          <w:rFonts w:ascii="黑体" w:hAnsi="黑体" w:eastAsia="黑体" w:cs="方正仿宋_GBK;微软雅黑" w:hint="eastAsia"/>
          <w:kern w:val="2"/>
          <w:sz w:val="32"/>
          <w:szCs w:val="32"/>
        </w:rPr>
      </w:pPr>
      <w:r>
        <w:rPr>
          <w:rFonts w:ascii="黑体" w:hAnsi="黑体" w:cs="方正仿宋_GBK;微软雅黑" w:hint="eastAsia" w:eastAsia="黑体"/>
          <w:kern w:val="2"/>
          <w:sz w:val="32"/>
          <w:szCs w:val="32"/>
        </w:rPr>
        <w:t>第五章  信用主体权益保护</w:t>
      </w:r>
    </w:p>
    <w:p>
      <w:pPr>
        <w:pStyle w:val="Normal"/>
        <w:snapToGrid w:val="false"/>
        <w:spacing w:lineRule="exact" w:line="580"/>
        <w:ind w:firstLineChars="200" w:startChars="0" w:start="0" w:endChars="0" w:end="0"/>
        <w:rPr>
          <w:rFonts w:ascii="黑体" w:hAnsi="黑体" w:eastAsia="黑体" w:cs="黑体" w:hint="eastAsia"/>
          <w:color w:val="FF0000"/>
          <w:kern w:val="2"/>
          <w:sz w:val="32"/>
          <w:szCs w:val="32"/>
        </w:rPr>
      </w:pPr>
      <w:r>
        <w:rPr>
          <w:rFonts w:eastAsia="黑体" w:cs="黑体" w:hint="eastAsia" w:ascii="黑体" w:hAnsi="黑体"/>
          <w:color w:val="FF0000"/>
          <w:kern w:val="2"/>
          <w:sz w:val="32"/>
          <w:szCs w:val="32"/>
        </w:rPr>
      </w:r>
    </w:p>
    <w:p>
      <w:pPr>
        <w:pStyle w:val="Normal"/>
        <w:numPr>
          <w:ilvl w:val="0"/>
          <w:numId w:val="0"/>
        </w:numPr>
        <w:snapToGrid w:val="false"/>
        <w:spacing w:lineRule="exact" w:line="580"/>
        <w:ind w:firstLineChars="200" w:startChars="0" w:start="0" w:endChars="0" w:end="0"/>
        <w:outlineLvl w:val="2"/>
        <w:rPr>
          <w:rFonts w:ascii="仿宋_GB2312;仿宋" w:hAnsi="仿宋_GB2312;仿宋" w:eastAsia="仿宋_GB2312;仿宋" w:cs="方正仿宋_GBK;微软雅黑" w:hint="eastAsia"/>
          <w:kern w:val="2"/>
          <w:sz w:val="32"/>
          <w:szCs w:val="32"/>
        </w:rPr>
      </w:pPr>
      <w:r>
        <w:rPr>
          <w:rFonts w:ascii="黑体" w:hAnsi="黑体" w:cs="方正仿宋_GBK;微软雅黑" w:hint="eastAsia" w:eastAsia="黑体"/>
          <w:kern w:val="2"/>
          <w:sz w:val="32"/>
          <w:szCs w:val="32"/>
        </w:rPr>
        <w:t>第五十四条</w:t>
      </w:r>
      <w:r>
        <w:rPr>
          <w:rFonts w:ascii="仿宋_GB2312;仿宋" w:hAnsi="仿宋_GB2312;仿宋" w:cs="方正仿宋_GBK;微软雅黑" w:hint="eastAsia" w:eastAsia="仿宋_GB2312;仿宋"/>
          <w:kern w:val="2"/>
          <w:sz w:val="32"/>
          <w:szCs w:val="32"/>
        </w:rPr>
        <w:t xml:space="preserve">  自治区人民政府发展改革部门应当会同有关部门建立健全信用主体权益保护制度，建立和完善信用信息异议处理、信用修复和责任追究机制，保障信用主体合法权益。</w:t>
      </w:r>
    </w:p>
    <w:p>
      <w:pPr>
        <w:pStyle w:val="Normal"/>
        <w:numPr>
          <w:ilvl w:val="0"/>
          <w:numId w:val="0"/>
        </w:numPr>
        <w:snapToGrid w:val="false"/>
        <w:spacing w:lineRule="exact" w:line="580"/>
        <w:ind w:firstLineChars="200" w:startChars="0" w:start="0" w:endChars="0" w:end="0"/>
        <w:outlineLvl w:val="2"/>
        <w:rPr>
          <w:rFonts w:ascii="仿宋_GB2312;仿宋" w:hAnsi="仿宋_GB2312;仿宋" w:eastAsia="仿宋_GB2312;仿宋" w:cs="方正仿宋_GBK;微软雅黑" w:hint="eastAsia"/>
          <w:i/>
          <w:kern w:val="2"/>
          <w:sz w:val="32"/>
          <w:szCs w:val="32"/>
          <w:u w:val="single"/>
        </w:rPr>
      </w:pPr>
      <w:r>
        <w:rPr>
          <w:rFonts w:ascii="黑体" w:hAnsi="黑体" w:cs="方正仿宋_GBK;微软雅黑" w:hint="eastAsia" w:eastAsia="黑体"/>
          <w:kern w:val="2"/>
          <w:sz w:val="32"/>
          <w:szCs w:val="32"/>
        </w:rPr>
        <w:t xml:space="preserve">第五十五条  </w:t>
      </w:r>
      <w:r>
        <w:rPr>
          <w:rFonts w:ascii="仿宋_GB2312;仿宋" w:hAnsi="仿宋_GB2312;仿宋" w:cs="方正仿宋_GBK;微软雅黑" w:hint="eastAsia" w:eastAsia="仿宋_GB2312;仿宋"/>
          <w:kern w:val="2"/>
          <w:sz w:val="32"/>
          <w:szCs w:val="32"/>
        </w:rPr>
        <w:t>对</w:t>
      </w:r>
      <w:r>
        <w:rPr>
          <w:rFonts w:ascii="仿宋_GB2312;仿宋" w:hAnsi="仿宋_GB2312;仿宋" w:cs="方正仿宋_GBK;微软雅黑" w:eastAsia="仿宋_GB2312;仿宋"/>
          <w:kern w:val="2"/>
          <w:sz w:val="32"/>
          <w:szCs w:val="32"/>
        </w:rPr>
        <w:t>不可抗力影响导致的失信行为以及非主观故意、</w:t>
      </w:r>
      <w:r>
        <w:rPr>
          <w:rFonts w:ascii="仿宋_GB2312;仿宋" w:hAnsi="仿宋_GB2312;仿宋" w:cs="方正仿宋_GBK;微软雅黑" w:hint="eastAsia" w:eastAsia="仿宋_GB2312;仿宋"/>
          <w:kern w:val="2"/>
          <w:sz w:val="32"/>
          <w:szCs w:val="32"/>
        </w:rPr>
        <w:t>轻微偶发失信行为</w:t>
      </w:r>
      <w:r>
        <w:rPr>
          <w:rFonts w:ascii="仿宋_GB2312;仿宋" w:hAnsi="仿宋_GB2312;仿宋" w:cs="方正仿宋_GBK;微软雅黑" w:eastAsia="仿宋_GB2312;仿宋"/>
          <w:kern w:val="2"/>
          <w:sz w:val="32"/>
          <w:szCs w:val="32"/>
        </w:rPr>
        <w:t>应当宽容审慎进行认定、记录和惩戒</w:t>
      </w:r>
      <w:r>
        <w:rPr>
          <w:rFonts w:ascii="仿宋_GB2312;仿宋" w:hAnsi="仿宋_GB2312;仿宋" w:cs="方正仿宋_GBK;微软雅黑" w:hint="eastAsia" w:eastAsia="仿宋_GB2312;仿宋"/>
          <w:kern w:val="2"/>
          <w:sz w:val="32"/>
          <w:szCs w:val="32"/>
        </w:rPr>
        <w:t>。</w:t>
      </w:r>
    </w:p>
    <w:p>
      <w:pPr>
        <w:pStyle w:val="Normal"/>
        <w:snapToGrid w:val="false"/>
        <w:spacing w:lineRule="exact" w:line="580"/>
        <w:ind w:firstLineChars="200" w:startChars="0" w:start="0" w:endChars="0" w:end="0"/>
        <w:rPr>
          <w:rFonts w:ascii="仿宋_GB2312;仿宋" w:hAnsi="仿宋_GB2312;仿宋" w:eastAsia="仿宋_GB2312;仿宋" w:cs="方正仿宋_GBK;微软雅黑" w:hint="eastAsia"/>
          <w:kern w:val="2"/>
          <w:sz w:val="32"/>
          <w:szCs w:val="32"/>
        </w:rPr>
      </w:pPr>
      <w:r>
        <w:rPr>
          <w:rFonts w:ascii="黑体" w:hAnsi="黑体" w:cs="方正仿宋_GBK;微软雅黑" w:hint="eastAsia" w:eastAsia="黑体"/>
          <w:kern w:val="2"/>
          <w:sz w:val="32"/>
          <w:szCs w:val="32"/>
        </w:rPr>
        <w:t>第五十六条</w:t>
      </w:r>
      <w:r>
        <w:rPr>
          <w:rFonts w:ascii="仿宋_GB2312;仿宋" w:hAnsi="仿宋_GB2312;仿宋" w:cs="方正仿宋_GBK;微软雅黑" w:hint="eastAsia" w:eastAsia="仿宋_GB2312;仿宋"/>
          <w:kern w:val="2"/>
          <w:sz w:val="32"/>
          <w:szCs w:val="32"/>
        </w:rPr>
        <w:t xml:space="preserve">  采集、应用自然人信用信息应当严格按照公共信用信息目录，明示采集、应用信息的目的、方式和范围并取得本人同意。法律、行政法规另有规定的，从其规定。</w:t>
      </w:r>
    </w:p>
    <w:p>
      <w:pPr>
        <w:pStyle w:val="Normal"/>
        <w:snapToGrid w:val="false"/>
        <w:spacing w:lineRule="exact" w:line="580"/>
        <w:ind w:firstLineChars="200" w:startChars="0" w:start="0" w:endChars="0" w:end="0"/>
        <w:rPr>
          <w:rFonts w:ascii="仿宋_GB2312;仿宋" w:hAnsi="仿宋_GB2312;仿宋" w:eastAsia="仿宋_GB2312;仿宋" w:cs="方正仿宋_GBK;微软雅黑" w:hint="eastAsia"/>
          <w:kern w:val="2"/>
          <w:sz w:val="32"/>
          <w:szCs w:val="32"/>
        </w:rPr>
      </w:pPr>
      <w:r>
        <w:rPr>
          <w:rFonts w:ascii="仿宋_GB2312;仿宋" w:hAnsi="仿宋_GB2312;仿宋" w:cs="方正仿宋_GBK;微软雅黑" w:hint="eastAsia" w:eastAsia="仿宋_GB2312;仿宋"/>
          <w:kern w:val="2"/>
          <w:sz w:val="32"/>
          <w:szCs w:val="32"/>
        </w:rPr>
        <w:t>禁止任何单位和个人未经授权或者强制授权采集、应用自然人信用信息。</w:t>
      </w:r>
    </w:p>
    <w:p>
      <w:pPr>
        <w:pStyle w:val="Normal"/>
        <w:numPr>
          <w:ilvl w:val="0"/>
          <w:numId w:val="0"/>
        </w:numPr>
        <w:snapToGrid w:val="false"/>
        <w:spacing w:lineRule="exact" w:line="580"/>
        <w:ind w:firstLineChars="200" w:startChars="0" w:start="0" w:endChars="0" w:end="0"/>
        <w:outlineLvl w:val="2"/>
        <w:rPr>
          <w:rFonts w:ascii="仿宋_GB2312;仿宋" w:hAnsi="仿宋_GB2312;仿宋" w:eastAsia="仿宋_GB2312;仿宋" w:cs="方正仿宋_GBK;微软雅黑" w:hint="eastAsia"/>
          <w:kern w:val="2"/>
          <w:sz w:val="32"/>
          <w:szCs w:val="32"/>
        </w:rPr>
      </w:pPr>
      <w:bookmarkStart w:id="44" w:name="tiao_13_kuan_1_xiang_2"/>
      <w:bookmarkStart w:id="45" w:name="tiao_13_kuan_1_xiang_4"/>
      <w:bookmarkStart w:id="46" w:name="tiao_13_kuan_1_xiang_5"/>
      <w:bookmarkEnd w:id="44"/>
      <w:bookmarkEnd w:id="45"/>
      <w:bookmarkEnd w:id="46"/>
      <w:r>
        <w:rPr>
          <w:rFonts w:ascii="黑体" w:hAnsi="黑体" w:cs="方正仿宋_GBK;微软雅黑" w:hint="eastAsia" w:eastAsia="黑体"/>
          <w:kern w:val="2"/>
          <w:sz w:val="32"/>
          <w:szCs w:val="32"/>
        </w:rPr>
        <w:t>第五十七条</w:t>
      </w:r>
      <w:r>
        <w:rPr>
          <w:rFonts w:ascii="仿宋_GB2312;仿宋" w:hAnsi="仿宋_GB2312;仿宋" w:cs="方正仿宋_GBK;微软雅黑" w:hint="eastAsia" w:eastAsia="仿宋_GB2312;仿宋"/>
          <w:kern w:val="2"/>
          <w:sz w:val="32"/>
          <w:szCs w:val="32"/>
        </w:rPr>
        <w:t xml:space="preserve">  任何单位和个人依法或者依约定采集自然人信用信息时，不得采集其宗教信仰、基因、指纹、血型、疾病和病史信息以及法律、行政法规规定禁止采集的其他信息。 </w:t>
      </w:r>
    </w:p>
    <w:p>
      <w:pPr>
        <w:pStyle w:val="Normal"/>
        <w:numPr>
          <w:ilvl w:val="0"/>
          <w:numId w:val="0"/>
        </w:numPr>
        <w:snapToGrid w:val="false"/>
        <w:spacing w:lineRule="exact" w:line="580"/>
        <w:ind w:firstLineChars="200" w:startChars="0" w:start="0" w:endChars="0" w:end="0"/>
        <w:outlineLvl w:val="2"/>
        <w:rPr>
          <w:rFonts w:ascii="仿宋_GB2312;仿宋" w:hAnsi="仿宋_GB2312;仿宋" w:eastAsia="仿宋_GB2312;仿宋" w:cs="方正仿宋_GBK;微软雅黑" w:hint="eastAsia"/>
          <w:kern w:val="2"/>
          <w:sz w:val="32"/>
          <w:szCs w:val="32"/>
        </w:rPr>
      </w:pPr>
      <w:r>
        <w:rPr>
          <w:rFonts w:ascii="仿宋_GB2312;仿宋" w:hAnsi="仿宋_GB2312;仿宋" w:cs="方正仿宋_GBK;微软雅黑" w:hint="eastAsia" w:eastAsia="仿宋_GB2312;仿宋"/>
          <w:kern w:val="2"/>
          <w:sz w:val="32"/>
          <w:szCs w:val="32"/>
        </w:rPr>
        <w:t xml:space="preserve">未明确告知提供该信息的必要性以及对个人权益的影响，并取得其书面同意，任何单位和个人不得采集自然人的收入、存款、有价证券、商业保险、不动产的信息和纳税数额信息。法律、行政法规另有规定的，从其规定。 </w:t>
      </w:r>
    </w:p>
    <w:p>
      <w:pPr>
        <w:pStyle w:val="Normal"/>
        <w:snapToGrid w:val="false"/>
        <w:spacing w:lineRule="exact" w:line="580"/>
        <w:ind w:firstLineChars="200" w:startChars="0" w:start="0" w:endChars="0" w:end="0"/>
        <w:rPr>
          <w:rFonts w:ascii="仿宋_GB2312;仿宋" w:hAnsi="仿宋_GB2312;仿宋" w:eastAsia="仿宋_GB2312;仿宋" w:cs="方正仿宋_GBK;微软雅黑"/>
          <w:kern w:val="2"/>
          <w:sz w:val="32"/>
          <w:szCs w:val="32"/>
        </w:rPr>
      </w:pPr>
      <w:r>
        <w:rPr>
          <w:rFonts w:ascii="仿宋_GB2312;仿宋" w:hAnsi="仿宋_GB2312;仿宋" w:cs="方正仿宋_GBK;微软雅黑" w:hint="eastAsia" w:eastAsia="仿宋_GB2312;仿宋"/>
          <w:kern w:val="2"/>
          <w:sz w:val="32"/>
          <w:szCs w:val="32"/>
        </w:rPr>
        <w:t>依法采集并按照规定归集到信用信息共享平台的自然人的不动产、纳税数额等信息，只能提供给信用主体本人以及获得其授权的主体使用。</w:t>
      </w:r>
    </w:p>
    <w:p>
      <w:pPr>
        <w:pStyle w:val="Normal"/>
        <w:numPr>
          <w:ilvl w:val="0"/>
          <w:numId w:val="0"/>
        </w:numPr>
        <w:snapToGrid w:val="false"/>
        <w:spacing w:lineRule="exact" w:line="580"/>
        <w:ind w:firstLineChars="200" w:startChars="0" w:start="0" w:endChars="0" w:end="0"/>
        <w:outlineLvl w:val="2"/>
        <w:rPr>
          <w:rFonts w:ascii="仿宋_GB2312;仿宋" w:hAnsi="仿宋_GB2312;仿宋" w:eastAsia="仿宋_GB2312;仿宋" w:cs="方正仿宋_GBK;微软雅黑" w:hint="eastAsia"/>
          <w:i/>
          <w:kern w:val="2"/>
          <w:sz w:val="32"/>
          <w:szCs w:val="32"/>
          <w:u w:val="single"/>
        </w:rPr>
      </w:pPr>
      <w:r>
        <w:rPr>
          <w:rFonts w:ascii="黑体" w:hAnsi="黑体" w:cs="方正仿宋_GBK;微软雅黑" w:hint="eastAsia" w:eastAsia="黑体"/>
          <w:kern w:val="2"/>
          <w:sz w:val="32"/>
          <w:szCs w:val="32"/>
        </w:rPr>
        <w:t xml:space="preserve">第五十八条  </w:t>
      </w:r>
      <w:r>
        <w:rPr>
          <w:rFonts w:ascii="仿宋_GB2312;仿宋" w:hAnsi="仿宋_GB2312;仿宋" w:cs="方正仿宋_GBK;微软雅黑" w:hint="eastAsia" w:eastAsia="仿宋_GB2312;仿宋"/>
          <w:kern w:val="2"/>
          <w:sz w:val="32"/>
          <w:szCs w:val="32"/>
        </w:rPr>
        <w:t>任何向信用主体提供服务的单位和个人，不得将该服务与信用信息采集相捆绑，强迫或者变相强迫信用主体提供与该服务无关的信用信息。</w:t>
      </w:r>
    </w:p>
    <w:p>
      <w:pPr>
        <w:pStyle w:val="Normal"/>
        <w:numPr>
          <w:ilvl w:val="0"/>
          <w:numId w:val="0"/>
        </w:numPr>
        <w:snapToGrid w:val="false"/>
        <w:spacing w:lineRule="exact" w:line="580"/>
        <w:ind w:firstLineChars="200" w:startChars="0" w:start="0" w:endChars="0" w:end="0"/>
        <w:outlineLvl w:val="2"/>
        <w:rPr>
          <w:rFonts w:ascii="仿宋_GB2312;仿宋" w:hAnsi="仿宋_GB2312;仿宋" w:eastAsia="仿宋_GB2312;仿宋" w:cs="方正仿宋_GBK;微软雅黑" w:hint="eastAsia"/>
          <w:kern w:val="2"/>
          <w:sz w:val="32"/>
          <w:szCs w:val="32"/>
        </w:rPr>
      </w:pPr>
      <w:r>
        <w:rPr>
          <w:rFonts w:ascii="黑体" w:hAnsi="黑体" w:cs="方正仿宋_GBK;微软雅黑" w:hint="eastAsia" w:eastAsia="黑体"/>
          <w:kern w:val="2"/>
          <w:sz w:val="32"/>
          <w:szCs w:val="32"/>
        </w:rPr>
        <w:t>第五十九条</w:t>
      </w:r>
      <w:r>
        <w:rPr>
          <w:rFonts w:ascii="仿宋_GB2312;仿宋" w:hAnsi="仿宋_GB2312;仿宋" w:cs="方正仿宋_GBK;微软雅黑" w:hint="eastAsia" w:eastAsia="仿宋_GB2312;仿宋"/>
          <w:kern w:val="2"/>
          <w:sz w:val="32"/>
          <w:szCs w:val="32"/>
        </w:rPr>
        <w:t xml:space="preserve">  信用主体有权知晓其信用信息的采集、应用以及信用评价等情况，以及其信用报告载明的信息来源和变动理由。</w:t>
      </w:r>
    </w:p>
    <w:p>
      <w:pPr>
        <w:pStyle w:val="Normal"/>
        <w:numPr>
          <w:ilvl w:val="0"/>
          <w:numId w:val="0"/>
        </w:numPr>
        <w:snapToGrid w:val="false"/>
        <w:spacing w:lineRule="exact" w:line="580"/>
        <w:ind w:firstLineChars="200" w:startChars="0" w:start="0" w:endChars="0" w:end="0"/>
        <w:outlineLvl w:val="2"/>
        <w:rPr>
          <w:rFonts w:ascii="仿宋_GB2312;仿宋" w:hAnsi="仿宋_GB2312;仿宋" w:eastAsia="仿宋_GB2312;仿宋" w:cs="方正仿宋_GBK;微软雅黑"/>
          <w:kern w:val="2"/>
          <w:sz w:val="32"/>
          <w:szCs w:val="32"/>
        </w:rPr>
      </w:pPr>
      <w:r>
        <w:rPr>
          <w:rFonts w:ascii="仿宋_GB2312;仿宋" w:hAnsi="仿宋_GB2312;仿宋" w:cs="方正仿宋_GBK;微软雅黑" w:hint="eastAsia" w:eastAsia="仿宋_GB2312;仿宋"/>
          <w:kern w:val="2"/>
          <w:sz w:val="32"/>
          <w:szCs w:val="32"/>
        </w:rPr>
        <w:t>信用主体有权通过信用信息共享平台免费查询自身信用信息。</w:t>
      </w:r>
    </w:p>
    <w:p>
      <w:pPr>
        <w:pStyle w:val="Normal"/>
        <w:numPr>
          <w:ilvl w:val="0"/>
          <w:numId w:val="0"/>
        </w:numPr>
        <w:snapToGrid w:val="false"/>
        <w:spacing w:lineRule="exact" w:line="580"/>
        <w:ind w:firstLineChars="200" w:startChars="0" w:start="0" w:endChars="0" w:end="0"/>
        <w:outlineLvl w:val="2"/>
        <w:rPr>
          <w:rFonts w:ascii="黑体" w:hAnsi="黑体" w:eastAsia="黑体" w:cs="方正仿宋_GBK;微软雅黑" w:hint="eastAsia"/>
          <w:kern w:val="2"/>
          <w:sz w:val="32"/>
          <w:szCs w:val="32"/>
        </w:rPr>
      </w:pPr>
      <w:r>
        <w:rPr>
          <w:rFonts w:ascii="黑体" w:hAnsi="黑体" w:cs="方正仿宋_GBK;微软雅黑" w:eastAsia="黑体"/>
          <w:kern w:val="2"/>
          <w:sz w:val="32"/>
          <w:szCs w:val="32"/>
        </w:rPr>
        <w:t>第</w:t>
      </w:r>
      <w:r>
        <w:rPr>
          <w:rFonts w:ascii="黑体" w:hAnsi="黑体" w:cs="方正仿宋_GBK;微软雅黑" w:hint="eastAsia" w:eastAsia="黑体"/>
          <w:kern w:val="2"/>
          <w:sz w:val="32"/>
          <w:szCs w:val="32"/>
        </w:rPr>
        <w:t>六十</w:t>
      </w:r>
      <w:r>
        <w:rPr>
          <w:rFonts w:ascii="黑体" w:hAnsi="黑体" w:cs="方正仿宋_GBK;微软雅黑" w:eastAsia="黑体"/>
          <w:kern w:val="2"/>
          <w:sz w:val="32"/>
          <w:szCs w:val="32"/>
        </w:rPr>
        <w:t>条　</w:t>
      </w:r>
      <w:r>
        <w:rPr>
          <w:rFonts w:ascii="仿宋_GB2312;仿宋" w:hAnsi="仿宋_GB2312;仿宋" w:cs="方正仿宋_GBK;微软雅黑" w:eastAsia="仿宋_GB2312;仿宋"/>
          <w:kern w:val="2"/>
          <w:sz w:val="32"/>
          <w:szCs w:val="32"/>
        </w:rPr>
        <w:t>据以认定信用主体失信状态的判决、裁定或者行政决定等法律文书被依法撤销、变更或者确认无效的，原</w:t>
      </w:r>
      <w:r>
        <w:rPr>
          <w:rFonts w:ascii="仿宋_GB2312;仿宋" w:hAnsi="仿宋_GB2312;仿宋" w:cs="方正仿宋_GBK;微软雅黑" w:hint="eastAsia" w:eastAsia="仿宋_GB2312;仿宋"/>
          <w:kern w:val="2"/>
          <w:sz w:val="32"/>
          <w:szCs w:val="32"/>
        </w:rPr>
        <w:t>公共信用信息</w:t>
      </w:r>
      <w:r>
        <w:rPr>
          <w:rFonts w:ascii="仿宋_GB2312;仿宋" w:hAnsi="仿宋_GB2312;仿宋" w:cs="方正仿宋_GBK;微软雅黑" w:eastAsia="仿宋_GB2312;仿宋"/>
          <w:kern w:val="2"/>
          <w:sz w:val="32"/>
          <w:szCs w:val="32"/>
        </w:rPr>
        <w:t>提供单位应当及时撤销</w:t>
      </w:r>
      <w:r>
        <w:rPr>
          <w:rFonts w:ascii="仿宋_GB2312;仿宋" w:hAnsi="仿宋_GB2312;仿宋" w:cs="方正仿宋_GBK;微软雅黑" w:hint="eastAsia" w:eastAsia="仿宋_GB2312;仿宋"/>
          <w:kern w:val="2"/>
          <w:sz w:val="32"/>
          <w:szCs w:val="32"/>
        </w:rPr>
        <w:t>或者变更相关失信信息</w:t>
      </w:r>
      <w:r>
        <w:rPr>
          <w:rFonts w:ascii="仿宋_GB2312;仿宋" w:hAnsi="仿宋_GB2312;仿宋" w:cs="方正仿宋_GBK;微软雅黑" w:eastAsia="仿宋_GB2312;仿宋"/>
          <w:kern w:val="2"/>
          <w:sz w:val="32"/>
          <w:szCs w:val="32"/>
        </w:rPr>
        <w:t>并向</w:t>
      </w:r>
      <w:r>
        <w:rPr>
          <w:rFonts w:ascii="仿宋_GB2312;仿宋" w:hAnsi="仿宋_GB2312;仿宋" w:cs="方正仿宋_GBK;微软雅黑" w:hint="eastAsia" w:eastAsia="仿宋_GB2312;仿宋"/>
          <w:kern w:val="2"/>
          <w:sz w:val="32"/>
          <w:szCs w:val="32"/>
        </w:rPr>
        <w:t>信用信息共享平台</w:t>
      </w:r>
      <w:r>
        <w:rPr>
          <w:rFonts w:ascii="仿宋_GB2312;仿宋" w:hAnsi="仿宋_GB2312;仿宋" w:cs="方正仿宋_GBK;微软雅黑" w:eastAsia="仿宋_GB2312;仿宋"/>
          <w:kern w:val="2"/>
          <w:sz w:val="32"/>
          <w:szCs w:val="32"/>
        </w:rPr>
        <w:t>和</w:t>
      </w:r>
      <w:r>
        <w:rPr>
          <w:rFonts w:ascii="仿宋_GB2312;仿宋" w:hAnsi="仿宋_GB2312;仿宋" w:cs="方正仿宋_GBK;微软雅黑" w:hint="eastAsia" w:eastAsia="仿宋_GB2312;仿宋"/>
          <w:kern w:val="2"/>
          <w:sz w:val="32"/>
          <w:szCs w:val="32"/>
        </w:rPr>
        <w:t>信用信息的</w:t>
      </w:r>
      <w:r>
        <w:rPr>
          <w:rFonts w:ascii="仿宋_GB2312;仿宋" w:hAnsi="仿宋_GB2312;仿宋" w:cs="方正仿宋_GBK;微软雅黑" w:eastAsia="仿宋_GB2312;仿宋"/>
          <w:kern w:val="2"/>
          <w:sz w:val="32"/>
          <w:szCs w:val="32"/>
        </w:rPr>
        <w:t>使用单位共享更新信息，相关单位应当</w:t>
      </w:r>
      <w:r>
        <w:rPr>
          <w:rFonts w:ascii="仿宋_GB2312;仿宋" w:hAnsi="仿宋_GB2312;仿宋" w:cs="方正仿宋_GBK;微软雅黑" w:hint="eastAsia" w:eastAsia="仿宋_GB2312;仿宋"/>
          <w:kern w:val="2"/>
          <w:sz w:val="32"/>
          <w:szCs w:val="32"/>
        </w:rPr>
        <w:t>自</w:t>
      </w:r>
      <w:r>
        <w:rPr>
          <w:rFonts w:ascii="仿宋_GB2312;仿宋" w:hAnsi="仿宋_GB2312;仿宋" w:cs="方正仿宋_GBK;微软雅黑" w:eastAsia="仿宋_GB2312;仿宋"/>
          <w:kern w:val="2"/>
          <w:sz w:val="32"/>
          <w:szCs w:val="32"/>
        </w:rPr>
        <w:t>收到更新信息之日起一个工作日内在数据库中删除该信息。</w:t>
      </w:r>
    </w:p>
    <w:p>
      <w:pPr>
        <w:pStyle w:val="Normal"/>
        <w:numPr>
          <w:ilvl w:val="0"/>
          <w:numId w:val="0"/>
        </w:numPr>
        <w:snapToGrid w:val="false"/>
        <w:spacing w:lineRule="exact" w:line="580"/>
        <w:ind w:firstLineChars="200" w:startChars="0" w:start="0" w:endChars="0" w:end="0"/>
        <w:outlineLvl w:val="2"/>
        <w:rPr>
          <w:rFonts w:ascii="仿宋_GB2312;仿宋" w:hAnsi="仿宋_GB2312;仿宋" w:eastAsia="仿宋_GB2312;仿宋" w:cs="方正仿宋_GBK;微软雅黑" w:hint="eastAsia"/>
          <w:kern w:val="2"/>
          <w:sz w:val="32"/>
          <w:szCs w:val="32"/>
        </w:rPr>
      </w:pPr>
      <w:r>
        <w:rPr>
          <w:rFonts w:ascii="黑体" w:hAnsi="黑体" w:cs="方正仿宋_GBK;微软雅黑" w:hint="eastAsia" w:eastAsia="黑体"/>
          <w:kern w:val="2"/>
          <w:sz w:val="32"/>
          <w:szCs w:val="32"/>
        </w:rPr>
        <w:t>第六十一条</w:t>
      </w:r>
      <w:r>
        <w:rPr>
          <w:rFonts w:ascii="仿宋_GB2312;仿宋" w:hAnsi="仿宋_GB2312;仿宋" w:cs="方正仿宋_GBK;微软雅黑" w:hint="eastAsia" w:eastAsia="仿宋_GB2312;仿宋"/>
          <w:kern w:val="2"/>
          <w:sz w:val="32"/>
          <w:szCs w:val="32"/>
        </w:rPr>
        <w:t xml:space="preserve">  信用主体认为存在下列情形之一的，可以向自治区、设区的市人民政府发展改革部门确定的公共信用信息工作机构或者公共信用信息提供单位、市场信用信息采集单位提出异议申请并提交证明材料</w:t>
      </w:r>
      <w:r>
        <w:rPr>
          <w:rFonts w:eastAsia="仿宋_GB2312;仿宋" w:cs="方正仿宋_GBK;微软雅黑" w:hint="eastAsia" w:ascii="仿宋_GB2312;仿宋" w:hAnsi="仿宋_GB2312;仿宋"/>
          <w:kern w:val="2"/>
          <w:sz w:val="32"/>
          <w:szCs w:val="32"/>
        </w:rPr>
        <w:t>:</w:t>
      </w:r>
    </w:p>
    <w:p>
      <w:pPr>
        <w:pStyle w:val="Normal"/>
        <w:numPr>
          <w:ilvl w:val="0"/>
          <w:numId w:val="0"/>
        </w:numPr>
        <w:snapToGrid w:val="false"/>
        <w:spacing w:lineRule="exact" w:line="580"/>
        <w:ind w:firstLineChars="200" w:startChars="0" w:start="0" w:endChars="0" w:end="0"/>
        <w:outlineLvl w:val="2"/>
        <w:rPr>
          <w:rFonts w:ascii="仿宋_GB2312;仿宋" w:hAnsi="仿宋_GB2312;仿宋" w:eastAsia="仿宋_GB2312;仿宋" w:cs="方正仿宋_GBK;微软雅黑" w:hint="eastAsia"/>
          <w:kern w:val="2"/>
          <w:sz w:val="32"/>
          <w:szCs w:val="32"/>
        </w:rPr>
      </w:pPr>
      <w:r>
        <w:rPr>
          <w:rFonts w:ascii="仿宋_GB2312;仿宋" w:hAnsi="仿宋_GB2312;仿宋" w:cs="方正仿宋_GBK;微软雅黑" w:hint="eastAsia" w:eastAsia="仿宋_GB2312;仿宋"/>
          <w:kern w:val="2"/>
          <w:sz w:val="32"/>
          <w:szCs w:val="32"/>
        </w:rPr>
        <w:t>（一）其信用信息存在错误或者遗漏的；</w:t>
      </w:r>
    </w:p>
    <w:p>
      <w:pPr>
        <w:pStyle w:val="Normal"/>
        <w:numPr>
          <w:ilvl w:val="0"/>
          <w:numId w:val="0"/>
        </w:numPr>
        <w:snapToGrid w:val="false"/>
        <w:spacing w:lineRule="exact" w:line="580"/>
        <w:ind w:firstLineChars="200" w:startChars="0" w:start="0" w:endChars="0" w:end="0"/>
        <w:outlineLvl w:val="2"/>
        <w:rPr>
          <w:rFonts w:ascii="仿宋_GB2312;仿宋" w:hAnsi="仿宋_GB2312;仿宋" w:eastAsia="仿宋_GB2312;仿宋" w:cs="方正仿宋_GBK;微软雅黑" w:hint="eastAsia"/>
          <w:kern w:val="2"/>
          <w:sz w:val="32"/>
          <w:szCs w:val="32"/>
        </w:rPr>
      </w:pPr>
      <w:r>
        <w:rPr>
          <w:rFonts w:ascii="仿宋_GB2312;仿宋" w:hAnsi="仿宋_GB2312;仿宋" w:cs="方正仿宋_GBK;微软雅黑" w:hint="eastAsia" w:eastAsia="仿宋_GB2312;仿宋"/>
          <w:kern w:val="2"/>
          <w:sz w:val="32"/>
          <w:szCs w:val="32"/>
        </w:rPr>
        <w:t>（二）侵犯其商业秘密或者个人隐私等合法权益的；</w:t>
      </w:r>
    </w:p>
    <w:p>
      <w:pPr>
        <w:pStyle w:val="Normal"/>
        <w:numPr>
          <w:ilvl w:val="0"/>
          <w:numId w:val="0"/>
        </w:numPr>
        <w:snapToGrid w:val="false"/>
        <w:spacing w:lineRule="exact" w:line="580"/>
        <w:ind w:firstLineChars="200" w:startChars="0" w:start="0" w:endChars="0" w:end="0"/>
        <w:outlineLvl w:val="2"/>
        <w:rPr>
          <w:rFonts w:ascii="仿宋_GB2312;仿宋" w:hAnsi="仿宋_GB2312;仿宋" w:eastAsia="仿宋_GB2312;仿宋" w:cs="方正仿宋_GBK;微软雅黑" w:hint="eastAsia"/>
          <w:kern w:val="2"/>
          <w:sz w:val="32"/>
          <w:szCs w:val="32"/>
        </w:rPr>
      </w:pPr>
      <w:r>
        <w:rPr>
          <w:rFonts w:ascii="仿宋_GB2312;仿宋" w:hAnsi="仿宋_GB2312;仿宋" w:cs="方正仿宋_GBK;微软雅黑" w:hint="eastAsia" w:eastAsia="仿宋_GB2312;仿宋"/>
          <w:kern w:val="2"/>
          <w:sz w:val="32"/>
          <w:szCs w:val="32"/>
        </w:rPr>
        <w:t>（三）超期公开信用信息的；</w:t>
      </w:r>
    </w:p>
    <w:p>
      <w:pPr>
        <w:pStyle w:val="Normal"/>
        <w:numPr>
          <w:ilvl w:val="0"/>
          <w:numId w:val="0"/>
        </w:numPr>
        <w:snapToGrid w:val="false"/>
        <w:spacing w:lineRule="exact" w:line="580"/>
        <w:ind w:firstLineChars="200" w:startChars="0" w:start="0" w:endChars="0" w:end="0"/>
        <w:outlineLvl w:val="2"/>
        <w:rPr>
          <w:rFonts w:ascii="仿宋_GB2312;仿宋" w:hAnsi="仿宋_GB2312;仿宋" w:eastAsia="仿宋_GB2312;仿宋" w:cs="方正仿宋_GBK;微软雅黑" w:hint="eastAsia"/>
          <w:kern w:val="2"/>
          <w:sz w:val="32"/>
          <w:szCs w:val="32"/>
        </w:rPr>
      </w:pPr>
      <w:r>
        <w:rPr>
          <w:rFonts w:ascii="仿宋_GB2312;仿宋" w:hAnsi="仿宋_GB2312;仿宋" w:cs="方正仿宋_GBK;微软雅黑" w:hint="eastAsia" w:eastAsia="仿宋_GB2312;仿宋"/>
          <w:kern w:val="2"/>
          <w:sz w:val="32"/>
          <w:szCs w:val="32"/>
        </w:rPr>
        <w:t>（四）</w:t>
      </w:r>
      <w:r>
        <w:rPr>
          <w:rFonts w:ascii="仿宋_GB2312;仿宋" w:hAnsi="仿宋_GB2312;仿宋" w:cs="方正仿宋_GBK;微软雅黑" w:eastAsia="仿宋_GB2312;仿宋"/>
          <w:kern w:val="2"/>
          <w:sz w:val="32"/>
          <w:szCs w:val="32"/>
        </w:rPr>
        <w:t>不符合失信惩戒对象的认定条件而被列</w:t>
      </w:r>
      <w:r>
        <w:rPr>
          <w:rFonts w:ascii="仿宋_GB2312;仿宋" w:hAnsi="仿宋_GB2312;仿宋" w:cs="方正仿宋_GBK;微软雅黑" w:hint="eastAsia" w:eastAsia="仿宋_GB2312;仿宋"/>
          <w:kern w:val="2"/>
          <w:sz w:val="32"/>
          <w:szCs w:val="32"/>
        </w:rPr>
        <w:t>为失信惩戒对象</w:t>
      </w:r>
      <w:r>
        <w:rPr>
          <w:rFonts w:ascii="仿宋_GB2312;仿宋" w:hAnsi="仿宋_GB2312;仿宋" w:cs="方正仿宋_GBK;微软雅黑" w:eastAsia="仿宋_GB2312;仿宋"/>
          <w:kern w:val="2"/>
          <w:sz w:val="32"/>
          <w:szCs w:val="32"/>
        </w:rPr>
        <w:t>或者按照规定应当</w:t>
      </w:r>
      <w:r>
        <w:rPr>
          <w:rFonts w:ascii="仿宋_GB2312;仿宋" w:hAnsi="仿宋_GB2312;仿宋" w:cs="方正仿宋_GBK;微软雅黑" w:hint="eastAsia" w:eastAsia="仿宋_GB2312;仿宋"/>
          <w:kern w:val="2"/>
          <w:sz w:val="32"/>
          <w:szCs w:val="32"/>
        </w:rPr>
        <w:t>停止失信惩戒而未停止</w:t>
      </w:r>
      <w:r>
        <w:rPr>
          <w:rFonts w:ascii="仿宋_GB2312;仿宋" w:hAnsi="仿宋_GB2312;仿宋" w:cs="方正仿宋_GBK;微软雅黑" w:eastAsia="仿宋_GB2312;仿宋"/>
          <w:kern w:val="2"/>
          <w:sz w:val="32"/>
          <w:szCs w:val="32"/>
        </w:rPr>
        <w:t>的</w:t>
      </w:r>
      <w:r>
        <w:rPr>
          <w:rFonts w:ascii="仿宋_GB2312;仿宋" w:hAnsi="仿宋_GB2312;仿宋" w:cs="方正仿宋_GBK;微软雅黑" w:hint="eastAsia" w:eastAsia="仿宋_GB2312;仿宋"/>
          <w:kern w:val="2"/>
          <w:sz w:val="32"/>
          <w:szCs w:val="32"/>
        </w:rPr>
        <w:t>；</w:t>
      </w:r>
    </w:p>
    <w:p>
      <w:pPr>
        <w:pStyle w:val="Normal"/>
        <w:numPr>
          <w:ilvl w:val="0"/>
          <w:numId w:val="0"/>
        </w:numPr>
        <w:snapToGrid w:val="false"/>
        <w:spacing w:lineRule="exact" w:line="580"/>
        <w:ind w:firstLineChars="200" w:startChars="0" w:start="0" w:endChars="0" w:end="0"/>
        <w:outlineLvl w:val="2"/>
        <w:rPr>
          <w:rFonts w:ascii="仿宋_GB2312;仿宋" w:hAnsi="仿宋_GB2312;仿宋" w:eastAsia="仿宋_GB2312;仿宋" w:cs="方正仿宋_GBK;微软雅黑"/>
          <w:kern w:val="2"/>
          <w:sz w:val="32"/>
          <w:szCs w:val="32"/>
        </w:rPr>
      </w:pPr>
      <w:r>
        <w:rPr>
          <w:rFonts w:ascii="仿宋_GB2312;仿宋" w:hAnsi="仿宋_GB2312;仿宋" w:cs="方正仿宋_GBK;微软雅黑" w:hint="eastAsia" w:eastAsia="仿宋_GB2312;仿宋"/>
          <w:kern w:val="2"/>
          <w:sz w:val="32"/>
          <w:szCs w:val="32"/>
        </w:rPr>
        <w:t>（五）</w:t>
      </w:r>
      <w:r>
        <w:rPr>
          <w:rFonts w:ascii="仿宋_GB2312;仿宋" w:hAnsi="仿宋_GB2312;仿宋" w:cs="方正仿宋_GBK;微软雅黑" w:eastAsia="仿宋_GB2312;仿宋"/>
          <w:kern w:val="2"/>
          <w:sz w:val="32"/>
          <w:szCs w:val="32"/>
        </w:rPr>
        <w:t>信用评价不当的；</w:t>
      </w:r>
    </w:p>
    <w:p>
      <w:pPr>
        <w:pStyle w:val="Normal"/>
        <w:numPr>
          <w:ilvl w:val="0"/>
          <w:numId w:val="0"/>
        </w:numPr>
        <w:snapToGrid w:val="false"/>
        <w:spacing w:lineRule="exact" w:line="580"/>
        <w:ind w:firstLineChars="200" w:startChars="0" w:start="0" w:endChars="0" w:end="0"/>
        <w:outlineLvl w:val="2"/>
        <w:rPr>
          <w:rFonts w:ascii="仿宋_GB2312;仿宋" w:hAnsi="仿宋_GB2312;仿宋" w:eastAsia="仿宋_GB2312;仿宋" w:cs="方正仿宋_GBK;微软雅黑" w:hint="eastAsia"/>
          <w:kern w:val="2"/>
          <w:sz w:val="32"/>
          <w:szCs w:val="32"/>
        </w:rPr>
      </w:pPr>
      <w:r>
        <w:rPr>
          <w:rFonts w:ascii="仿宋_GB2312;仿宋" w:hAnsi="仿宋_GB2312;仿宋" w:cs="方正仿宋_GBK;微软雅黑" w:eastAsia="仿宋_GB2312;仿宋"/>
          <w:kern w:val="2"/>
          <w:sz w:val="32"/>
          <w:szCs w:val="32"/>
        </w:rPr>
        <w:t>（六）法律、法规</w:t>
      </w:r>
      <w:r>
        <w:rPr>
          <w:rFonts w:ascii="仿宋_GB2312;仿宋" w:hAnsi="仿宋_GB2312;仿宋" w:cs="方正仿宋_GBK;微软雅黑" w:hint="eastAsia" w:eastAsia="仿宋_GB2312;仿宋"/>
          <w:kern w:val="2"/>
          <w:sz w:val="32"/>
          <w:szCs w:val="32"/>
        </w:rPr>
        <w:t>或者</w:t>
      </w:r>
      <w:r>
        <w:rPr>
          <w:rFonts w:ascii="仿宋_GB2312;仿宋" w:hAnsi="仿宋_GB2312;仿宋" w:cs="方正仿宋_GBK;微软雅黑" w:eastAsia="仿宋_GB2312;仿宋"/>
          <w:kern w:val="2"/>
          <w:sz w:val="32"/>
          <w:szCs w:val="32"/>
        </w:rPr>
        <w:t>国家规定的其他情形。</w:t>
      </w:r>
    </w:p>
    <w:p>
      <w:pPr>
        <w:pStyle w:val="Normal"/>
        <w:numPr>
          <w:ilvl w:val="0"/>
          <w:numId w:val="0"/>
        </w:numPr>
        <w:snapToGrid w:val="false"/>
        <w:spacing w:lineRule="exact" w:line="580"/>
        <w:ind w:firstLineChars="200" w:startChars="0" w:start="0" w:endChars="0" w:end="0"/>
        <w:outlineLvl w:val="2"/>
        <w:rPr>
          <w:rFonts w:ascii="仿宋_GB2312;仿宋" w:hAnsi="仿宋_GB2312;仿宋" w:eastAsia="仿宋_GB2312;仿宋" w:cs="方正仿宋_GBK;微软雅黑" w:hint="eastAsia"/>
          <w:kern w:val="2"/>
          <w:sz w:val="32"/>
          <w:szCs w:val="32"/>
        </w:rPr>
      </w:pPr>
      <w:r>
        <w:rPr>
          <w:rFonts w:ascii="仿宋_GB2312;仿宋" w:hAnsi="仿宋_GB2312;仿宋" w:cs="方正仿宋_GBK;微软雅黑" w:hint="eastAsia" w:eastAsia="仿宋_GB2312;仿宋"/>
          <w:kern w:val="2"/>
          <w:sz w:val="32"/>
          <w:szCs w:val="32"/>
        </w:rPr>
        <w:t>公共信用信息提供单位或者自治区、设区的市人民政府发展改革部门确定的公共信用信息工作机构收到异议申请后，属于本单位处理范围的，应当自收到异议申请之日起三个工作日内进行审核并处理；需要其他单位协助核查信息的，应当自收到异议申请之日起五个工作日内进行核查并处理。经核实异议成立的，应当及时予以更正或者撤销并告知申请人。</w:t>
      </w:r>
    </w:p>
    <w:p>
      <w:pPr>
        <w:pStyle w:val="Normal"/>
        <w:numPr>
          <w:ilvl w:val="0"/>
          <w:numId w:val="0"/>
        </w:numPr>
        <w:snapToGrid w:val="false"/>
        <w:spacing w:lineRule="exact" w:line="580"/>
        <w:ind w:firstLineChars="200" w:startChars="0" w:start="0" w:endChars="0" w:end="0"/>
        <w:outlineLvl w:val="2"/>
        <w:rPr>
          <w:rFonts w:ascii="仿宋_GB2312;仿宋" w:hAnsi="仿宋_GB2312;仿宋" w:eastAsia="仿宋_GB2312;仿宋" w:cs="方正仿宋_GBK;微软雅黑" w:hint="eastAsia"/>
          <w:kern w:val="2"/>
          <w:sz w:val="32"/>
          <w:szCs w:val="32"/>
        </w:rPr>
      </w:pPr>
      <w:r>
        <w:rPr>
          <w:rFonts w:ascii="仿宋_GB2312;仿宋" w:hAnsi="仿宋_GB2312;仿宋" w:cs="方正仿宋_GBK;微软雅黑" w:eastAsia="仿宋_GB2312;仿宋"/>
          <w:kern w:val="2"/>
          <w:sz w:val="32"/>
          <w:szCs w:val="32"/>
        </w:rPr>
        <w:t>市场信用信息采集单位收到异议申请后，应当参照前款规定及时完成异议处理工作，并将</w:t>
      </w:r>
      <w:r>
        <w:rPr>
          <w:rFonts w:ascii="仿宋_GB2312;仿宋" w:hAnsi="仿宋_GB2312;仿宋" w:cs="方正仿宋_GBK;微软雅黑" w:hint="eastAsia" w:eastAsia="仿宋_GB2312;仿宋"/>
          <w:kern w:val="2"/>
          <w:sz w:val="32"/>
          <w:szCs w:val="32"/>
        </w:rPr>
        <w:t>处理</w:t>
      </w:r>
      <w:r>
        <w:rPr>
          <w:rFonts w:ascii="仿宋_GB2312;仿宋" w:hAnsi="仿宋_GB2312;仿宋" w:cs="方正仿宋_GBK;微软雅黑" w:eastAsia="仿宋_GB2312;仿宋"/>
          <w:kern w:val="2"/>
          <w:sz w:val="32"/>
          <w:szCs w:val="32"/>
        </w:rPr>
        <w:t>结果告知异议申请人。</w:t>
      </w:r>
    </w:p>
    <w:p>
      <w:pPr>
        <w:pStyle w:val="Normal"/>
        <w:numPr>
          <w:ilvl w:val="0"/>
          <w:numId w:val="0"/>
        </w:numPr>
        <w:snapToGrid w:val="false"/>
        <w:spacing w:lineRule="exact" w:line="580"/>
        <w:ind w:firstLineChars="200" w:startChars="0" w:start="0" w:endChars="0" w:end="0"/>
        <w:outlineLvl w:val="2"/>
        <w:rPr>
          <w:rFonts w:ascii="仿宋_GB2312;仿宋" w:hAnsi="仿宋_GB2312;仿宋" w:eastAsia="仿宋_GB2312;仿宋" w:cs="方正仿宋_GBK;微软雅黑" w:hint="eastAsia"/>
          <w:kern w:val="2"/>
          <w:sz w:val="32"/>
          <w:szCs w:val="32"/>
        </w:rPr>
      </w:pPr>
      <w:r>
        <w:rPr>
          <w:rFonts w:ascii="仿宋_GB2312;仿宋" w:hAnsi="仿宋_GB2312;仿宋" w:cs="方正仿宋_GBK;微软雅黑" w:hint="eastAsia" w:eastAsia="仿宋_GB2312;仿宋"/>
          <w:kern w:val="2"/>
          <w:sz w:val="32"/>
          <w:szCs w:val="32"/>
        </w:rPr>
        <w:t>异议处理期间，应当对相关信用信息进行异议标注。</w:t>
      </w:r>
    </w:p>
    <w:p>
      <w:pPr>
        <w:pStyle w:val="Normal"/>
        <w:numPr>
          <w:ilvl w:val="0"/>
          <w:numId w:val="0"/>
        </w:numPr>
        <w:snapToGrid w:val="false"/>
        <w:spacing w:lineRule="exact" w:line="580"/>
        <w:ind w:firstLineChars="200" w:startChars="0" w:start="0" w:endChars="0" w:end="0"/>
        <w:outlineLvl w:val="2"/>
        <w:rPr>
          <w:rFonts w:ascii="仿宋_GB2312;仿宋" w:hAnsi="仿宋_GB2312;仿宋" w:eastAsia="仿宋_GB2312;仿宋" w:cs="方正仿宋_GBK;微软雅黑" w:hint="eastAsia"/>
          <w:kern w:val="2"/>
          <w:sz w:val="32"/>
          <w:szCs w:val="32"/>
        </w:rPr>
      </w:pPr>
      <w:bookmarkStart w:id="47" w:name="tiao_46_kuan_5"/>
      <w:bookmarkEnd w:id="47"/>
      <w:r>
        <w:rPr>
          <w:rFonts w:ascii="黑体" w:hAnsi="黑体" w:cs="方正仿宋_GBK;微软雅黑" w:hint="eastAsia" w:eastAsia="黑体"/>
          <w:kern w:val="2"/>
          <w:sz w:val="32"/>
          <w:szCs w:val="32"/>
        </w:rPr>
        <w:t>第六十二条</w:t>
      </w:r>
      <w:r>
        <w:rPr>
          <w:rFonts w:ascii="仿宋_GB2312;仿宋" w:hAnsi="仿宋_GB2312;仿宋" w:cs="方正仿宋_GBK;微软雅黑" w:hint="eastAsia" w:eastAsia="仿宋_GB2312;仿宋"/>
          <w:kern w:val="2"/>
          <w:sz w:val="32"/>
          <w:szCs w:val="32"/>
        </w:rPr>
        <w:t xml:space="preserve">  自治区人民政府发展改革</w:t>
      </w:r>
      <w:r>
        <w:rPr>
          <w:rFonts w:ascii="仿宋_GB2312;仿宋" w:hAnsi="仿宋_GB2312;仿宋" w:cs="方正仿宋_GBK;微软雅黑" w:eastAsia="仿宋_GB2312;仿宋"/>
          <w:kern w:val="2"/>
          <w:sz w:val="32"/>
          <w:szCs w:val="32"/>
        </w:rPr>
        <w:t>部门应当</w:t>
      </w:r>
      <w:r>
        <w:rPr>
          <w:rFonts w:ascii="仿宋_GB2312;仿宋" w:hAnsi="仿宋_GB2312;仿宋" w:cs="方正仿宋_GBK;微软雅黑" w:hint="eastAsia" w:eastAsia="仿宋_GB2312;仿宋"/>
          <w:kern w:val="2"/>
          <w:sz w:val="32"/>
          <w:szCs w:val="32"/>
        </w:rPr>
        <w:t>会同</w:t>
      </w:r>
      <w:r>
        <w:rPr>
          <w:rFonts w:ascii="仿宋_GB2312;仿宋" w:hAnsi="仿宋_GB2312;仿宋" w:cs="方正仿宋_GBK;微软雅黑" w:eastAsia="仿宋_GB2312;仿宋"/>
          <w:kern w:val="2"/>
          <w:sz w:val="32"/>
          <w:szCs w:val="32"/>
        </w:rPr>
        <w:t>有关部门建立信用修复机制，制定信用修复具体办法，明确修复方式和程序</w:t>
      </w:r>
      <w:r>
        <w:rPr>
          <w:rFonts w:ascii="仿宋_GB2312;仿宋" w:hAnsi="仿宋_GB2312;仿宋" w:cs="方正仿宋_GBK;微软雅黑" w:hint="eastAsia" w:eastAsia="仿宋_GB2312;仿宋"/>
          <w:kern w:val="2"/>
          <w:sz w:val="32"/>
          <w:szCs w:val="32"/>
        </w:rPr>
        <w:t>，并向社会公布</w:t>
      </w:r>
      <w:r>
        <w:rPr>
          <w:rFonts w:ascii="仿宋_GB2312;仿宋" w:hAnsi="仿宋_GB2312;仿宋" w:cs="方正仿宋_GBK;微软雅黑" w:eastAsia="仿宋_GB2312;仿宋"/>
          <w:kern w:val="2"/>
          <w:sz w:val="32"/>
          <w:szCs w:val="32"/>
        </w:rPr>
        <w:t>。</w:t>
      </w:r>
    </w:p>
    <w:p>
      <w:pPr>
        <w:pStyle w:val="Normal"/>
        <w:numPr>
          <w:ilvl w:val="0"/>
          <w:numId w:val="0"/>
        </w:numPr>
        <w:snapToGrid w:val="false"/>
        <w:spacing w:lineRule="exact" w:line="580"/>
        <w:ind w:firstLineChars="200" w:startChars="0" w:start="0" w:endChars="0" w:end="0"/>
        <w:outlineLvl w:val="2"/>
        <w:rPr>
          <w:rFonts w:ascii="仿宋_GB2312;仿宋" w:hAnsi="仿宋_GB2312;仿宋" w:eastAsia="仿宋_GB2312;仿宋" w:cs="方正仿宋_GBK;微软雅黑"/>
          <w:kern w:val="2"/>
          <w:sz w:val="32"/>
          <w:szCs w:val="32"/>
        </w:rPr>
      </w:pPr>
      <w:r>
        <w:rPr>
          <w:rFonts w:ascii="仿宋_GB2312;仿宋" w:hAnsi="仿宋_GB2312;仿宋" w:cs="方正仿宋_GBK;微软雅黑" w:eastAsia="仿宋_GB2312;仿宋"/>
          <w:kern w:val="2"/>
          <w:sz w:val="32"/>
          <w:szCs w:val="32"/>
        </w:rPr>
        <w:t>除法律、法规</w:t>
      </w:r>
      <w:r>
        <w:rPr>
          <w:rFonts w:ascii="仿宋_GB2312;仿宋" w:hAnsi="仿宋_GB2312;仿宋" w:cs="方正仿宋_GBK;微软雅黑" w:hint="eastAsia" w:eastAsia="仿宋_GB2312;仿宋"/>
          <w:kern w:val="2"/>
          <w:sz w:val="32"/>
          <w:szCs w:val="32"/>
        </w:rPr>
        <w:t>和</w:t>
      </w:r>
      <w:r>
        <w:rPr>
          <w:rFonts w:ascii="仿宋_GB2312;仿宋" w:hAnsi="仿宋_GB2312;仿宋" w:cs="方正仿宋_GBK;微软雅黑" w:eastAsia="仿宋_GB2312;仿宋"/>
          <w:kern w:val="2"/>
          <w:sz w:val="32"/>
          <w:szCs w:val="32"/>
        </w:rPr>
        <w:t>国家规定不可修复的失信信息外，</w:t>
      </w:r>
      <w:r>
        <w:rPr>
          <w:rFonts w:ascii="仿宋_GB2312;仿宋" w:hAnsi="仿宋_GB2312;仿宋" w:cs="方正仿宋_GBK;微软雅黑" w:hint="eastAsia" w:eastAsia="仿宋_GB2312;仿宋"/>
          <w:kern w:val="2"/>
          <w:sz w:val="32"/>
          <w:szCs w:val="32"/>
        </w:rPr>
        <w:t>在失信信息披露期间，失信主体纠正失信行为、履行相关义务后，可以向自治区、设区的市人民政府发展改革部门确定的公共信用信息工作机构或者失信行为的认定机关提出信用修复申请。</w:t>
      </w:r>
    </w:p>
    <w:p>
      <w:pPr>
        <w:pStyle w:val="Normal"/>
        <w:numPr>
          <w:ilvl w:val="0"/>
          <w:numId w:val="0"/>
        </w:numPr>
        <w:snapToGrid w:val="false"/>
        <w:spacing w:lineRule="exact" w:line="580"/>
        <w:ind w:firstLineChars="200" w:startChars="0" w:start="0" w:endChars="0" w:end="0"/>
        <w:outlineLvl w:val="2"/>
        <w:rPr>
          <w:rFonts w:ascii="仿宋_GB2312;仿宋" w:hAnsi="仿宋_GB2312;仿宋" w:eastAsia="仿宋_GB2312;仿宋" w:cs="方正仿宋_GBK;微软雅黑" w:hint="eastAsia"/>
          <w:kern w:val="2"/>
          <w:sz w:val="32"/>
          <w:szCs w:val="32"/>
        </w:rPr>
      </w:pPr>
      <w:r>
        <w:rPr>
          <w:rFonts w:ascii="仿宋_GB2312;仿宋" w:hAnsi="仿宋_GB2312;仿宋" w:cs="方正仿宋_GBK;微软雅黑" w:eastAsia="仿宋_GB2312;仿宋"/>
          <w:kern w:val="2"/>
          <w:sz w:val="32"/>
          <w:szCs w:val="32"/>
        </w:rPr>
        <w:t>失信主体可以通过作出信用承诺、完成信用整改、通过信用核查、接受专题培训、提交信用报告、参加公益慈善等方式进行</w:t>
      </w:r>
      <w:r>
        <w:rPr>
          <w:rFonts w:ascii="仿宋_GB2312;仿宋" w:hAnsi="仿宋_GB2312;仿宋" w:cs="方正仿宋_GBK;微软雅黑" w:hint="eastAsia" w:eastAsia="仿宋_GB2312;仿宋"/>
          <w:kern w:val="2"/>
          <w:sz w:val="32"/>
          <w:szCs w:val="32"/>
        </w:rPr>
        <w:t>信用修复</w:t>
      </w:r>
      <w:r>
        <w:rPr>
          <w:rFonts w:ascii="仿宋_GB2312;仿宋" w:hAnsi="仿宋_GB2312;仿宋" w:cs="方正仿宋_GBK;微软雅黑" w:eastAsia="仿宋_GB2312;仿宋"/>
          <w:kern w:val="2"/>
          <w:sz w:val="32"/>
          <w:szCs w:val="32"/>
        </w:rPr>
        <w:t>。</w:t>
      </w:r>
    </w:p>
    <w:p>
      <w:pPr>
        <w:pStyle w:val="Normal"/>
        <w:numPr>
          <w:ilvl w:val="0"/>
          <w:numId w:val="0"/>
        </w:numPr>
        <w:snapToGrid w:val="false"/>
        <w:spacing w:lineRule="exact" w:line="580"/>
        <w:ind w:firstLineChars="200" w:startChars="0" w:start="0" w:endChars="0" w:end="0"/>
        <w:outlineLvl w:val="2"/>
        <w:rPr>
          <w:rFonts w:ascii="仿宋_GB2312;仿宋" w:hAnsi="仿宋_GB2312;仿宋" w:eastAsia="仿宋_GB2312;仿宋" w:cs="方正仿宋_GBK;微软雅黑"/>
          <w:kern w:val="2"/>
          <w:sz w:val="32"/>
          <w:szCs w:val="32"/>
        </w:rPr>
      </w:pPr>
      <w:r>
        <w:rPr>
          <w:rFonts w:ascii="仿宋_GB2312;仿宋" w:hAnsi="仿宋_GB2312;仿宋" w:cs="方正仿宋_GBK;微软雅黑" w:hint="eastAsia" w:eastAsia="仿宋_GB2312;仿宋"/>
          <w:kern w:val="2"/>
          <w:sz w:val="32"/>
          <w:szCs w:val="32"/>
        </w:rPr>
        <w:t>修复完成后，应当按照程序及时终止公开、共享相关失信信息，或者对其进行标注、屏蔽、删除，终止实施惩戒措施，并将修复情况告知申请人；失信主体属于严重失信主体的，还应当及时将其移出严重失信主体名单。</w:t>
      </w:r>
    </w:p>
    <w:p>
      <w:pPr>
        <w:pStyle w:val="Normal"/>
        <w:spacing w:lineRule="exact" w:line="580"/>
        <w:jc w:val="center"/>
        <w:rPr>
          <w:rFonts w:ascii="黑体" w:hAnsi="黑体" w:eastAsia="黑体" w:cs="黑体"/>
          <w:kern w:val="2"/>
          <w:sz w:val="32"/>
          <w:szCs w:val="32"/>
        </w:rPr>
      </w:pPr>
      <w:r>
        <w:rPr>
          <w:rFonts w:eastAsia="黑体" w:cs="黑体" w:ascii="黑体" w:hAnsi="黑体"/>
          <w:kern w:val="2"/>
          <w:sz w:val="32"/>
          <w:szCs w:val="32"/>
        </w:rPr>
      </w:r>
      <w:bookmarkStart w:id="48" w:name="tiao_5_kuan_3"/>
      <w:bookmarkEnd w:id="48"/>
    </w:p>
    <w:p>
      <w:pPr>
        <w:pStyle w:val="Normal"/>
        <w:spacing w:lineRule="exact" w:line="580"/>
        <w:jc w:val="center"/>
        <w:rPr>
          <w:rFonts w:ascii="黑体" w:hAnsi="黑体" w:eastAsia="黑体" w:cs="黑体" w:hint="eastAsia"/>
          <w:sz w:val="32"/>
          <w:szCs w:val="32"/>
        </w:rPr>
      </w:pPr>
      <w:r>
        <w:rPr>
          <w:rFonts w:ascii="黑体" w:hAnsi="黑体" w:cs="黑体" w:hint="eastAsia" w:eastAsia="黑体"/>
          <w:sz w:val="32"/>
          <w:szCs w:val="32"/>
        </w:rPr>
        <w:t>第六章  信用服务行业发展</w:t>
      </w:r>
    </w:p>
    <w:p>
      <w:pPr>
        <w:pStyle w:val="-1"/>
        <w:spacing w:lineRule="exact" w:line="580"/>
        <w:ind w:endChars="0" w:end="0"/>
        <w:rPr>
          <w:rFonts w:ascii="黑体" w:hAnsi="黑体" w:eastAsia="黑体" w:cs="黑体" w:hint="eastAsia"/>
          <w:sz w:val="32"/>
          <w:szCs w:val="32"/>
        </w:rPr>
      </w:pPr>
      <w:r>
        <w:rPr>
          <w:rFonts w:eastAsia="黑体" w:cs="黑体" w:hint="eastAsia" w:ascii="黑体" w:hAnsi="黑体"/>
          <w:sz w:val="32"/>
          <w:szCs w:val="32"/>
        </w:rPr>
      </w:r>
    </w:p>
    <w:p>
      <w:pPr>
        <w:pStyle w:val="Normal"/>
        <w:numPr>
          <w:ilvl w:val="0"/>
          <w:numId w:val="0"/>
        </w:numPr>
        <w:snapToGrid w:val="false"/>
        <w:spacing w:lineRule="exact" w:line="580"/>
        <w:ind w:firstLineChars="200" w:startChars="0" w:start="0" w:endChars="0" w:end="0"/>
        <w:outlineLvl w:val="2"/>
        <w:rPr>
          <w:rFonts w:ascii="仿宋_GB2312;仿宋" w:hAnsi="仿宋_GB2312;仿宋" w:eastAsia="仿宋_GB2312;仿宋" w:cs="方正仿宋_GBK;微软雅黑" w:hint="eastAsia"/>
          <w:kern w:val="2"/>
          <w:sz w:val="32"/>
          <w:szCs w:val="32"/>
        </w:rPr>
      </w:pPr>
      <w:r>
        <w:rPr>
          <w:rFonts w:ascii="黑体" w:hAnsi="黑体" w:cs="方正仿宋_GBK;微软雅黑" w:hint="eastAsia" w:eastAsia="黑体"/>
          <w:kern w:val="2"/>
          <w:sz w:val="32"/>
          <w:szCs w:val="32"/>
        </w:rPr>
        <w:t>第六十三条</w:t>
      </w:r>
      <w:r>
        <w:rPr>
          <w:rFonts w:ascii="仿宋_GB2312;仿宋" w:hAnsi="仿宋_GB2312;仿宋" w:cs="方正仿宋_GBK;微软雅黑" w:hint="eastAsia" w:eastAsia="仿宋_GB2312;仿宋"/>
          <w:kern w:val="2"/>
          <w:sz w:val="32"/>
          <w:szCs w:val="32"/>
        </w:rPr>
        <w:t xml:space="preserve">  县级以上人民政府发展改革部门应当会同有关部门建立健全信用服务市场监督管理机制，完善信用服务市场监督管理制度。</w:t>
      </w:r>
    </w:p>
    <w:p>
      <w:pPr>
        <w:pStyle w:val="Normal"/>
        <w:numPr>
          <w:ilvl w:val="0"/>
          <w:numId w:val="0"/>
        </w:numPr>
        <w:snapToGrid w:val="false"/>
        <w:spacing w:lineRule="exact" w:line="580"/>
        <w:ind w:firstLineChars="200" w:startChars="0" w:start="0" w:endChars="0" w:end="0"/>
        <w:outlineLvl w:val="2"/>
        <w:rPr>
          <w:rFonts w:ascii="仿宋_GB2312;仿宋" w:hAnsi="仿宋_GB2312;仿宋" w:eastAsia="仿宋_GB2312;仿宋" w:cs="方正仿宋_GBK;微软雅黑" w:hint="eastAsia"/>
          <w:kern w:val="2"/>
          <w:sz w:val="32"/>
          <w:szCs w:val="32"/>
        </w:rPr>
      </w:pPr>
      <w:r>
        <w:rPr>
          <w:rFonts w:ascii="黑体" w:hAnsi="黑体" w:cs="方正仿宋_GBK;微软雅黑" w:hint="eastAsia" w:eastAsia="黑体"/>
          <w:kern w:val="2"/>
          <w:sz w:val="32"/>
          <w:szCs w:val="32"/>
        </w:rPr>
        <w:t>第六十四条</w:t>
      </w:r>
      <w:r>
        <w:rPr>
          <w:rFonts w:ascii="仿宋_GB2312;仿宋" w:hAnsi="仿宋_GB2312;仿宋" w:cs="方正仿宋_GBK;微软雅黑" w:hint="eastAsia" w:eastAsia="仿宋_GB2312;仿宋"/>
          <w:kern w:val="2"/>
          <w:sz w:val="32"/>
          <w:szCs w:val="32"/>
        </w:rPr>
        <w:t xml:space="preserve">  县级以上人民政府发展改革部门应当建立信用服务机构及其从业人员的诚信档案，加强对信用服务机构相关业务活动的监督管理。</w:t>
      </w:r>
    </w:p>
    <w:p>
      <w:pPr>
        <w:pStyle w:val="Normal"/>
        <w:snapToGrid w:val="false"/>
        <w:spacing w:lineRule="exact" w:line="580"/>
        <w:ind w:firstLineChars="200" w:startChars="0" w:start="0" w:endChars="0" w:end="0"/>
        <w:rPr>
          <w:rFonts w:ascii="仿宋_GB2312;仿宋" w:hAnsi="仿宋_GB2312;仿宋" w:eastAsia="仿宋_GB2312;仿宋" w:cs="方正仿宋_GBK;微软雅黑" w:hint="eastAsia"/>
          <w:kern w:val="2"/>
          <w:sz w:val="32"/>
          <w:szCs w:val="32"/>
        </w:rPr>
      </w:pPr>
      <w:r>
        <w:rPr>
          <w:rFonts w:ascii="黑体" w:hAnsi="黑体" w:cs="方正仿宋_GBK;微软雅黑" w:hint="eastAsia" w:eastAsia="黑体"/>
          <w:kern w:val="2"/>
          <w:sz w:val="32"/>
          <w:szCs w:val="32"/>
        </w:rPr>
        <w:t>第六十五条</w:t>
      </w:r>
      <w:r>
        <w:rPr>
          <w:rFonts w:ascii="仿宋_GB2312;仿宋" w:hAnsi="仿宋_GB2312;仿宋" w:cs="方正仿宋_GBK;微软雅黑" w:hint="eastAsia" w:eastAsia="仿宋_GB2312;仿宋"/>
          <w:kern w:val="2"/>
          <w:sz w:val="32"/>
          <w:szCs w:val="32"/>
        </w:rPr>
        <w:t xml:space="preserve">  信用服务机构及其从业人员记录、采集、归集、共享、披露、查询和应用信用信息，提供信用产品，应当符合国家和自治区有关信用服务行业规范，不得对信用主体信用状况作出虚假评价。</w:t>
      </w:r>
    </w:p>
    <w:p>
      <w:pPr>
        <w:pStyle w:val="Normal"/>
        <w:snapToGrid w:val="false"/>
        <w:spacing w:lineRule="exact" w:line="580"/>
        <w:ind w:firstLineChars="200" w:startChars="0" w:start="0" w:endChars="0" w:end="0"/>
        <w:rPr>
          <w:rFonts w:ascii="仿宋_GB2312;仿宋" w:hAnsi="仿宋_GB2312;仿宋" w:eastAsia="仿宋_GB2312;仿宋" w:cs="方正仿宋_GBK;微软雅黑" w:hint="eastAsia"/>
          <w:kern w:val="2"/>
          <w:sz w:val="32"/>
          <w:szCs w:val="32"/>
        </w:rPr>
      </w:pPr>
      <w:r>
        <w:rPr>
          <w:rFonts w:ascii="仿宋_GB2312;仿宋" w:hAnsi="仿宋_GB2312;仿宋" w:cs="方正仿宋_GBK;微软雅黑" w:hint="eastAsia" w:eastAsia="仿宋_GB2312;仿宋"/>
          <w:kern w:val="2"/>
          <w:sz w:val="32"/>
          <w:szCs w:val="32"/>
        </w:rPr>
        <w:t>信用服务机构及其从业人员对在开展业务过程中知悉的国家秘密、商业秘密、个人隐私负有保密义务，不得危害国家安全、公共安全和公共利益，不得损害信息主体的合法权益。</w:t>
      </w:r>
    </w:p>
    <w:p>
      <w:pPr>
        <w:pStyle w:val="Normal"/>
        <w:numPr>
          <w:ilvl w:val="0"/>
          <w:numId w:val="0"/>
        </w:numPr>
        <w:snapToGrid w:val="false"/>
        <w:spacing w:lineRule="exact" w:line="580"/>
        <w:ind w:firstLineChars="200" w:startChars="0" w:start="0" w:endChars="0" w:end="0"/>
        <w:outlineLvl w:val="2"/>
        <w:rPr>
          <w:rFonts w:ascii="仿宋_GB2312;仿宋" w:hAnsi="仿宋_GB2312;仿宋" w:eastAsia="仿宋_GB2312;仿宋" w:cs="方正仿宋_GBK;微软雅黑" w:hint="eastAsia"/>
          <w:kern w:val="2"/>
          <w:sz w:val="32"/>
          <w:szCs w:val="32"/>
        </w:rPr>
      </w:pPr>
      <w:r>
        <w:rPr>
          <w:rFonts w:ascii="黑体" w:hAnsi="黑体" w:cs="方正仿宋_GBK;微软雅黑" w:hint="eastAsia" w:eastAsia="黑体"/>
          <w:kern w:val="2"/>
          <w:sz w:val="32"/>
          <w:szCs w:val="32"/>
        </w:rPr>
        <w:t>第六十六条</w:t>
      </w:r>
      <w:r>
        <w:rPr>
          <w:rFonts w:ascii="仿宋_GB2312;仿宋" w:hAnsi="仿宋_GB2312;仿宋" w:cs="方正仿宋_GBK;微软雅黑" w:hint="eastAsia" w:eastAsia="仿宋_GB2312;仿宋"/>
          <w:kern w:val="2"/>
          <w:sz w:val="32"/>
          <w:szCs w:val="32"/>
        </w:rPr>
        <w:t xml:space="preserve">  鼓励成立信用服务行业组织，制定信用服务机构和从业人员基本行为准则和业务规范，加强行业自律管理，提升信用服务机构服务能力和公信力。</w:t>
      </w:r>
    </w:p>
    <w:p>
      <w:pPr>
        <w:pStyle w:val="Normal"/>
        <w:numPr>
          <w:ilvl w:val="0"/>
          <w:numId w:val="0"/>
        </w:numPr>
        <w:snapToGrid w:val="false"/>
        <w:spacing w:lineRule="exact" w:line="580"/>
        <w:ind w:firstLineChars="200" w:startChars="0" w:start="0" w:endChars="0" w:end="0"/>
        <w:outlineLvl w:val="2"/>
        <w:rPr>
          <w:rFonts w:ascii="仿宋_GB2312;仿宋" w:hAnsi="仿宋_GB2312;仿宋" w:eastAsia="仿宋_GB2312;仿宋" w:cs="方正仿宋_GBK;微软雅黑" w:hint="eastAsia"/>
          <w:kern w:val="2"/>
          <w:sz w:val="32"/>
          <w:szCs w:val="32"/>
        </w:rPr>
      </w:pPr>
      <w:r>
        <w:rPr>
          <w:rFonts w:ascii="黑体" w:hAnsi="黑体" w:cs="方正仿宋_GBK;微软雅黑" w:hint="eastAsia" w:eastAsia="黑体"/>
          <w:kern w:val="2"/>
          <w:sz w:val="32"/>
          <w:szCs w:val="32"/>
        </w:rPr>
        <w:t>第六十七条</w:t>
      </w:r>
      <w:r>
        <w:rPr>
          <w:rFonts w:ascii="仿宋_GB2312;仿宋" w:hAnsi="仿宋_GB2312;仿宋" w:cs="方正仿宋_GBK;微软雅黑" w:hint="eastAsia" w:eastAsia="仿宋_GB2312;仿宋"/>
          <w:kern w:val="2"/>
          <w:sz w:val="32"/>
          <w:szCs w:val="32"/>
        </w:rPr>
        <w:t xml:space="preserve">  县级以上人民政府应当制定信用服务行业发展扶持政策，支持、引导、培育信用服务市场健康发展。</w:t>
      </w:r>
    </w:p>
    <w:p>
      <w:pPr>
        <w:pStyle w:val="Normal"/>
        <w:numPr>
          <w:ilvl w:val="0"/>
          <w:numId w:val="0"/>
        </w:numPr>
        <w:snapToGrid w:val="false"/>
        <w:spacing w:lineRule="exact" w:line="580"/>
        <w:ind w:firstLineChars="200" w:startChars="0" w:start="0" w:endChars="0" w:end="0"/>
        <w:outlineLvl w:val="2"/>
        <w:rPr>
          <w:rFonts w:ascii="仿宋_GB2312;仿宋" w:hAnsi="仿宋_GB2312;仿宋" w:eastAsia="仿宋_GB2312;仿宋" w:cs="方正仿宋_GBK;微软雅黑" w:hint="eastAsia"/>
          <w:kern w:val="2"/>
          <w:sz w:val="32"/>
          <w:szCs w:val="32"/>
        </w:rPr>
      </w:pPr>
      <w:r>
        <w:rPr>
          <w:rFonts w:ascii="黑体" w:hAnsi="黑体" w:cs="方正仿宋_GBK;微软雅黑" w:hint="eastAsia" w:eastAsia="黑体"/>
          <w:kern w:val="2"/>
          <w:sz w:val="32"/>
          <w:szCs w:val="32"/>
        </w:rPr>
        <w:t>第六十八条</w:t>
      </w:r>
      <w:r>
        <w:rPr>
          <w:rFonts w:ascii="仿宋_GB2312;仿宋" w:hAnsi="仿宋_GB2312;仿宋" w:cs="方正仿宋_GBK;微软雅黑" w:hint="eastAsia" w:eastAsia="仿宋_GB2312;仿宋"/>
          <w:kern w:val="2"/>
          <w:sz w:val="32"/>
          <w:szCs w:val="32"/>
        </w:rPr>
        <w:t xml:space="preserve">  国家机关以及法律、法规授权的具有管理公共事务职能的组织可以通过购买信用服务机构的信用服务，识别信用主体的信用状况。</w:t>
      </w:r>
    </w:p>
    <w:p>
      <w:pPr>
        <w:pStyle w:val="Normal"/>
        <w:snapToGrid w:val="false"/>
        <w:spacing w:lineRule="exact" w:line="580"/>
        <w:ind w:firstLineChars="200" w:startChars="0" w:start="0" w:endChars="0" w:end="0"/>
        <w:rPr>
          <w:rFonts w:ascii="仿宋_GB2312;仿宋" w:hAnsi="仿宋_GB2312;仿宋" w:eastAsia="仿宋_GB2312;仿宋" w:cs="方正仿宋_GBK;微软雅黑" w:hint="eastAsia"/>
          <w:kern w:val="2"/>
          <w:sz w:val="32"/>
          <w:szCs w:val="32"/>
        </w:rPr>
      </w:pPr>
      <w:r>
        <w:rPr>
          <w:rFonts w:ascii="仿宋_GB2312;仿宋" w:hAnsi="仿宋_GB2312;仿宋" w:cs="方正仿宋_GBK;微软雅黑" w:hint="eastAsia" w:eastAsia="仿宋_GB2312;仿宋"/>
          <w:kern w:val="2"/>
          <w:sz w:val="32"/>
          <w:szCs w:val="32"/>
        </w:rPr>
        <w:t>鼓励信用服务机构运用大数据、云计算、区块链等信息技术，开发适合本地区的信用产品，开拓信用应用服务领域，满足社会信用需求。</w:t>
      </w:r>
    </w:p>
    <w:p>
      <w:pPr>
        <w:pStyle w:val="Normal"/>
        <w:numPr>
          <w:ilvl w:val="0"/>
          <w:numId w:val="0"/>
        </w:numPr>
        <w:snapToGrid w:val="false"/>
        <w:spacing w:lineRule="exact" w:line="580"/>
        <w:ind w:firstLineChars="200" w:startChars="0" w:start="0" w:endChars="0" w:end="0"/>
        <w:outlineLvl w:val="2"/>
        <w:rPr>
          <w:rFonts w:ascii="仿宋_GB2312;仿宋" w:hAnsi="仿宋_GB2312;仿宋" w:eastAsia="仿宋_GB2312;仿宋" w:cs="方正仿宋_GBK;微软雅黑" w:hint="eastAsia"/>
          <w:kern w:val="2"/>
          <w:sz w:val="32"/>
          <w:szCs w:val="32"/>
        </w:rPr>
      </w:pPr>
      <w:r>
        <w:rPr>
          <w:rFonts w:ascii="黑体" w:hAnsi="黑体" w:cs="方正仿宋_GBK;微软雅黑" w:hint="eastAsia" w:eastAsia="黑体"/>
          <w:kern w:val="2"/>
          <w:sz w:val="32"/>
          <w:szCs w:val="32"/>
        </w:rPr>
        <w:t>第六十九条</w:t>
      </w:r>
      <w:r>
        <w:rPr>
          <w:rFonts w:ascii="仿宋_GB2312;仿宋" w:hAnsi="仿宋_GB2312;仿宋" w:cs="方正仿宋_GBK;微软雅黑" w:hint="eastAsia" w:eastAsia="仿宋_GB2312;仿宋"/>
          <w:kern w:val="2"/>
          <w:sz w:val="32"/>
          <w:szCs w:val="32"/>
        </w:rPr>
        <w:t xml:space="preserve">  鼓励信用服务机构与国家机关以及法律、法规授权的具有管理公共事务职能的组织通过签署共享协议等合作方式，在充分保护市场主体商业秘密、个人隐私的前提下，实现信用信息共建共享。</w:t>
      </w:r>
    </w:p>
    <w:p>
      <w:pPr>
        <w:pStyle w:val="Normal"/>
        <w:snapToGrid w:val="false"/>
        <w:spacing w:lineRule="exact" w:line="580"/>
        <w:ind w:firstLineChars="200" w:startChars="0" w:start="0" w:endChars="0" w:end="0"/>
        <w:rPr>
          <w:rFonts w:ascii="仿宋_GB2312;仿宋" w:hAnsi="仿宋_GB2312;仿宋" w:eastAsia="仿宋_GB2312;仿宋" w:cs="方正仿宋_GBK;微软雅黑" w:hint="eastAsia"/>
          <w:kern w:val="2"/>
          <w:sz w:val="32"/>
          <w:szCs w:val="32"/>
        </w:rPr>
      </w:pPr>
      <w:r>
        <w:rPr>
          <w:rFonts w:eastAsia="仿宋_GB2312;仿宋" w:cs="方正仿宋_GBK;微软雅黑" w:hint="eastAsia" w:ascii="仿宋_GB2312;仿宋" w:hAnsi="仿宋_GB2312;仿宋"/>
          <w:kern w:val="2"/>
          <w:sz w:val="32"/>
          <w:szCs w:val="32"/>
        </w:rPr>
      </w:r>
    </w:p>
    <w:p>
      <w:pPr>
        <w:pStyle w:val="Normal"/>
        <w:numPr>
          <w:ilvl w:val="0"/>
          <w:numId w:val="0"/>
        </w:numPr>
        <w:snapToGrid w:val="false"/>
        <w:spacing w:lineRule="exact" w:line="580"/>
        <w:ind w:firstLineChars="200" w:startChars="0" w:start="0" w:endChars="0" w:end="0"/>
        <w:jc w:val="center"/>
        <w:outlineLvl w:val="1"/>
        <w:rPr>
          <w:rFonts w:ascii="黑体" w:hAnsi="黑体" w:eastAsia="黑体" w:cs="方正仿宋_GBK;微软雅黑" w:hint="eastAsia"/>
          <w:kern w:val="2"/>
          <w:sz w:val="32"/>
          <w:szCs w:val="32"/>
        </w:rPr>
      </w:pPr>
      <w:r>
        <w:rPr>
          <w:rFonts w:ascii="黑体" w:hAnsi="黑体" w:cs="方正仿宋_GBK;微软雅黑" w:hint="eastAsia" w:eastAsia="黑体"/>
          <w:kern w:val="2"/>
          <w:sz w:val="32"/>
          <w:szCs w:val="32"/>
        </w:rPr>
        <w:t>第七章  法律责任</w:t>
      </w:r>
    </w:p>
    <w:p>
      <w:pPr>
        <w:pStyle w:val="Normal"/>
        <w:snapToGrid w:val="false"/>
        <w:spacing w:lineRule="exact" w:line="580"/>
        <w:ind w:firstLineChars="200" w:startChars="0" w:start="0" w:endChars="0" w:end="0"/>
        <w:rPr>
          <w:rFonts w:ascii="仿宋_GB2312;仿宋" w:hAnsi="仿宋_GB2312;仿宋" w:eastAsia="仿宋_GB2312;仿宋" w:cs="方正仿宋_GBK;微软雅黑" w:hint="eastAsia"/>
          <w:kern w:val="2"/>
          <w:sz w:val="32"/>
          <w:szCs w:val="32"/>
        </w:rPr>
      </w:pPr>
      <w:r>
        <w:rPr>
          <w:rFonts w:eastAsia="仿宋_GB2312;仿宋" w:cs="方正仿宋_GBK;微软雅黑" w:hint="eastAsia" w:ascii="仿宋_GB2312;仿宋" w:hAnsi="仿宋_GB2312;仿宋"/>
          <w:kern w:val="2"/>
          <w:sz w:val="32"/>
          <w:szCs w:val="32"/>
        </w:rPr>
      </w:r>
    </w:p>
    <w:p>
      <w:pPr>
        <w:pStyle w:val="Normal"/>
        <w:numPr>
          <w:ilvl w:val="0"/>
          <w:numId w:val="0"/>
        </w:numPr>
        <w:snapToGrid w:val="false"/>
        <w:spacing w:lineRule="exact" w:line="580"/>
        <w:ind w:firstLineChars="200" w:startChars="0" w:start="0" w:endChars="0" w:end="0"/>
        <w:outlineLvl w:val="2"/>
        <w:rPr>
          <w:rFonts w:ascii="仿宋_GB2312;仿宋" w:hAnsi="仿宋_GB2312;仿宋" w:eastAsia="仿宋_GB2312;仿宋" w:cs="方正仿宋_GBK;微软雅黑"/>
          <w:kern w:val="2"/>
          <w:sz w:val="32"/>
          <w:szCs w:val="32"/>
        </w:rPr>
      </w:pPr>
      <w:r>
        <w:rPr>
          <w:rFonts w:ascii="黑体" w:hAnsi="黑体" w:cs="方正仿宋_GBK;微软雅黑" w:hint="eastAsia" w:eastAsia="黑体"/>
          <w:kern w:val="2"/>
          <w:sz w:val="32"/>
          <w:szCs w:val="32"/>
        </w:rPr>
        <w:t>第七十条</w:t>
      </w:r>
      <w:r>
        <w:rPr>
          <w:rFonts w:ascii="仿宋_GB2312;仿宋" w:hAnsi="仿宋_GB2312;仿宋" w:cs="方正仿宋_GBK;微软雅黑" w:hint="eastAsia" w:eastAsia="仿宋_GB2312;仿宋"/>
          <w:kern w:val="2"/>
          <w:sz w:val="32"/>
          <w:szCs w:val="32"/>
        </w:rPr>
        <w:t xml:space="preserve">  违反本条例规定的行为，法律、行政法规已有法律责任规定的，从其规定。</w:t>
      </w:r>
    </w:p>
    <w:p>
      <w:pPr>
        <w:pStyle w:val="Normal"/>
        <w:numPr>
          <w:ilvl w:val="0"/>
          <w:numId w:val="0"/>
        </w:numPr>
        <w:snapToGrid w:val="false"/>
        <w:spacing w:lineRule="exact" w:line="580"/>
        <w:ind w:firstLineChars="200" w:startChars="0" w:start="0" w:endChars="0" w:end="0"/>
        <w:outlineLvl w:val="2"/>
        <w:rPr>
          <w:rFonts w:ascii="仿宋_GB2312;仿宋" w:hAnsi="仿宋_GB2312;仿宋" w:eastAsia="仿宋_GB2312;仿宋" w:cs="方正仿宋_GBK;微软雅黑" w:hint="eastAsia"/>
          <w:kern w:val="2"/>
          <w:sz w:val="32"/>
          <w:szCs w:val="32"/>
        </w:rPr>
      </w:pPr>
      <w:r>
        <w:rPr>
          <w:rFonts w:ascii="黑体" w:hAnsi="黑体" w:cs="方正仿宋_GBK;微软雅黑" w:hint="eastAsia" w:eastAsia="黑体"/>
          <w:kern w:val="2"/>
          <w:sz w:val="32"/>
          <w:szCs w:val="32"/>
        </w:rPr>
        <w:t>第七十一条</w:t>
      </w:r>
      <w:r>
        <w:rPr>
          <w:rFonts w:ascii="楷体_GB2312;楷体" w:hAnsi="楷体_GB2312;楷体" w:cs="方正仿宋_GBK;微软雅黑" w:hint="eastAsia" w:eastAsia="楷体_GB2312;楷体"/>
          <w:kern w:val="2"/>
          <w:sz w:val="32"/>
          <w:szCs w:val="32"/>
        </w:rPr>
        <w:t xml:space="preserve"> </w:t>
      </w:r>
      <w:r>
        <w:rPr>
          <w:rFonts w:ascii="仿宋_GB2312;仿宋" w:hAnsi="仿宋_GB2312;仿宋" w:cs="方正仿宋_GBK;微软雅黑" w:hint="eastAsia" w:eastAsia="仿宋_GB2312;仿宋"/>
          <w:kern w:val="2"/>
          <w:sz w:val="32"/>
          <w:szCs w:val="32"/>
        </w:rPr>
        <w:t xml:space="preserve"> 违反本条例规定，自治区、设区的市人民政府发展改革部门确定的公共信用信息工作机构、公共信用信息提供单位及其工作人员有下列行为之一的，由有权机关责令改正；情节严重的，对直接负责的主管人员和其他直接责任人员依法给予处分；构成犯罪的，依法追究刑事责任：</w:t>
      </w:r>
    </w:p>
    <w:p>
      <w:pPr>
        <w:pStyle w:val="Normal"/>
        <w:numPr>
          <w:ilvl w:val="0"/>
          <w:numId w:val="0"/>
        </w:numPr>
        <w:snapToGrid w:val="false"/>
        <w:spacing w:lineRule="exact" w:line="580"/>
        <w:ind w:firstLineChars="200" w:startChars="0" w:start="0" w:endChars="0" w:end="0"/>
        <w:outlineLvl w:val="2"/>
        <w:rPr>
          <w:rFonts w:ascii="仿宋_GB2312;仿宋" w:hAnsi="仿宋_GB2312;仿宋" w:eastAsia="仿宋_GB2312;仿宋" w:cs="方正仿宋_GBK;微软雅黑" w:hint="eastAsia"/>
          <w:kern w:val="2"/>
          <w:sz w:val="32"/>
          <w:szCs w:val="32"/>
        </w:rPr>
      </w:pPr>
      <w:r>
        <w:rPr>
          <w:rFonts w:ascii="仿宋_GB2312;仿宋" w:hAnsi="仿宋_GB2312;仿宋" w:cs="方正仿宋_GBK;微软雅黑" w:hint="eastAsia" w:eastAsia="仿宋_GB2312;仿宋"/>
          <w:kern w:val="2"/>
          <w:sz w:val="32"/>
          <w:szCs w:val="32"/>
        </w:rPr>
        <w:t>（一）窃取、虚构、篡改、隐匿、违规删除公共信用信息的；</w:t>
      </w:r>
    </w:p>
    <w:p>
      <w:pPr>
        <w:pStyle w:val="Normal"/>
        <w:numPr>
          <w:ilvl w:val="0"/>
          <w:numId w:val="0"/>
        </w:numPr>
        <w:snapToGrid w:val="false"/>
        <w:spacing w:lineRule="exact" w:line="580"/>
        <w:ind w:firstLineChars="200" w:startChars="0" w:start="0" w:endChars="0" w:end="0"/>
        <w:outlineLvl w:val="2"/>
        <w:rPr>
          <w:rFonts w:ascii="仿宋_GB2312;仿宋" w:hAnsi="仿宋_GB2312;仿宋" w:eastAsia="仿宋_GB2312;仿宋" w:cs="方正仿宋_GBK;微软雅黑" w:hint="eastAsia"/>
          <w:kern w:val="2"/>
          <w:sz w:val="32"/>
          <w:szCs w:val="32"/>
        </w:rPr>
      </w:pPr>
      <w:r>
        <w:rPr>
          <w:rFonts w:ascii="仿宋_GB2312;仿宋" w:hAnsi="仿宋_GB2312;仿宋" w:cs="方正仿宋_GBK;微软雅黑" w:hint="eastAsia" w:eastAsia="仿宋_GB2312;仿宋"/>
          <w:kern w:val="2"/>
          <w:sz w:val="32"/>
          <w:szCs w:val="32"/>
        </w:rPr>
        <w:t>（二）未按照规定处理异议申请或者信用修复申请的；</w:t>
      </w:r>
    </w:p>
    <w:p>
      <w:pPr>
        <w:pStyle w:val="Normal"/>
        <w:numPr>
          <w:ilvl w:val="0"/>
          <w:numId w:val="0"/>
        </w:numPr>
        <w:snapToGrid w:val="false"/>
        <w:spacing w:lineRule="exact" w:line="580"/>
        <w:ind w:firstLineChars="200" w:startChars="0" w:start="0" w:endChars="0" w:end="0"/>
        <w:outlineLvl w:val="2"/>
        <w:rPr>
          <w:rFonts w:ascii="仿宋_GB2312;仿宋" w:hAnsi="仿宋_GB2312;仿宋" w:eastAsia="仿宋_GB2312;仿宋" w:cs="方正仿宋_GBK;微软雅黑" w:hint="eastAsia"/>
          <w:kern w:val="2"/>
          <w:sz w:val="32"/>
          <w:szCs w:val="32"/>
        </w:rPr>
      </w:pPr>
      <w:r>
        <w:rPr>
          <w:rFonts w:ascii="仿宋_GB2312;仿宋" w:hAnsi="仿宋_GB2312;仿宋" w:cs="方正仿宋_GBK;微软雅黑" w:hint="eastAsia" w:eastAsia="仿宋_GB2312;仿宋"/>
          <w:kern w:val="2"/>
          <w:sz w:val="32"/>
          <w:szCs w:val="32"/>
        </w:rPr>
        <w:t>（三）泄露在业务过程中知悉的国家秘密、商业秘密或者个人隐私的；</w:t>
      </w:r>
    </w:p>
    <w:p>
      <w:pPr>
        <w:pStyle w:val="Normal"/>
        <w:numPr>
          <w:ilvl w:val="0"/>
          <w:numId w:val="0"/>
        </w:numPr>
        <w:snapToGrid w:val="false"/>
        <w:spacing w:lineRule="exact" w:line="580"/>
        <w:ind w:firstLineChars="200" w:startChars="0" w:start="0" w:endChars="0" w:end="0"/>
        <w:outlineLvl w:val="2"/>
        <w:rPr>
          <w:rFonts w:ascii="仿宋_GB2312;仿宋" w:hAnsi="仿宋_GB2312;仿宋" w:eastAsia="仿宋_GB2312;仿宋" w:cs="方正仿宋_GBK;微软雅黑"/>
          <w:kern w:val="2"/>
          <w:sz w:val="32"/>
          <w:szCs w:val="32"/>
        </w:rPr>
      </w:pPr>
      <w:r>
        <w:rPr>
          <w:rFonts w:ascii="仿宋_GB2312;仿宋" w:hAnsi="仿宋_GB2312;仿宋" w:cs="方正仿宋_GBK;微软雅黑" w:hint="eastAsia" w:eastAsia="仿宋_GB2312;仿宋"/>
          <w:kern w:val="2"/>
          <w:sz w:val="32"/>
          <w:szCs w:val="32"/>
        </w:rPr>
        <w:t>（四）未按照规定履行信息安全管理职责的；</w:t>
      </w:r>
    </w:p>
    <w:p>
      <w:pPr>
        <w:pStyle w:val="Normal"/>
        <w:numPr>
          <w:ilvl w:val="0"/>
          <w:numId w:val="0"/>
        </w:numPr>
        <w:snapToGrid w:val="false"/>
        <w:spacing w:lineRule="exact" w:line="580"/>
        <w:ind w:firstLineChars="200" w:startChars="0" w:start="0" w:endChars="0" w:end="0"/>
        <w:outlineLvl w:val="2"/>
        <w:rPr>
          <w:rFonts w:ascii="仿宋_GB2312;仿宋" w:hAnsi="仿宋_GB2312;仿宋" w:eastAsia="仿宋_GB2312;仿宋" w:cs="方正仿宋_GBK;微软雅黑" w:hint="eastAsia"/>
          <w:kern w:val="2"/>
          <w:sz w:val="32"/>
          <w:szCs w:val="32"/>
        </w:rPr>
      </w:pPr>
      <w:r>
        <w:rPr>
          <w:rFonts w:ascii="仿宋_GB2312;仿宋" w:hAnsi="仿宋_GB2312;仿宋" w:cs="方正仿宋_GBK;微软雅黑" w:hint="eastAsia" w:eastAsia="仿宋_GB2312;仿宋"/>
          <w:kern w:val="2"/>
          <w:sz w:val="32"/>
          <w:szCs w:val="32"/>
        </w:rPr>
        <w:t>（五）违法实施信用监管或者失信惩戒的；</w:t>
      </w:r>
    </w:p>
    <w:p>
      <w:pPr>
        <w:pStyle w:val="Normal"/>
        <w:numPr>
          <w:ilvl w:val="0"/>
          <w:numId w:val="0"/>
        </w:numPr>
        <w:snapToGrid w:val="false"/>
        <w:spacing w:lineRule="exact" w:line="580"/>
        <w:ind w:firstLineChars="200" w:startChars="0" w:start="0" w:endChars="0" w:end="0"/>
        <w:outlineLvl w:val="2"/>
        <w:rPr>
          <w:rFonts w:ascii="仿宋_GB2312;仿宋" w:hAnsi="仿宋_GB2312;仿宋" w:eastAsia="仿宋_GB2312;仿宋" w:cs="方正仿宋_GBK;微软雅黑" w:hint="eastAsia"/>
          <w:kern w:val="2"/>
          <w:sz w:val="32"/>
          <w:szCs w:val="32"/>
        </w:rPr>
      </w:pPr>
      <w:r>
        <w:rPr>
          <w:rFonts w:ascii="仿宋_GB2312;仿宋" w:hAnsi="仿宋_GB2312;仿宋" w:cs="方正仿宋_GBK;微软雅黑" w:hint="eastAsia" w:eastAsia="仿宋_GB2312;仿宋"/>
          <w:kern w:val="2"/>
          <w:sz w:val="32"/>
          <w:szCs w:val="32"/>
        </w:rPr>
        <w:t>（六）其他滥用职权、玩忽职守、徇私舞弊的行为。</w:t>
      </w:r>
    </w:p>
    <w:p>
      <w:pPr>
        <w:pStyle w:val="Normal"/>
        <w:numPr>
          <w:ilvl w:val="0"/>
          <w:numId w:val="0"/>
        </w:numPr>
        <w:shd w:fill="FFFFFF" w:val="clear"/>
        <w:spacing w:lineRule="exact" w:line="580"/>
        <w:ind w:firstLineChars="200" w:startChars="0" w:start="0" w:endChars="0" w:end="0"/>
        <w:outlineLvl w:val="2"/>
        <w:rPr>
          <w:rFonts w:ascii="仿宋_GB2312;仿宋" w:hAnsi="仿宋_GB2312;仿宋" w:eastAsia="仿宋_GB2312;仿宋"/>
          <w:color w:val="000000"/>
          <w:sz w:val="32"/>
          <w:szCs w:val="32"/>
        </w:rPr>
      </w:pPr>
      <w:r>
        <w:rPr>
          <w:rFonts w:ascii="黑体" w:hAnsi="黑体" w:cs="黑体" w:hint="eastAsia" w:eastAsia="黑体"/>
          <w:color w:val="000000"/>
          <w:sz w:val="32"/>
          <w:szCs w:val="32"/>
        </w:rPr>
        <w:t>第七十二条</w:t>
      </w:r>
      <w:r>
        <w:rPr>
          <w:rFonts w:ascii="仿宋_GB2312;仿宋" w:hAnsi="仿宋_GB2312;仿宋" w:hint="eastAsia" w:eastAsia="仿宋_GB2312;仿宋"/>
          <w:color w:val="000000"/>
          <w:sz w:val="32"/>
          <w:szCs w:val="32"/>
        </w:rPr>
        <w:t xml:space="preserve">  信用服务机构及其从业人员违反本条例规定，对信用主体信用状况作出虚假评价的，由县级以上人民政府发展改革部门或者有关主管部门按照管理权限责令改正，对单位处五万元以上十万元以下罚款，情节严重的，处十万元以上二十万元以下罚款；对负有直接责任的工作人员处一万元以上三万元以下罚款，情节严重的，处三万元以上十万元以下罚款；有违法所得的，没收违法所得；损害信用主体合法权益的，依法承担民事责任；构成犯罪的，依法追究刑事责任。</w:t>
      </w:r>
    </w:p>
    <w:p>
      <w:pPr>
        <w:pStyle w:val="-1"/>
        <w:spacing w:lineRule="exact" w:line="580"/>
        <w:ind w:endChars="0" w:end="0"/>
        <w:rPr>
          <w:rFonts w:ascii="仿宋_GB2312;仿宋" w:hAnsi="仿宋_GB2312;仿宋" w:eastAsia="仿宋_GB2312;仿宋" w:hint="eastAsia"/>
          <w:color w:val="000000"/>
          <w:sz w:val="32"/>
          <w:szCs w:val="32"/>
        </w:rPr>
      </w:pPr>
      <w:r>
        <w:rPr>
          <w:rFonts w:eastAsia="仿宋_GB2312;仿宋" w:hint="eastAsia" w:ascii="仿宋_GB2312;仿宋" w:hAnsi="仿宋_GB2312;仿宋"/>
          <w:color w:val="000000"/>
          <w:sz w:val="32"/>
          <w:szCs w:val="32"/>
        </w:rPr>
      </w:r>
    </w:p>
    <w:p>
      <w:pPr>
        <w:pStyle w:val="Normal"/>
        <w:snapToGrid w:val="false"/>
        <w:spacing w:lineRule="exact" w:line="580"/>
        <w:ind w:firstLineChars="200" w:startChars="0" w:start="0" w:endChars="0" w:end="0"/>
        <w:jc w:val="center"/>
        <w:rPr>
          <w:rFonts w:ascii="黑体" w:hAnsi="黑体" w:eastAsia="黑体" w:cs="方正仿宋_GBK;微软雅黑" w:hint="eastAsia"/>
          <w:kern w:val="2"/>
          <w:sz w:val="32"/>
          <w:szCs w:val="32"/>
        </w:rPr>
      </w:pPr>
      <w:r>
        <w:rPr>
          <w:rFonts w:ascii="黑体" w:hAnsi="黑体" w:cs="方正仿宋_GBK;微软雅黑" w:hint="eastAsia" w:eastAsia="黑体"/>
          <w:kern w:val="2"/>
          <w:sz w:val="32"/>
          <w:szCs w:val="32"/>
        </w:rPr>
        <w:t>第八章  附  则</w:t>
      </w:r>
    </w:p>
    <w:p>
      <w:pPr>
        <w:pStyle w:val="Normal"/>
        <w:snapToGrid w:val="false"/>
        <w:spacing w:lineRule="exact" w:line="580"/>
        <w:ind w:firstLineChars="200" w:startChars="0" w:start="0" w:endChars="0" w:end="0"/>
        <w:rPr>
          <w:rFonts w:ascii="仿宋_GB2312;仿宋" w:hAnsi="仿宋_GB2312;仿宋" w:eastAsia="仿宋_GB2312;仿宋" w:cs="方正仿宋_GBK;微软雅黑" w:hint="eastAsia"/>
          <w:kern w:val="2"/>
          <w:sz w:val="32"/>
          <w:szCs w:val="32"/>
        </w:rPr>
      </w:pPr>
      <w:r>
        <w:rPr>
          <w:rFonts w:eastAsia="仿宋_GB2312;仿宋" w:cs="方正仿宋_GBK;微软雅黑" w:hint="eastAsia" w:ascii="仿宋_GB2312;仿宋" w:hAnsi="仿宋_GB2312;仿宋"/>
          <w:kern w:val="2"/>
          <w:sz w:val="32"/>
          <w:szCs w:val="32"/>
        </w:rPr>
      </w:r>
    </w:p>
    <w:p>
      <w:pPr>
        <w:pStyle w:val="Normal"/>
        <w:numPr>
          <w:ilvl w:val="0"/>
          <w:numId w:val="0"/>
        </w:numPr>
        <w:snapToGrid w:val="false"/>
        <w:spacing w:lineRule="exact" w:line="580"/>
        <w:ind w:firstLineChars="200" w:startChars="0" w:start="0" w:endChars="0" w:end="0"/>
        <w:outlineLvl w:val="2"/>
        <w:rPr>
          <w:rFonts w:ascii="仿宋_GB2312;仿宋" w:hAnsi="仿宋_GB2312;仿宋" w:eastAsia="仿宋_GB2312;仿宋" w:cs="方正仿宋_GBK;微软雅黑" w:hint="eastAsia"/>
          <w:kern w:val="2"/>
          <w:sz w:val="32"/>
          <w:szCs w:val="32"/>
        </w:rPr>
      </w:pPr>
      <w:r>
        <w:rPr>
          <w:rFonts w:ascii="黑体" w:hAnsi="黑体" w:cs="方正仿宋_GBK;微软雅黑" w:hint="eastAsia" w:eastAsia="黑体"/>
          <w:kern w:val="2"/>
          <w:sz w:val="32"/>
          <w:szCs w:val="32"/>
        </w:rPr>
        <w:t>第七十三条</w:t>
      </w:r>
      <w:r>
        <w:rPr>
          <w:rFonts w:ascii="仿宋_GB2312;仿宋" w:hAnsi="仿宋_GB2312;仿宋" w:cs="方正仿宋_GBK;微软雅黑" w:hint="eastAsia" w:eastAsia="仿宋_GB2312;仿宋"/>
          <w:kern w:val="2"/>
          <w:sz w:val="32"/>
          <w:szCs w:val="32"/>
        </w:rPr>
        <w:t xml:space="preserve">  本条例下列用语的含义：</w:t>
      </w:r>
    </w:p>
    <w:p>
      <w:pPr>
        <w:pStyle w:val="Normal"/>
        <w:snapToGrid w:val="false"/>
        <w:spacing w:lineRule="exact" w:line="580"/>
        <w:ind w:firstLineChars="200" w:startChars="0" w:start="0" w:endChars="0" w:end="0"/>
        <w:rPr>
          <w:rFonts w:ascii="仿宋_GB2312;仿宋" w:hAnsi="仿宋_GB2312;仿宋" w:eastAsia="仿宋_GB2312;仿宋" w:cs="方正仿宋_GBK;微软雅黑" w:hint="eastAsia"/>
          <w:kern w:val="2"/>
          <w:sz w:val="32"/>
          <w:szCs w:val="32"/>
        </w:rPr>
      </w:pPr>
      <w:r>
        <w:rPr>
          <w:rFonts w:ascii="仿宋_GB2312;仿宋" w:hAnsi="仿宋_GB2312;仿宋" w:cs="方正仿宋_GBK;微软雅黑" w:hint="eastAsia" w:eastAsia="仿宋_GB2312;仿宋"/>
          <w:kern w:val="2"/>
          <w:sz w:val="32"/>
          <w:szCs w:val="32"/>
        </w:rPr>
        <w:t>（一）本条例所称信用服务机构，是指依法设立，向社会提供信用信息产品和信用管理咨询服务的单位；</w:t>
      </w:r>
    </w:p>
    <w:p>
      <w:pPr>
        <w:pStyle w:val="Normal"/>
        <w:snapToGrid w:val="false"/>
        <w:spacing w:lineRule="exact" w:line="580"/>
        <w:ind w:firstLineChars="200" w:startChars="0" w:start="0" w:endChars="0" w:end="0"/>
        <w:rPr>
          <w:rFonts w:ascii="仿宋_GB2312;仿宋" w:hAnsi="仿宋_GB2312;仿宋" w:eastAsia="仿宋_GB2312;仿宋" w:cs="方正仿宋_GBK;微软雅黑" w:hint="eastAsia"/>
          <w:kern w:val="2"/>
          <w:sz w:val="32"/>
          <w:szCs w:val="32"/>
        </w:rPr>
      </w:pPr>
      <w:r>
        <w:rPr>
          <w:rFonts w:ascii="仿宋_GB2312;仿宋" w:hAnsi="仿宋_GB2312;仿宋" w:cs="方正仿宋_GBK;微软雅黑" w:hint="eastAsia" w:eastAsia="仿宋_GB2312;仿宋"/>
          <w:kern w:val="2"/>
          <w:sz w:val="32"/>
          <w:szCs w:val="32"/>
        </w:rPr>
        <w:t>（二）本条例所称信用报告，是指由自治区、设区的市人民政府发展改革部门确定的公共信用信息工作机构或者信用服务机构出具的信用主体当前信用状况的分析报告；</w:t>
      </w:r>
    </w:p>
    <w:p>
      <w:pPr>
        <w:pStyle w:val="Normal"/>
        <w:snapToGrid w:val="false"/>
        <w:spacing w:lineRule="exact" w:line="580"/>
        <w:ind w:firstLineChars="200" w:startChars="0" w:start="0" w:endChars="0" w:end="0"/>
        <w:rPr>
          <w:rFonts w:ascii="仿宋_GB2312;仿宋" w:hAnsi="仿宋_GB2312;仿宋" w:eastAsia="仿宋_GB2312;仿宋" w:cs="方正仿宋_GBK;微软雅黑" w:hint="eastAsia"/>
          <w:kern w:val="2"/>
          <w:sz w:val="32"/>
          <w:szCs w:val="32"/>
        </w:rPr>
      </w:pPr>
      <w:bookmarkStart w:id="49" w:name="tiao_53_kuan_1_xiang_3"/>
      <w:bookmarkEnd w:id="49"/>
      <w:r>
        <w:rPr>
          <w:rFonts w:ascii="仿宋_GB2312;仿宋" w:hAnsi="仿宋_GB2312;仿宋" w:cs="方正仿宋_GBK;微软雅黑" w:hint="eastAsia" w:eastAsia="仿宋_GB2312;仿宋"/>
          <w:kern w:val="2"/>
          <w:sz w:val="32"/>
          <w:szCs w:val="32"/>
        </w:rPr>
        <w:t>（三）本条例所称信用记录，是指能够客观反映信用主体信用状况的行为信息；</w:t>
      </w:r>
      <w:bookmarkStart w:id="50" w:name="tiao53_kuan1_xiang3"/>
      <w:bookmarkEnd w:id="50"/>
    </w:p>
    <w:p>
      <w:pPr>
        <w:pStyle w:val="Normal"/>
        <w:snapToGrid w:val="false"/>
        <w:spacing w:lineRule="exact" w:line="580"/>
        <w:ind w:firstLineChars="200" w:startChars="0" w:start="0" w:endChars="0" w:end="0"/>
        <w:rPr>
          <w:rFonts w:ascii="仿宋_GB2312;仿宋" w:hAnsi="仿宋_GB2312;仿宋" w:eastAsia="仿宋_GB2312;仿宋" w:cs="方正仿宋_GBK;微软雅黑" w:hint="eastAsia"/>
          <w:kern w:val="2"/>
          <w:sz w:val="32"/>
          <w:szCs w:val="32"/>
        </w:rPr>
      </w:pPr>
      <w:bookmarkStart w:id="51" w:name="tiao_53_kuan_1_xiang_4"/>
      <w:bookmarkEnd w:id="51"/>
      <w:r>
        <w:rPr>
          <w:rFonts w:ascii="仿宋_GB2312;仿宋" w:hAnsi="仿宋_GB2312;仿宋" w:cs="方正仿宋_GBK;微软雅黑" w:hint="eastAsia" w:eastAsia="仿宋_GB2312;仿宋"/>
          <w:kern w:val="2"/>
          <w:sz w:val="32"/>
          <w:szCs w:val="32"/>
        </w:rPr>
        <w:t>（四）本条例所称信用档案，是指信用记录和信用评价等信用信息的集合。</w:t>
      </w:r>
    </w:p>
    <w:p>
      <w:pPr>
        <w:pStyle w:val="Normal"/>
        <w:numPr>
          <w:ilvl w:val="0"/>
          <w:numId w:val="0"/>
        </w:numPr>
        <w:snapToGrid w:val="false"/>
        <w:spacing w:lineRule="exact" w:line="580"/>
        <w:ind w:firstLineChars="200" w:startChars="0" w:start="0" w:endChars="0" w:end="0"/>
        <w:outlineLvl w:val="2"/>
        <w:rPr>
          <w:rFonts w:ascii="仿宋_GB2312;仿宋" w:hAnsi="仿宋_GB2312;仿宋" w:eastAsia="仿宋_GB2312;仿宋" w:cs="方正仿宋_GBK;微软雅黑" w:hint="eastAsia"/>
          <w:kern w:val="2"/>
          <w:sz w:val="32"/>
          <w:szCs w:val="32"/>
        </w:rPr>
      </w:pPr>
      <w:r>
        <w:rPr>
          <w:rFonts w:ascii="黑体" w:hAnsi="黑体" w:cs="方正仿宋_GBK;微软雅黑" w:hint="eastAsia" w:eastAsia="黑体"/>
          <w:kern w:val="2"/>
          <w:sz w:val="32"/>
          <w:szCs w:val="32"/>
        </w:rPr>
        <w:t>第七十四条</w:t>
      </w:r>
      <w:r>
        <w:rPr>
          <w:rFonts w:ascii="仿宋_GB2312;仿宋" w:hAnsi="仿宋_GB2312;仿宋" w:cs="方正仿宋_GBK;微软雅黑" w:hint="eastAsia" w:eastAsia="仿宋_GB2312;仿宋"/>
          <w:kern w:val="2"/>
          <w:sz w:val="32"/>
          <w:szCs w:val="32"/>
        </w:rPr>
        <w:t xml:space="preserve">  本条例自</w:t>
      </w:r>
      <w:r>
        <w:rPr>
          <w:rFonts w:eastAsia="仿宋_GB2312;仿宋" w:cs="方正仿宋_GBK;微软雅黑" w:hint="eastAsia" w:ascii="仿宋_GB2312;仿宋" w:hAnsi="仿宋_GB2312;仿宋"/>
          <w:kern w:val="2"/>
          <w:sz w:val="32"/>
          <w:szCs w:val="32"/>
        </w:rPr>
        <w:t>2023</w:t>
      </w:r>
      <w:r>
        <w:rPr>
          <w:rFonts w:ascii="仿宋_GB2312;仿宋" w:hAnsi="仿宋_GB2312;仿宋" w:cs="方正仿宋_GBK;微软雅黑" w:hint="eastAsia" w:eastAsia="仿宋_GB2312;仿宋"/>
          <w:kern w:val="2"/>
          <w:sz w:val="32"/>
          <w:szCs w:val="32"/>
        </w:rPr>
        <w:t>年</w:t>
      </w:r>
      <w:r>
        <w:rPr>
          <w:rFonts w:eastAsia="仿宋_GB2312;仿宋" w:cs="方正仿宋_GBK;微软雅黑" w:hint="eastAsia" w:ascii="仿宋_GB2312;仿宋" w:hAnsi="仿宋_GB2312;仿宋"/>
          <w:kern w:val="2"/>
          <w:sz w:val="32"/>
          <w:szCs w:val="32"/>
        </w:rPr>
        <w:t>5</w:t>
      </w:r>
      <w:r>
        <w:rPr>
          <w:rFonts w:ascii="仿宋_GB2312;仿宋" w:hAnsi="仿宋_GB2312;仿宋" w:cs="方正仿宋_GBK;微软雅黑" w:hint="eastAsia" w:eastAsia="仿宋_GB2312;仿宋"/>
          <w:kern w:val="2"/>
          <w:sz w:val="32"/>
          <w:szCs w:val="32"/>
        </w:rPr>
        <w:t>月</w:t>
      </w:r>
      <w:r>
        <w:rPr>
          <w:rFonts w:eastAsia="仿宋_GB2312;仿宋" w:cs="方正仿宋_GBK;微软雅黑" w:hint="eastAsia" w:ascii="仿宋_GB2312;仿宋" w:hAnsi="仿宋_GB2312;仿宋"/>
          <w:kern w:val="2"/>
          <w:sz w:val="32"/>
          <w:szCs w:val="32"/>
        </w:rPr>
        <w:t>1</w:t>
      </w:r>
      <w:r>
        <w:rPr>
          <w:rFonts w:ascii="仿宋_GB2312;仿宋" w:hAnsi="仿宋_GB2312;仿宋" w:cs="方正仿宋_GBK;微软雅黑" w:hint="eastAsia" w:eastAsia="仿宋_GB2312;仿宋"/>
          <w:kern w:val="2"/>
          <w:sz w:val="32"/>
          <w:szCs w:val="32"/>
        </w:rPr>
        <w:t>日起施行。</w:t>
      </w:r>
    </w:p>
    <w:p>
      <w:pPr>
        <w:pStyle w:val="Normal"/>
        <w:snapToGrid w:val="false"/>
        <w:spacing w:lineRule="exact" w:line="580"/>
        <w:ind w:firstLineChars="200" w:startChars="0" w:start="0" w:endChars="0" w:end="0"/>
        <w:rPr>
          <w:rFonts w:ascii="仿宋_GB2312;仿宋" w:hAnsi="仿宋_GB2312;仿宋" w:eastAsia="仿宋_GB2312;仿宋" w:cs="方正仿宋_GBK;微软雅黑" w:hint="eastAsia"/>
          <w:kern w:val="2"/>
          <w:sz w:val="32"/>
          <w:szCs w:val="32"/>
        </w:rPr>
      </w:pPr>
      <w:r>
        <w:rPr>
          <w:rFonts w:eastAsia="仿宋_GB2312;仿宋" w:cs="方正仿宋_GBK;微软雅黑" w:hint="eastAsia" w:ascii="仿宋_GB2312;仿宋" w:hAnsi="仿宋_GB2312;仿宋"/>
          <w:kern w:val="2"/>
          <w:sz w:val="32"/>
          <w:szCs w:val="32"/>
        </w:rPr>
      </w:r>
    </w:p>
    <w:p>
      <w:pPr>
        <w:pStyle w:val="Normal"/>
        <w:snapToGrid w:val="false"/>
        <w:spacing w:lineRule="exact" w:line="580"/>
        <w:ind w:firstLineChars="200" w:startChars="0" w:start="0" w:endChars="0" w:end="0"/>
        <w:rPr>
          <w:rFonts w:ascii="仿宋_GB2312;仿宋" w:hAnsi="仿宋_GB2312;仿宋" w:eastAsia="仿宋_GB2312;仿宋" w:cs="方正仿宋_GBK;微软雅黑" w:hint="eastAsia"/>
          <w:kern w:val="2"/>
          <w:sz w:val="32"/>
          <w:szCs w:val="32"/>
        </w:rPr>
      </w:pPr>
      <w:r>
        <w:rPr>
          <w:rFonts w:eastAsia="仿宋_GB2312;仿宋" w:cs="方正仿宋_GBK;微软雅黑" w:hint="eastAsia" w:ascii="仿宋_GB2312;仿宋" w:hAnsi="仿宋_GB2312;仿宋"/>
          <w:kern w:val="2"/>
          <w:sz w:val="32"/>
          <w:szCs w:val="32"/>
        </w:rPr>
      </w:r>
    </w:p>
    <w:sectPr>
      <w:headerReference w:type="default" r:id="rId2"/>
      <w:headerReference w:type="first" r:id="rId3"/>
      <w:footerReference w:type="default" r:id="rId4"/>
      <w:footerReference w:type="first" r:id="rId5"/>
      <w:type w:val="nextPage"/>
      <w:pgSz w:w="11906" w:h="16838"/>
      <w:pgMar w:left="1418" w:right="1418" w:gutter="0" w:header="851" w:top="1928" w:footer="1531" w:bottom="1814"/>
      <w:pgNumType w:fmt="decimal"/>
      <w:formProt w:val="false"/>
      <w:titlePg/>
      <w:textDirection w:val="lrTb"/>
      <w:docGrid w:type="linesAndChars" w:linePitch="408"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Arial">
    <w:charset w:val="00" w:characterSet="windows-1252"/>
    <w:family w:val="swiss"/>
    <w:pitch w:val="default"/>
  </w:font>
  <w:font w:name="宋体">
    <w:charset w:val="86"/>
    <w:family w:val="auto"/>
    <w:pitch w:val="default"/>
  </w:font>
  <w:font w:name="Cambria">
    <w:charset w:val="00" w:characterSet="windows-1252"/>
    <w:family w:val="roman"/>
    <w:pitch w:val="default"/>
  </w:font>
  <w:font w:name="仿宋_GB2312">
    <w:altName w:val="仿宋"/>
    <w:charset w:val="86"/>
    <w:family w:val="modern"/>
    <w:pitch w:val="default"/>
  </w:font>
  <w:font w:name="楷体_GB2312">
    <w:altName w:val="楷体"/>
    <w:charset w:val="86"/>
    <w:family w:val="modern"/>
    <w:pitch w:val="default"/>
  </w:font>
  <w:font w:name="方正仿宋_GBK">
    <w:altName w:val="微软雅黑"/>
    <w:charset w:val="86"/>
    <w:family w:val="script"/>
    <w:pitch w:val="default"/>
  </w:font>
  <w:font w:name="华文细黑">
    <w:charset w:val="86"/>
    <w:family w:val="auto"/>
    <w:pitch w:val="default"/>
  </w:font>
  <w:font w:name="MingLiU">
    <w:altName w:val="PMingLiU-ExtB"/>
    <w:charset w:val="88"/>
    <w:family w:val="modern"/>
    <w:pitch w:val="default"/>
  </w:font>
  <w:font w:name="等线">
    <w:charset w:val="86"/>
    <w:family w:val="auto"/>
    <w:pitch w:val="default"/>
  </w:font>
  <w:font w:name="Tahoma">
    <w:charset w:val="00" w:characterSet="windows-1252"/>
    <w:family w:val="swiss"/>
    <w:pitch w:val="default"/>
  </w:font>
  <w:font w:name="Calibri Light">
    <w:charset w:val="00" w:characterSet="windows-1252"/>
    <w:family w:val="swiss"/>
    <w:pitch w:val="default"/>
  </w:font>
  <w:font w:name="Verdana">
    <w:charset w:val="00" w:characterSet="windows-1252"/>
    <w:family w:val="swiss"/>
    <w:pitch w:val="default"/>
  </w:font>
  <w:font w:name="Calibri">
    <w:charset w:val="00" w:characterSet="windows-1252"/>
    <w:family w:val="swiss"/>
    <w:pitch w:val="default"/>
  </w:font>
  <w:font w:name="宋体.....">
    <w:altName w:val="宋体"/>
    <w:charset w:val="86"/>
    <w:family w:val="auto"/>
    <w:pitch w:val="default"/>
  </w:font>
  <w:font w:name="方正小标宋_GBK">
    <w:altName w:val="微软雅黑"/>
    <w:charset w:val="86"/>
    <w:family w:val="script"/>
    <w:pitch w:val="default"/>
  </w:font>
  <w:font w:name="等线 Light">
    <w:charset w:val="86"/>
    <w:family w:val="auto"/>
    <w:pitch w:val="default"/>
  </w:font>
  <w:font w:name="黑体">
    <w:charset w:val="86"/>
    <w:family w:val="auto"/>
    <w:pitch w:val="default"/>
  </w:font>
  <w:font w:name="楷体">
    <w:charset w:val="86"/>
    <w:family w:val="modern"/>
    <w:pitch w:val="default"/>
  </w:font>
  <w:font w:name="华文楷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0" simplePos="0" relativeHeight="26" behindDoc="1" locked="0" layoutInCell="0" allowOverlap="1">
              <wp:simplePos x="0" y="0"/>
              <wp:positionH relativeFrom="margin">
                <wp:align>outside</wp:align>
              </wp:positionH>
              <wp:positionV relativeFrom="paragraph">
                <wp:posOffset>635</wp:posOffset>
              </wp:positionV>
              <wp:extent cx="633095" cy="810260"/>
              <wp:effectExtent l="0" t="0" r="0" b="0"/>
              <wp:wrapNone/>
              <wp:docPr id="1" name="Frame1"/>
              <a:graphic xmlns:a="http://schemas.openxmlformats.org/drawingml/2006/main">
                <a:graphicData uri="http://schemas.microsoft.com/office/word/2010/wordprocessingShape">
                  <wps:wsp>
                    <wps:cNvSpPr txBox="1"/>
                    <wps:spPr>
                      <a:xfrm>
                        <a:off x="0" y="0"/>
                        <a:ext cx="633095" cy="810260"/>
                      </a:xfrm>
                      <a:prstGeom prst="rect"/>
                      <a:solidFill>
                        <a:srgbClr val="FFFFFF">
                          <a:alpha val="0"/>
                        </a:srgbClr>
                      </a:solidFill>
                    </wps:spPr>
                    <wps:txbx>
                      <w:txbxContent>
                        <w:p>
                          <w:pPr>
                            <w:pStyle w:val="Footer"/>
                            <w:ind w:firstLineChars="0" w:firstLine="0" w:startChars="100" w:endChars="100"/>
                            <w:rPr/>
                          </w:pPr>
                          <w:r>
                            <w:rPr>
                              <w:rFonts w:hint="eastAsia"/>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26</w:t>
                          </w:r>
                          <w:r>
                            <w:rPr>
                              <w:sz w:val="28"/>
                              <w:szCs w:val="28"/>
                            </w:rPr>
                            <w:fldChar w:fldCharType="end"/>
                          </w:r>
                          <w:r>
                            <w:rPr>
                              <w:rFonts w:hint="eastAsia"/>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49.85pt;height:63.8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ind w:firstLineChars="0" w:firstLine="0" w:startChars="100" w:endChars="100"/>
                      <w:rPr/>
                    </w:pPr>
                    <w:r>
                      <w:rPr>
                        <w:rFonts w:hint="eastAsia"/>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26</w:t>
                    </w:r>
                    <w:r>
                      <w:rPr>
                        <w:sz w:val="28"/>
                        <w:szCs w:val="28"/>
                      </w:rPr>
                      <w:fldChar w:fldCharType="end"/>
                    </w:r>
                    <w:r>
                      <w:rPr>
                        <w:rFonts w:hint="eastAsia"/>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2"/>
      <w:numFmt w:val="chineseCountingThousand"/>
      <w:suff w:val="space"/>
      <w:lvlText w:val="第%1章"/>
      <w:lvlJc w:val="start"/>
      <w:pPr>
        <w:tabs>
          <w:tab w:val="num" w:pos="0"/>
        </w:tabs>
        <w:ind w:start="0" w:hanging="0"/>
      </w:pPr>
      <w:rPr>
        <w:rFonts w:hint="eastAsia"/>
      </w:rPr>
    </w:lvl>
  </w:abstractNum>
  <w:num w:numId="1">
    <w:abstractNumId w:val="1"/>
  </w:num>
  <w:num w:numId="2">
    <w:abstractNumId w:val="2"/>
  </w:num>
</w:numbering>
</file>

<file path=word/settings.xml><?xml version="1.0" encoding="utf-8"?>
<w:settings xmlns:w="http://schemas.openxmlformats.org/wordprocessingml/2006/main">
  <w:zoom w:percent="100"/>
  <w:displayBackgroundShape/>
  <w:defaultTabStop w:val="709"/>
  <w:autoHyphenation w:val="true"/>
  <w:hyphenationZone w:val="0"/>
  <w:compat>
    <w:doNotExpandShiftReturn/>
    <w:adjustLineHeightInTable/>
    <w:compatSetting w:name="compatibilityMode" w:uri="http://schemas.microsoft.com/office/word" w:val="11"/>
  </w:compat>
  <w:docVars>
    <w:docVar w:name="commondata" w:val="eyJoZGlkIjoiMjBmZDBjMzNlN2QwN2YzMTIyZmU3YjE0YTUyZjg2OGY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1"/>
    <w:qFormat/>
    <w:pPr>
      <w:widowControl w:val="false"/>
      <w:bidi w:val="0"/>
      <w:jc w:val="both"/>
    </w:pPr>
    <w:rPr>
      <w:rFonts w:ascii="Times New Roman" w:hAnsi="Times New Roman" w:eastAsia="宋体" w:cs="Times New Roman"/>
      <w:color w:val="auto"/>
      <w:kern w:val="2"/>
      <w:sz w:val="30"/>
      <w:szCs w:val="30"/>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uto" w:line="413" w:before="260" w:after="260"/>
      <w:outlineLvl w:val="1"/>
    </w:pPr>
    <w:rPr>
      <w:rFonts w:ascii="Arial" w:hAnsi="Arial" w:eastAsia="黑体" w:cs="Arial"/>
      <w:b/>
      <w:bCs/>
      <w:sz w:val="32"/>
      <w:szCs w:val="32"/>
    </w:rPr>
  </w:style>
  <w:style w:type="paragraph" w:styleId="Heading3">
    <w:name w:val="heading 3"/>
    <w:basedOn w:val="Normal"/>
    <w:next w:val="Normal"/>
    <w:qFormat/>
    <w:pPr>
      <w:numPr>
        <w:ilvl w:val="2"/>
        <w:numId w:val="1"/>
      </w:numPr>
      <w:spacing w:before="100" w:after="100"/>
      <w:jc w:val="start"/>
      <w:outlineLvl w:val="2"/>
    </w:pPr>
    <w:rPr>
      <w:rFonts w:ascii="宋体" w:hAnsi="宋体" w:eastAsia="宋体" w:cs="宋体" w:hint="eastAsia"/>
      <w:b/>
      <w:bCs/>
      <w:kern w:val="0"/>
      <w:sz w:val="27"/>
      <w:szCs w:val="27"/>
      <w:lang w:bidi="ar"/>
    </w:rPr>
  </w:style>
  <w:style w:type="paragraph" w:styleId="Heading4">
    <w:name w:val="heading 4"/>
    <w:basedOn w:val="Normal"/>
    <w:next w:val="Normal"/>
    <w:qFormat/>
    <w:pPr>
      <w:keepNext w:val="true"/>
      <w:keepLines/>
      <w:numPr>
        <w:ilvl w:val="3"/>
        <w:numId w:val="1"/>
      </w:numPr>
      <w:spacing w:lineRule="auto" w:line="374" w:before="280" w:after="290"/>
      <w:outlineLvl w:val="3"/>
    </w:pPr>
    <w:rPr>
      <w:rFonts w:ascii="Cambria" w:hAnsi="Cambria" w:cs="Cambria"/>
      <w:b/>
      <w:bCs/>
      <w:sz w:val="28"/>
      <w:szCs w:val="28"/>
    </w:rPr>
  </w:style>
  <w:style w:type="paragraph" w:styleId="Heading6">
    <w:name w:val="heading 6"/>
    <w:basedOn w:val="Normal"/>
    <w:next w:val="Normal"/>
    <w:qFormat/>
    <w:pPr>
      <w:keepNext w:val="true"/>
      <w:keepLines/>
      <w:numPr>
        <w:ilvl w:val="5"/>
        <w:numId w:val="1"/>
      </w:numPr>
      <w:spacing w:lineRule="auto" w:line="319" w:before="240" w:after="64"/>
      <w:outlineLvl w:val="5"/>
    </w:pPr>
    <w:rPr>
      <w:rFonts w:ascii="Arial" w:hAnsi="Arial" w:eastAsia="黑体" w:cs="Arial"/>
      <w:b/>
      <w:bCs/>
      <w:sz w:val="24"/>
      <w:szCs w:val="24"/>
    </w:rPr>
  </w:style>
  <w:style w:type="character" w:styleId="WW8Num1z0">
    <w:name w:val="WW8Num1z0"/>
    <w:qFormat/>
    <w:rPr>
      <w:rFonts w:hint="eastAsia"/>
    </w:rPr>
  </w:style>
  <w:style w:type="character" w:styleId="Style9">
    <w:name w:val="默认段落字体"/>
    <w:qFormat/>
    <w:rPr/>
  </w:style>
  <w:style w:type="character" w:styleId="1Char">
    <w:name w:val="标题 1 Char"/>
    <w:qFormat/>
    <w:rPr>
      <w:rFonts w:eastAsia="宋体"/>
      <w:b/>
      <w:bCs/>
      <w:kern w:val="2"/>
      <w:sz w:val="44"/>
      <w:szCs w:val="44"/>
      <w:lang w:bidi="ar-SA"/>
    </w:rPr>
  </w:style>
  <w:style w:type="character" w:styleId="2Char">
    <w:name w:val="标题 2 Char"/>
    <w:qFormat/>
    <w:rPr>
      <w:rFonts w:ascii="Arial" w:hAnsi="Arial" w:eastAsia="黑体" w:cs="Arial"/>
      <w:b/>
      <w:bCs/>
      <w:kern w:val="2"/>
      <w:sz w:val="32"/>
      <w:szCs w:val="32"/>
      <w:lang w:bidi="ar-SA"/>
    </w:rPr>
  </w:style>
  <w:style w:type="character" w:styleId="4Char">
    <w:name w:val="标题 4 Char"/>
    <w:qFormat/>
    <w:rPr>
      <w:rFonts w:ascii="Cambria" w:hAnsi="Cambria" w:eastAsia="宋体" w:cs="Cambria"/>
      <w:b/>
      <w:bCs/>
      <w:kern w:val="2"/>
      <w:sz w:val="28"/>
      <w:szCs w:val="28"/>
      <w:lang w:bidi="ar-SA"/>
    </w:rPr>
  </w:style>
  <w:style w:type="character" w:styleId="Char">
    <w:name w:val="正文缩进 Char"/>
    <w:qFormat/>
    <w:rPr>
      <w:rFonts w:eastAsia="仿宋_GB2312;仿宋"/>
      <w:kern w:val="2"/>
      <w:sz w:val="32"/>
      <w:szCs w:val="24"/>
      <w:lang w:bidi="ar-SA"/>
    </w:rPr>
  </w:style>
  <w:style w:type="character" w:styleId="Char1">
    <w:name w:val="批注文字 Char"/>
    <w:qFormat/>
    <w:rPr>
      <w:rFonts w:ascii="仿宋_GB2312;仿宋" w:hAnsi="仿宋_GB2312;仿宋" w:eastAsia="仿宋_GB2312;仿宋" w:cs="宋体"/>
      <w:kern w:val="2"/>
      <w:sz w:val="32"/>
      <w:szCs w:val="32"/>
      <w:lang w:bidi="ar-SA"/>
    </w:rPr>
  </w:style>
  <w:style w:type="character" w:styleId="Char2">
    <w:name w:val="正文文本 Char"/>
    <w:qFormat/>
    <w:rPr>
      <w:rFonts w:ascii="仿宋_GB2312;仿宋" w:hAnsi="仿宋_GB2312;仿宋" w:eastAsia="仿宋_GB2312;仿宋" w:cs="宋体"/>
      <w:kern w:val="2"/>
      <w:sz w:val="21"/>
      <w:szCs w:val="21"/>
      <w:lang w:bidi="ar-SA"/>
    </w:rPr>
  </w:style>
  <w:style w:type="character" w:styleId="Char3">
    <w:name w:val="正文文本缩进 Char"/>
    <w:qFormat/>
    <w:rPr>
      <w:rFonts w:ascii="楷体_GB2312;楷体" w:hAnsi="楷体_GB2312;楷体" w:eastAsia="楷体_GB2312;楷体"/>
      <w:kern w:val="2"/>
      <w:sz w:val="32"/>
      <w:szCs w:val="32"/>
      <w:lang w:bidi="ar-SA"/>
    </w:rPr>
  </w:style>
  <w:style w:type="character" w:styleId="Char4">
    <w:name w:val="纯文本 Char"/>
    <w:qFormat/>
    <w:rPr>
      <w:rFonts w:ascii="宋体" w:hAnsi="宋体" w:eastAsia="宋体" w:cs="Courier New"/>
      <w:kern w:val="2"/>
      <w:sz w:val="21"/>
      <w:szCs w:val="21"/>
      <w:lang w:bidi="ar-SA"/>
    </w:rPr>
  </w:style>
  <w:style w:type="character" w:styleId="Char5">
    <w:name w:val="批注框文本 Char"/>
    <w:qFormat/>
    <w:rPr>
      <w:rFonts w:eastAsia="仿宋_GB2312;仿宋"/>
      <w:kern w:val="2"/>
      <w:sz w:val="18"/>
      <w:szCs w:val="18"/>
      <w:lang w:bidi="ar-SA"/>
    </w:rPr>
  </w:style>
  <w:style w:type="character" w:styleId="Char6">
    <w:name w:val="页脚 Char"/>
    <w:qFormat/>
    <w:rPr>
      <w:rFonts w:eastAsia="宋体"/>
      <w:kern w:val="2"/>
      <w:sz w:val="18"/>
      <w:szCs w:val="18"/>
      <w:lang w:bidi="ar-SA"/>
    </w:rPr>
  </w:style>
  <w:style w:type="character" w:styleId="Char7">
    <w:name w:val="页眉 Char"/>
    <w:qFormat/>
    <w:rPr>
      <w:rFonts w:eastAsia="宋体"/>
      <w:kern w:val="2"/>
      <w:sz w:val="18"/>
      <w:szCs w:val="18"/>
      <w:lang w:bidi="ar-SA"/>
    </w:rPr>
  </w:style>
  <w:style w:type="character" w:styleId="Char8">
    <w:name w:val="脚注文本 Char"/>
    <w:qFormat/>
    <w:rPr>
      <w:rFonts w:ascii="Times New Roman" w:hAnsi="Times New Roman" w:eastAsia="宋体" w:cs="Times New Roman"/>
      <w:sz w:val="18"/>
      <w:szCs w:val="18"/>
    </w:rPr>
  </w:style>
  <w:style w:type="character" w:styleId="3Char">
    <w:name w:val="正文文本缩进 3 Char"/>
    <w:qFormat/>
    <w:rPr>
      <w:rFonts w:ascii="方正仿宋_GBK;微软雅黑" w:hAnsi="方正仿宋_GBK;微软雅黑" w:eastAsia="方正仿宋_GBK;微软雅黑"/>
      <w:color w:val="000000"/>
      <w:kern w:val="2"/>
      <w:sz w:val="28"/>
      <w:szCs w:val="28"/>
      <w:lang w:bidi="ar-SA"/>
    </w:rPr>
  </w:style>
  <w:style w:type="character" w:styleId="Char11">
    <w:name w:val="普通(网站) Char1"/>
    <w:qFormat/>
    <w:rPr>
      <w:rFonts w:ascii="宋体" w:hAnsi="宋体" w:eastAsia="宋体" w:cs="宋体"/>
      <w:sz w:val="24"/>
      <w:szCs w:val="24"/>
      <w:lang w:bidi="ar-SA"/>
    </w:rPr>
  </w:style>
  <w:style w:type="character" w:styleId="Char9">
    <w:name w:val="标题 Char"/>
    <w:qFormat/>
    <w:rPr>
      <w:rFonts w:ascii="Cambria" w:hAnsi="Cambria" w:eastAsia="宋体" w:cs="Cambria"/>
      <w:b/>
      <w:bCs/>
      <w:kern w:val="2"/>
      <w:sz w:val="32"/>
      <w:szCs w:val="32"/>
      <w:lang w:bidi="ar-SA"/>
    </w:rPr>
  </w:style>
  <w:style w:type="character" w:styleId="Strong">
    <w:name w:val="Strong"/>
    <w:qFormat/>
    <w:rPr>
      <w:b/>
      <w:bCs/>
    </w:rPr>
  </w:style>
  <w:style w:type="character" w:styleId="PageNumber">
    <w:name w:val="page number"/>
    <w:rPr/>
  </w:style>
  <w:style w:type="character" w:styleId="FollowedHyperlink">
    <w:name w:val="FollowedHyperlink"/>
    <w:rPr>
      <w:color w:val="800080"/>
      <w:u w:val="single"/>
    </w:rPr>
  </w:style>
  <w:style w:type="character" w:styleId="Emphasis">
    <w:name w:val="Emphasis"/>
    <w:qFormat/>
    <w:rPr>
      <w:i w:val="false"/>
      <w:iCs w:val="false"/>
    </w:rPr>
  </w:style>
  <w:style w:type="character" w:styleId="Hyperlink">
    <w:name w:val="Hyperlink"/>
    <w:rPr>
      <w:color w:val="0000FF"/>
      <w:u w:val="single"/>
    </w:rPr>
  </w:style>
  <w:style w:type="character" w:styleId="Style10">
    <w:name w:val="批注引用"/>
    <w:qFormat/>
    <w:rPr>
      <w:sz w:val="21"/>
      <w:szCs w:val="21"/>
    </w:rPr>
  </w:style>
  <w:style w:type="character" w:styleId="A21">
    <w:name w:val="A2+1"/>
    <w:qFormat/>
    <w:rPr>
      <w:rFonts w:ascii="华文细黑" w:hAnsi="华文细黑" w:eastAsia="华文细黑" w:cs="华文细黑" w:hint="eastAsia"/>
      <w:color w:val="000000"/>
      <w:sz w:val="20"/>
      <w:szCs w:val="20"/>
    </w:rPr>
  </w:style>
  <w:style w:type="character" w:styleId="Style11">
    <w:name w:val="正文文本_"/>
    <w:qFormat/>
    <w:rPr>
      <w:rFonts w:ascii="MingLiU;PMingLiU-ExtB" w:hAnsi="MingLiU;PMingLiU-ExtB" w:eastAsia="MingLiU;PMingLiU-ExtB" w:cs="MingLiU;PMingLiU-ExtB"/>
      <w:spacing w:val="30"/>
      <w:shd w:fill="FFFFFF" w:val="clear"/>
      <w:lang w:bidi="ar-SA"/>
    </w:rPr>
  </w:style>
  <w:style w:type="character" w:styleId="CharChar6">
    <w:name w:val=" Char Char6"/>
    <w:qFormat/>
    <w:rPr>
      <w:rFonts w:ascii="Times New Roman" w:hAnsi="Times New Roman" w:eastAsia="宋体" w:cs="Times New Roman"/>
      <w:sz w:val="18"/>
      <w:szCs w:val="18"/>
    </w:rPr>
  </w:style>
  <w:style w:type="character" w:styleId="KWBodytextChar">
    <w:name w:val="K&amp;W Body text Char"/>
    <w:qFormat/>
    <w:rPr>
      <w:lang w:eastAsia="en-US" w:bidi="ar-SA"/>
    </w:rPr>
  </w:style>
  <w:style w:type="character" w:styleId="22222Char">
    <w:name w:val="22222 Char"/>
    <w:qFormat/>
    <w:rPr>
      <w:color w:val="000000"/>
      <w:kern w:val="2"/>
      <w:sz w:val="28"/>
      <w:szCs w:val="28"/>
      <w:lang w:bidi="ar-SA"/>
    </w:rPr>
  </w:style>
  <w:style w:type="character" w:styleId="font71">
    <w:name w:val="font71"/>
    <w:qFormat/>
    <w:rPr>
      <w:rFonts w:ascii="宋体" w:hAnsi="宋体" w:eastAsia="宋体" w:cs="宋体" w:hint="eastAsia"/>
      <w:strike w:val="false"/>
      <w:dstrike w:val="false"/>
      <w:color w:val="000000"/>
      <w:sz w:val="24"/>
      <w:szCs w:val="24"/>
      <w:u w:val="none"/>
    </w:rPr>
  </w:style>
  <w:style w:type="character" w:styleId="apple-style-span">
    <w:name w:val="apple-style-span"/>
    <w:qFormat/>
    <w:rPr/>
  </w:style>
  <w:style w:type="character" w:styleId="CharChar11">
    <w:name w:val=" Char Char11"/>
    <w:qFormat/>
    <w:rPr>
      <w:rFonts w:ascii="Arial" w:hAnsi="Arial" w:eastAsia="楷体_GB2312;楷体" w:cs="Arial"/>
      <w:b/>
      <w:bCs/>
      <w:kern w:val="2"/>
      <w:sz w:val="44"/>
      <w:szCs w:val="44"/>
    </w:rPr>
  </w:style>
  <w:style w:type="character" w:styleId="15">
    <w:name w:val="15"/>
    <w:qFormat/>
    <w:rPr/>
  </w:style>
  <w:style w:type="character" w:styleId="Char10">
    <w:name w:val="普通(网站) Char"/>
    <w:qFormat/>
    <w:rPr>
      <w:rFonts w:ascii="宋体" w:hAnsi="宋体" w:eastAsia="宋体" w:cs="宋体"/>
      <w:sz w:val="24"/>
      <w:szCs w:val="24"/>
      <w:lang w:bidi="ar-SA"/>
    </w:rPr>
  </w:style>
  <w:style w:type="character" w:styleId="14a">
    <w:name w:val="14a"/>
    <w:qFormat/>
    <w:rPr/>
  </w:style>
  <w:style w:type="character" w:styleId="-Char">
    <w:name w:val="报告格式-正文 Char"/>
    <w:qFormat/>
    <w:rPr>
      <w:rFonts w:ascii="楷体_GB2312;楷体" w:hAnsi="楷体_GB2312;楷体" w:eastAsia="楷体_GB2312;楷体"/>
      <w:spacing w:val="6"/>
      <w:kern w:val="2"/>
      <w:sz w:val="28"/>
      <w:szCs w:val="36"/>
      <w:lang w:bidi="ar-SA"/>
    </w:rPr>
  </w:style>
  <w:style w:type="character" w:styleId="A31">
    <w:name w:val="A3+1"/>
    <w:qFormat/>
    <w:rPr>
      <w:rFonts w:ascii="华文细黑" w:hAnsi="华文细黑" w:eastAsia="华文细黑" w:cs="华文细黑" w:hint="eastAsia"/>
      <w:color w:val="000000"/>
      <w:sz w:val="20"/>
      <w:szCs w:val="20"/>
    </w:rPr>
  </w:style>
  <w:style w:type="character" w:styleId="font31">
    <w:name w:val="font31"/>
    <w:qFormat/>
    <w:rPr>
      <w:rFonts w:ascii="宋体" w:hAnsi="宋体" w:eastAsia="宋体" w:cs="宋体" w:hint="eastAsia"/>
      <w:b/>
      <w:bCs w:val="false"/>
      <w:strike w:val="false"/>
      <w:dstrike w:val="false"/>
      <w:color w:val="000000"/>
      <w:sz w:val="24"/>
      <w:szCs w:val="24"/>
      <w:u w:val="none"/>
    </w:rPr>
  </w:style>
  <w:style w:type="character" w:styleId="s8">
    <w:name w:val="s8"/>
    <w:qFormat/>
    <w:rPr/>
  </w:style>
  <w:style w:type="character" w:styleId="font21">
    <w:name w:val="font21"/>
    <w:qFormat/>
    <w:rPr>
      <w:rFonts w:ascii="Times New Roman" w:hAnsi="Times New Roman" w:eastAsia="宋体" w:cs="Times New Roman"/>
      <w:i w:val="false"/>
      <w:iCs w:val="false"/>
      <w:strike w:val="false"/>
      <w:dstrike w:val="false"/>
      <w:color w:val="000000"/>
      <w:sz w:val="20"/>
      <w:szCs w:val="20"/>
      <w:u w:val="none"/>
    </w:rPr>
  </w:style>
  <w:style w:type="character" w:styleId="CharChar8">
    <w:name w:val=" Char Char8"/>
    <w:qFormat/>
    <w:rPr>
      <w:rFonts w:ascii="Times New Roman" w:hAnsi="Times New Roman" w:eastAsia="方正仿宋_GBK;微软雅黑" w:cs="Times New Roman"/>
      <w:sz w:val="32"/>
      <w:szCs w:val="32"/>
    </w:rPr>
  </w:style>
  <w:style w:type="character" w:styleId="hitclass">
    <w:name w:val="hitclass"/>
    <w:qFormat/>
    <w:rPr/>
  </w:style>
  <w:style w:type="character" w:styleId="navtiao">
    <w:name w:val="navtiao"/>
    <w:qFormat/>
    <w:rPr/>
  </w:style>
  <w:style w:type="character" w:styleId="currenthit">
    <w:name w:val="currenthit"/>
    <w:qFormat/>
    <w:rPr/>
  </w:style>
  <w:style w:type="character" w:styleId="fbwindow-btn">
    <w:name w:val="fbwindow-btn"/>
    <w:qFormat/>
    <w:rPr/>
  </w:style>
  <w:style w:type="character" w:styleId="tyfblx">
    <w:name w:val="tyfblx"/>
    <w:qFormat/>
    <w:rPr/>
  </w:style>
  <w:style w:type="paragraph" w:styleId="Heading">
    <w:name w:val="Heading"/>
    <w:basedOn w:val="Normal"/>
    <w:next w:val="Normal"/>
    <w:qFormat/>
    <w:pPr>
      <w:spacing w:before="240" w:after="60"/>
      <w:jc w:val="center"/>
      <w:outlineLvl w:val="0"/>
    </w:pPr>
    <w:rPr>
      <w:rFonts w:ascii="Cambria" w:hAnsi="Cambria" w:cs="Cambria"/>
      <w:b/>
      <w:bCs/>
      <w:sz w:val="32"/>
      <w:szCs w:val="32"/>
    </w:rPr>
  </w:style>
  <w:style w:type="paragraph" w:styleId="BodyText">
    <w:name w:val="Body Text"/>
    <w:basedOn w:val="Normal"/>
    <w:next w:val="Normal"/>
    <w:pPr/>
    <w:rPr>
      <w:rFonts w:ascii="仿宋_GB2312;仿宋" w:hAnsi="仿宋_GB2312;仿宋" w:eastAsia="仿宋_GB2312;仿宋" w:cs="宋体"/>
      <w:sz w:val="21"/>
      <w:szCs w:val="21"/>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1">
    <w:name w:val="正文-公1"/>
    <w:basedOn w:val="Normal"/>
    <w:qFormat/>
    <w:pPr>
      <w:ind w:firstLineChars="200" w:startChars="0" w:start="0" w:endChars="0" w:end="0"/>
    </w:pPr>
    <w:rPr>
      <w:szCs w:val="21"/>
    </w:rPr>
  </w:style>
  <w:style w:type="paragraph" w:styleId="Style12">
    <w:name w:val="正文缩进"/>
    <w:basedOn w:val="Normal"/>
    <w:qFormat/>
    <w:pPr>
      <w:ind w:firstLineChars="200" w:startChars="0" w:start="0" w:endChars="0" w:end="0"/>
    </w:pPr>
    <w:rPr>
      <w:rFonts w:eastAsia="仿宋_GB2312;仿宋"/>
      <w:sz w:val="32"/>
      <w:szCs w:val="24"/>
    </w:rPr>
  </w:style>
  <w:style w:type="paragraph" w:styleId="Style13">
    <w:name w:val="文档结构图"/>
    <w:basedOn w:val="Normal"/>
    <w:qFormat/>
    <w:pPr>
      <w:shd w:fill="000080" w:val="clear"/>
    </w:pPr>
    <w:rPr/>
  </w:style>
  <w:style w:type="paragraph" w:styleId="Style14">
    <w:name w:val="批注文字"/>
    <w:basedOn w:val="Normal"/>
    <w:qFormat/>
    <w:pPr>
      <w:jc w:val="start"/>
    </w:pPr>
    <w:rPr>
      <w:rFonts w:ascii="仿宋_GB2312;仿宋" w:hAnsi="仿宋_GB2312;仿宋" w:eastAsia="仿宋_GB2312;仿宋" w:cs="宋体"/>
      <w:sz w:val="32"/>
      <w:szCs w:val="32"/>
    </w:rPr>
  </w:style>
  <w:style w:type="paragraph" w:styleId="3">
    <w:name w:val="正文文本 3"/>
    <w:basedOn w:val="Normal"/>
    <w:qFormat/>
    <w:pPr>
      <w:spacing w:lineRule="exact" w:line="360"/>
    </w:pPr>
    <w:rPr>
      <w:rFonts w:eastAsia="方正仿宋_GBK;微软雅黑"/>
      <w:sz w:val="24"/>
    </w:rPr>
  </w:style>
  <w:style w:type="paragraph" w:styleId="BodyTextIndent">
    <w:name w:val="Body Text Indent"/>
    <w:basedOn w:val="Normal"/>
    <w:pPr>
      <w:spacing w:lineRule="exact" w:line="600"/>
      <w:ind w:firstLineChars="200" w:startChars="0" w:start="0" w:endChars="0" w:end="0"/>
    </w:pPr>
    <w:rPr>
      <w:rFonts w:ascii="楷体_GB2312;楷体" w:hAnsi="楷体_GB2312;楷体" w:eastAsia="楷体_GB2312;楷体"/>
      <w:sz w:val="32"/>
      <w:szCs w:val="32"/>
    </w:rPr>
  </w:style>
  <w:style w:type="paragraph" w:styleId="Style15">
    <w:name w:val="文本块"/>
    <w:basedOn w:val="Normal"/>
    <w:qFormat/>
    <w:pPr>
      <w:spacing w:lineRule="exact" w:line="380"/>
      <w:ind w:hangingChars="10" w:startChars="380" w:endChars="100"/>
    </w:pPr>
    <w:rPr>
      <w:rFonts w:ascii="方正仿宋_GBK;微软雅黑" w:hAnsi="方正仿宋_GBK;微软雅黑" w:eastAsia="方正仿宋_GBK;微软雅黑"/>
      <w:sz w:val="28"/>
    </w:rPr>
  </w:style>
  <w:style w:type="paragraph" w:styleId="TOC3">
    <w:name w:val="toc 3"/>
    <w:basedOn w:val="Normal"/>
    <w:next w:val="Normal"/>
    <w:pPr>
      <w:widowControl/>
      <w:spacing w:lineRule="auto" w:line="257" w:before="0" w:after="100"/>
      <w:ind w:hanging="0" w:start="440" w:end="0"/>
      <w:jc w:val="start"/>
    </w:pPr>
    <w:rPr>
      <w:rFonts w:ascii="等线" w:hAnsi="等线" w:eastAsia="等线" w:cs="等线"/>
      <w:kern w:val="0"/>
      <w:sz w:val="22"/>
      <w:szCs w:val="22"/>
    </w:rPr>
  </w:style>
  <w:style w:type="paragraph" w:styleId="Style16">
    <w:name w:val="纯文本"/>
    <w:basedOn w:val="Normal"/>
    <w:qFormat/>
    <w:pPr/>
    <w:rPr>
      <w:rFonts w:ascii="宋体" w:hAnsi="宋体" w:cs="Courier New"/>
      <w:sz w:val="21"/>
      <w:szCs w:val="21"/>
    </w:rPr>
  </w:style>
  <w:style w:type="paragraph" w:styleId="Style17">
    <w:name w:val="日期"/>
    <w:basedOn w:val="Normal"/>
    <w:next w:val="Normal"/>
    <w:qFormat/>
    <w:pPr>
      <w:ind w:firstLineChars="0" w:firstLine="0" w:startChars="2500" w:endChars="0" w:end="0"/>
    </w:pPr>
    <w:rPr/>
  </w:style>
  <w:style w:type="paragraph" w:styleId="2">
    <w:name w:val="正文文本缩进 2"/>
    <w:basedOn w:val="Normal"/>
    <w:qFormat/>
    <w:pPr>
      <w:spacing w:lineRule="exact" w:line="560"/>
      <w:ind w:hangingChars="328" w:startChars="93" w:endChars="0" w:end="0"/>
    </w:pPr>
    <w:rPr>
      <w:rFonts w:ascii="方正仿宋_GBK;微软雅黑" w:hAnsi="方正仿宋_GBK;微软雅黑" w:eastAsia="方正仿宋_GBK;微软雅黑"/>
      <w:color w:val="000000"/>
      <w:sz w:val="28"/>
      <w:szCs w:val="28"/>
    </w:rPr>
  </w:style>
  <w:style w:type="paragraph" w:styleId="Style18">
    <w:name w:val="批注框文本"/>
    <w:basedOn w:val="Normal"/>
    <w:qFormat/>
    <w:pPr/>
    <w:rPr>
      <w:rFonts w:eastAsia="仿宋_GB2312;仿宋"/>
      <w:sz w:val="18"/>
      <w:szCs w:val="18"/>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Footer">
    <w:name w:val="footer"/>
    <w:basedOn w:val="Normal"/>
    <w:pPr>
      <w:tabs>
        <w:tab w:val="clear" w:pos="709"/>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709"/>
        <w:tab w:val="center" w:pos="4153" w:leader="none"/>
        <w:tab w:val="right" w:pos="8306" w:leader="none"/>
      </w:tabs>
      <w:snapToGrid w:val="false"/>
      <w:jc w:val="center"/>
    </w:pPr>
    <w:rPr>
      <w:sz w:val="18"/>
      <w:szCs w:val="18"/>
    </w:rPr>
  </w:style>
  <w:style w:type="paragraph" w:styleId="TOC1">
    <w:name w:val="toc 1"/>
    <w:basedOn w:val="Normal"/>
    <w:next w:val="Normal"/>
    <w:pPr>
      <w:tabs>
        <w:tab w:val="clear" w:pos="709"/>
        <w:tab w:val="left" w:pos="1020" w:leader="none"/>
        <w:tab w:val="right" w:pos="8296" w:leader="dot"/>
      </w:tabs>
    </w:pPr>
    <w:rPr>
      <w:rFonts w:ascii="Arial" w:hAnsi="Arial" w:eastAsia="楷体_GB2312;楷体" w:cs="Arial"/>
      <w:b/>
      <w:bCs/>
      <w:sz w:val="24"/>
      <w:szCs w:val="24"/>
      <w:lang w:val="en-US" w:eastAsia="en-US"/>
    </w:rPr>
  </w:style>
  <w:style w:type="paragraph" w:styleId="FootnoteText">
    <w:name w:val="footnote text"/>
    <w:basedOn w:val="Normal"/>
    <w:pPr>
      <w:snapToGrid w:val="false"/>
      <w:jc w:val="start"/>
    </w:pPr>
    <w:rPr>
      <w:kern w:val="0"/>
      <w:sz w:val="18"/>
      <w:szCs w:val="18"/>
      <w:lang w:val="en-US" w:eastAsia="en-US"/>
    </w:rPr>
  </w:style>
  <w:style w:type="paragraph" w:styleId="31">
    <w:name w:val="正文文本缩进 3"/>
    <w:basedOn w:val="Normal"/>
    <w:qFormat/>
    <w:pPr>
      <w:spacing w:lineRule="exact" w:line="560"/>
      <w:ind w:hangingChars="310" w:startChars="94" w:endChars="0" w:end="0"/>
    </w:pPr>
    <w:rPr>
      <w:rFonts w:ascii="方正仿宋_GBK;微软雅黑" w:hAnsi="方正仿宋_GBK;微软雅黑" w:eastAsia="方正仿宋_GBK;微软雅黑"/>
      <w:color w:val="000000"/>
      <w:sz w:val="28"/>
      <w:szCs w:val="28"/>
    </w:rPr>
  </w:style>
  <w:style w:type="paragraph" w:styleId="TOC2">
    <w:name w:val="toc 2"/>
    <w:basedOn w:val="Normal"/>
    <w:next w:val="Normal"/>
    <w:pPr>
      <w:ind w:firstLineChars="0" w:firstLine="0" w:startChars="200" w:endChars="0" w:end="0"/>
    </w:pPr>
    <w:rPr>
      <w:rFonts w:ascii="Arial" w:hAnsi="Arial" w:eastAsia="楷体_GB2312;楷体" w:cs="Arial"/>
      <w:sz w:val="24"/>
      <w:szCs w:val="24"/>
    </w:rPr>
  </w:style>
  <w:style w:type="paragraph" w:styleId="21">
    <w:name w:val="正文文本 2"/>
    <w:basedOn w:val="Normal"/>
    <w:qFormat/>
    <w:pPr>
      <w:autoSpaceDE w:val="false"/>
      <w:spacing w:lineRule="exact" w:line="576"/>
    </w:pPr>
    <w:rPr>
      <w:rFonts w:eastAsia="方正仿宋_GBK;微软雅黑"/>
      <w:sz w:val="31"/>
      <w:szCs w:val="32"/>
    </w:rPr>
  </w:style>
  <w:style w:type="paragraph" w:styleId="HTML">
    <w:name w:val="HTML 预设格式"/>
    <w:basedOn w:val="Normal"/>
    <w:qFormat/>
    <w:pPr>
      <w:widowControl/>
      <w:tabs>
        <w:tab w:val="clear" w:pos="709"/>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cs="宋体"/>
      <w:kern w:val="0"/>
      <w:sz w:val="24"/>
      <w:szCs w:val="24"/>
    </w:rPr>
  </w:style>
  <w:style w:type="paragraph" w:styleId="Style19">
    <w:name w:val="普通(网站)"/>
    <w:basedOn w:val="Normal"/>
    <w:qFormat/>
    <w:pPr>
      <w:widowControl/>
      <w:spacing w:before="100" w:after="100"/>
      <w:jc w:val="start"/>
    </w:pPr>
    <w:rPr>
      <w:rFonts w:ascii="宋体" w:hAnsi="宋体" w:cs="宋体"/>
      <w:kern w:val="0"/>
      <w:sz w:val="24"/>
      <w:szCs w:val="24"/>
    </w:rPr>
  </w:style>
  <w:style w:type="paragraph" w:styleId="1">
    <w:name w:val="正文文本1"/>
    <w:basedOn w:val="Normal"/>
    <w:qFormat/>
    <w:pPr>
      <w:shd w:fill="FFFFFF" w:val="clear"/>
      <w:spacing w:lineRule="atLeast" w:line="240" w:before="1140" w:after="1320"/>
      <w:ind w:hanging="860" w:start="0" w:end="0"/>
      <w:jc w:val="center"/>
    </w:pPr>
    <w:rPr>
      <w:rFonts w:ascii="MingLiU;PMingLiU-ExtB" w:hAnsi="MingLiU;PMingLiU-ExtB" w:eastAsia="MingLiU;PMingLiU-ExtB" w:cs="MingLiU;PMingLiU-ExtB"/>
      <w:spacing w:val="30"/>
      <w:kern w:val="0"/>
      <w:sz w:val="20"/>
      <w:szCs w:val="20"/>
      <w:shd w:fill="FFFFFF" w:val="clear"/>
      <w:lang w:val="en-US" w:eastAsia="en-US"/>
    </w:rPr>
  </w:style>
  <w:style w:type="paragraph" w:styleId="KWBodytext">
    <w:name w:val="K&amp;W Body text"/>
    <w:basedOn w:val="Normal"/>
    <w:qFormat/>
    <w:pPr>
      <w:widowControl/>
      <w:spacing w:lineRule="atLeast" w:line="320" w:before="0" w:after="360"/>
      <w:ind w:firstLineChars="200" w:startChars="0" w:start="0" w:endChars="0" w:end="0"/>
    </w:pPr>
    <w:rPr>
      <w:rFonts w:eastAsia="Times New Roman"/>
      <w:kern w:val="0"/>
      <w:sz w:val="20"/>
      <w:szCs w:val="20"/>
      <w:lang w:eastAsia="en-US"/>
    </w:rPr>
  </w:style>
  <w:style w:type="paragraph" w:styleId="22222">
    <w:name w:val="22222"/>
    <w:basedOn w:val="Normal"/>
    <w:qFormat/>
    <w:pPr>
      <w:spacing w:lineRule="auto" w:line="360"/>
      <w:ind w:firstLineChars="200" w:startChars="0" w:start="0" w:endChars="0" w:end="0"/>
    </w:pPr>
    <w:rPr>
      <w:rFonts w:eastAsia="Times New Roman"/>
      <w:color w:val="000000"/>
      <w:sz w:val="28"/>
      <w:szCs w:val="28"/>
      <w:lang w:val="en-US" w:eastAsia="en-US"/>
    </w:rPr>
  </w:style>
  <w:style w:type="paragraph" w:styleId="-">
    <w:name w:val="报告格式-正文"/>
    <w:basedOn w:val="Normal"/>
    <w:qFormat/>
    <w:pPr>
      <w:spacing w:lineRule="auto" w:line="360"/>
      <w:ind w:firstLineChars="200" w:startChars="0" w:start="0" w:endChars="0" w:end="0"/>
    </w:pPr>
    <w:rPr>
      <w:rFonts w:ascii="楷体_GB2312;楷体" w:hAnsi="楷体_GB2312;楷体" w:eastAsia="楷体_GB2312;楷体"/>
      <w:spacing w:val="6"/>
      <w:sz w:val="28"/>
      <w:szCs w:val="36"/>
    </w:rPr>
  </w:style>
  <w:style w:type="paragraph" w:styleId="1CharCharCharChar">
    <w:name w:val="1 Char Char Char Char"/>
    <w:basedOn w:val="Normal"/>
    <w:qFormat/>
    <w:pPr/>
    <w:rPr>
      <w:sz w:val="21"/>
      <w:szCs w:val="20"/>
    </w:rPr>
  </w:style>
  <w:style w:type="paragraph" w:styleId="CharCharCharCharCharCharCharCharCharCharCharChar">
    <w:name w:val="Char Char Char Char Char Char Char Char Char Char Char Char"/>
    <w:basedOn w:val="Normal"/>
    <w:qFormat/>
    <w:pPr/>
    <w:rPr>
      <w:sz w:val="24"/>
      <w:szCs w:val="24"/>
    </w:rPr>
  </w:style>
  <w:style w:type="paragraph" w:styleId="Style20">
    <w:name w:val="无间隔"/>
    <w:qFormat/>
    <w:pPr>
      <w:widowControl/>
      <w:bidi w:val="0"/>
      <w:jc w:val="both"/>
    </w:pPr>
    <w:rPr>
      <w:rFonts w:ascii="仿宋_GB2312;仿宋" w:hAnsi="仿宋_GB2312;仿宋" w:eastAsia="仿宋_GB2312;仿宋" w:cs="Times New Roman"/>
      <w:color w:val="auto"/>
      <w:kern w:val="2"/>
      <w:sz w:val="32"/>
      <w:szCs w:val="20"/>
      <w:lang w:bidi="ar-SA" w:val="en-US" w:eastAsia="zh-CN"/>
    </w:rPr>
  </w:style>
  <w:style w:type="paragraph" w:styleId="CharCharCharCharCharCharCharCharCharCharCharCharCharCharCharCharCharCharCharCharCharCharCharChar1CharCharCharCharCharCharCharCharCharCharCharChar">
    <w:name w:val="默认段落 Char Char Char Char Char Char Char Char Char Char Char Char Char Char Char Char Char Char Char Char Char Char Char Char1 Char Char Char Char Char Char Char Char Char Char Char Char"/>
    <w:basedOn w:val="Normal"/>
    <w:qFormat/>
    <w:pPr>
      <w:widowControl/>
      <w:spacing w:lineRule="exact" w:line="400"/>
      <w:jc w:val="center"/>
    </w:pPr>
    <w:rPr>
      <w:rFonts w:ascii="Arial" w:hAnsi="Arial" w:eastAsia="Times New Roman" w:cs="Arial"/>
      <w:sz w:val="21"/>
      <w:szCs w:val="32"/>
      <w:lang w:eastAsia="en-US"/>
    </w:rPr>
  </w:style>
  <w:style w:type="paragraph" w:styleId="ParaCharCharCharCharCharCharChar">
    <w:name w:val="默认段落字体 Para Char Char Char Char Char Char Char"/>
    <w:basedOn w:val="Normal"/>
    <w:qFormat/>
    <w:pPr/>
    <w:rPr>
      <w:rFonts w:ascii="Tahoma" w:hAnsi="Tahoma" w:eastAsia="仿宋_GB2312;仿宋" w:cs="Tahoma"/>
      <w:sz w:val="24"/>
      <w:szCs w:val="20"/>
    </w:rPr>
  </w:style>
  <w:style w:type="paragraph" w:styleId="Style21">
    <w:name w:val="正文一"/>
    <w:basedOn w:val="Normal"/>
    <w:qFormat/>
    <w:pPr>
      <w:ind w:firstLineChars="200" w:startChars="0" w:start="0" w:endChars="0" w:end="0"/>
    </w:pPr>
    <w:rPr>
      <w:rFonts w:ascii="仿宋_GB2312;仿宋" w:hAnsi="仿宋_GB2312;仿宋" w:eastAsia="仿宋_GB2312;仿宋" w:cs="仿宋_GB2312;仿宋"/>
      <w:sz w:val="28"/>
      <w:szCs w:val="28"/>
    </w:rPr>
  </w:style>
  <w:style w:type="paragraph" w:styleId="Char12">
    <w:name w:val="Char1"/>
    <w:basedOn w:val="Normal"/>
    <w:qFormat/>
    <w:pPr/>
    <w:rPr>
      <w:sz w:val="21"/>
      <w:szCs w:val="24"/>
    </w:rPr>
  </w:style>
  <w:style w:type="paragraph" w:styleId="CharChar1Char">
    <w:name w:val="Char Char1 Char"/>
    <w:basedOn w:val="Normal"/>
    <w:qFormat/>
    <w:pPr>
      <w:ind w:firstLineChars="200" w:startChars="0" w:start="0" w:endChars="0" w:end="0"/>
    </w:pPr>
    <w:rPr>
      <w:rFonts w:ascii="Tahoma" w:hAnsi="Tahoma" w:cs="Tahoma"/>
      <w:sz w:val="21"/>
      <w:szCs w:val="20"/>
    </w:rPr>
  </w:style>
  <w:style w:type="paragraph" w:styleId="NoSpacing">
    <w:name w:val="No Spacing"/>
    <w:qFormat/>
    <w:pPr>
      <w:widowControl w:val="false"/>
      <w:bidi w:val="0"/>
      <w:jc w:val="both"/>
    </w:pPr>
    <w:rPr>
      <w:rFonts w:ascii="Times New Roman" w:hAnsi="Times New Roman" w:eastAsia="宋体" w:cs="Times New Roman"/>
      <w:color w:val="auto"/>
      <w:kern w:val="2"/>
      <w:sz w:val="21"/>
      <w:szCs w:val="22"/>
      <w:lang w:bidi="ar-SA" w:val="en-US" w:eastAsia="zh-CN"/>
    </w:rPr>
  </w:style>
  <w:style w:type="paragraph" w:styleId="TOC11">
    <w:name w:val="TOC 标题1"/>
    <w:basedOn w:val="Heading1"/>
    <w:next w:val="Normal"/>
    <w:qFormat/>
    <w:pPr>
      <w:widowControl/>
      <w:numPr>
        <w:ilvl w:val="0"/>
        <w:numId w:val="0"/>
      </w:numPr>
      <w:spacing w:lineRule="auto" w:line="276" w:before="480" w:after="0"/>
      <w:ind w:hanging="420" w:start="562" w:end="0"/>
      <w:jc w:val="start"/>
      <w:outlineLvl w:val="9"/>
    </w:pPr>
    <w:rPr>
      <w:rFonts w:ascii="Calibri Light" w:hAnsi="Calibri Light" w:eastAsia="楷体_GB2312;楷体" w:cs="Calibri Light"/>
      <w:color w:val="2E74B5"/>
      <w:kern w:val="0"/>
      <w:sz w:val="28"/>
      <w:szCs w:val="28"/>
    </w:rPr>
  </w:style>
  <w:style w:type="paragraph" w:styleId="CharCharChar1">
    <w:name w:val="Char Char Char1"/>
    <w:basedOn w:val="Normal"/>
    <w:qFormat/>
    <w:pPr>
      <w:spacing w:lineRule="auto" w:line="360"/>
      <w:ind w:firstLineChars="200" w:startChars="0" w:start="0" w:endChars="0" w:end="0"/>
    </w:pPr>
    <w:rPr>
      <w:rFonts w:ascii="宋体" w:hAnsi="宋体" w:cs="宋体"/>
      <w:sz w:val="24"/>
      <w:szCs w:val="24"/>
    </w:rPr>
  </w:style>
  <w:style w:type="paragraph" w:styleId="Style22">
    <w:name w:val="公文"/>
    <w:basedOn w:val="Normal"/>
    <w:qFormat/>
    <w:pPr>
      <w:spacing w:lineRule="exact" w:line="600"/>
    </w:pPr>
    <w:rPr>
      <w:rFonts w:eastAsia="仿宋_GB2312;仿宋"/>
      <w:szCs w:val="20"/>
    </w:rPr>
  </w:style>
  <w:style w:type="paragraph" w:styleId="p">
    <w:name w:val="p"/>
    <w:basedOn w:val="Normal"/>
    <w:qFormat/>
    <w:pPr>
      <w:widowControl/>
      <w:spacing w:before="100" w:after="100"/>
      <w:jc w:val="start"/>
    </w:pPr>
    <w:rPr>
      <w:rFonts w:ascii="宋体" w:hAnsi="宋体" w:cs="宋体"/>
      <w:kern w:val="0"/>
      <w:sz w:val="24"/>
      <w:szCs w:val="24"/>
    </w:rPr>
  </w:style>
  <w:style w:type="paragraph" w:styleId="CharCharCharCharCharCharCharCharCharCharCharCharCharCharCharCharCharCharChar">
    <w:name w:val="Char Char Char Char Char Char Char Char Char Char Char Char Char Char Char Char Char Char Char"/>
    <w:basedOn w:val="Normal"/>
    <w:qFormat/>
    <w:pPr/>
    <w:rPr>
      <w:sz w:val="21"/>
      <w:szCs w:val="24"/>
    </w:rPr>
  </w:style>
  <w:style w:type="paragraph" w:styleId="Char13">
    <w:name w:val=" Char"/>
    <w:basedOn w:val="Normal"/>
    <w:qFormat/>
    <w:pPr>
      <w:spacing w:lineRule="auto" w:line="360"/>
    </w:pPr>
    <w:rPr>
      <w:kern w:val="0"/>
      <w:sz w:val="24"/>
      <w:szCs w:val="24"/>
    </w:rPr>
  </w:style>
  <w:style w:type="paragraph" w:styleId="CharCharChar1CharCharCharCharCharCharCharCharCharChar">
    <w:name w:val="Char Char Char1 Char Char Char Char Char Char Char Char Char Char"/>
    <w:basedOn w:val="Style13"/>
    <w:qFormat/>
    <w:pPr>
      <w:spacing w:lineRule="exact" w:line="436"/>
      <w:ind w:hanging="0" w:start="357" w:end="0"/>
      <w:jc w:val="start"/>
      <w:outlineLvl w:val="3"/>
    </w:pPr>
    <w:rPr>
      <w:rFonts w:ascii="Tahoma" w:hAnsi="Tahoma" w:cs="Tahoma"/>
      <w:b/>
      <w:sz w:val="24"/>
      <w:szCs w:val="24"/>
    </w:rPr>
  </w:style>
  <w:style w:type="paragraph" w:styleId="A">
    <w:name w:val="正文 A"/>
    <w:qFormat/>
    <w:pPr>
      <w:widowControl w:val="false"/>
      <w:bidi w:val="0"/>
      <w:jc w:val="both"/>
    </w:pPr>
    <w:rPr>
      <w:rFonts w:ascii="Times New Roman" w:hAnsi="Times New Roman" w:eastAsia="Calibri" w:cs="Calibri"/>
      <w:color w:val="000000"/>
      <w:kern w:val="2"/>
      <w:sz w:val="21"/>
      <w:szCs w:val="21"/>
      <w:lang w:bidi="ar-SA" w:val="en-US" w:eastAsia="zh-CN"/>
    </w:rPr>
  </w:style>
  <w:style w:type="paragraph" w:styleId="0">
    <w:name w:val="0"/>
    <w:basedOn w:val="Normal"/>
    <w:qFormat/>
    <w:pPr>
      <w:widowControl/>
      <w:spacing w:before="100" w:after="100"/>
      <w:jc w:val="start"/>
    </w:pPr>
    <w:rPr>
      <w:rFonts w:ascii="宋体" w:hAnsi="宋体" w:cs="宋体"/>
      <w:kern w:val="0"/>
      <w:sz w:val="24"/>
      <w:szCs w:val="24"/>
    </w:rPr>
  </w:style>
  <w:style w:type="paragraph" w:styleId="fstdiv4">
    <w:name w:val="fstdiv4"/>
    <w:basedOn w:val="Normal"/>
    <w:qFormat/>
    <w:pPr>
      <w:widowControl/>
      <w:spacing w:before="100" w:after="100"/>
      <w:jc w:val="start"/>
    </w:pPr>
    <w:rPr>
      <w:rFonts w:ascii="宋体" w:hAnsi="宋体" w:cs="宋体"/>
      <w:kern w:val="0"/>
      <w:sz w:val="24"/>
      <w:szCs w:val="24"/>
    </w:rPr>
  </w:style>
  <w:style w:type="paragraph" w:styleId="Char1CharCharChar">
    <w:name w:val="Char1 Char Char Char"/>
    <w:basedOn w:val="Normal"/>
    <w:qFormat/>
    <w:pPr>
      <w:widowControl/>
      <w:spacing w:lineRule="exact" w:line="240" w:before="0" w:after="160"/>
      <w:jc w:val="start"/>
    </w:pPr>
    <w:rPr>
      <w:sz w:val="21"/>
      <w:szCs w:val="24"/>
    </w:rPr>
  </w:style>
  <w:style w:type="paragraph" w:styleId="CharChar2">
    <w:name w:val="Char Char2"/>
    <w:basedOn w:val="Normal"/>
    <w:qFormat/>
    <w:pPr>
      <w:snapToGrid w:val="false"/>
    </w:pPr>
    <w:rPr>
      <w:rFonts w:ascii="Tahoma" w:hAnsi="Tahoma" w:cs="Tahoma"/>
      <w:sz w:val="24"/>
      <w:szCs w:val="20"/>
    </w:rPr>
  </w:style>
  <w:style w:type="paragraph" w:styleId="YHY">
    <w:name w:val="YHY"/>
    <w:basedOn w:val="Normal"/>
    <w:qFormat/>
    <w:pPr>
      <w:spacing w:lineRule="auto" w:line="360"/>
      <w:ind w:firstLineChars="200" w:startChars="0" w:start="0" w:endChars="0" w:end="0"/>
    </w:pPr>
    <w:rPr>
      <w:sz w:val="21"/>
      <w:szCs w:val="24"/>
    </w:rPr>
  </w:style>
  <w:style w:type="paragraph" w:styleId="acxsplast">
    <w:name w:val="acxsplast"/>
    <w:basedOn w:val="Normal"/>
    <w:qFormat/>
    <w:pPr>
      <w:widowControl/>
      <w:spacing w:before="100" w:after="100"/>
      <w:jc w:val="start"/>
    </w:pPr>
    <w:rPr>
      <w:rFonts w:ascii="宋体" w:hAnsi="宋体" w:cs="宋体"/>
      <w:kern w:val="0"/>
      <w:sz w:val="24"/>
      <w:szCs w:val="24"/>
    </w:rPr>
  </w:style>
  <w:style w:type="paragraph" w:styleId="CharCharChar">
    <w:name w:val=" Char Char Char"/>
    <w:basedOn w:val="Normal"/>
    <w:qFormat/>
    <w:pPr/>
    <w:rPr>
      <w:sz w:val="21"/>
      <w:szCs w:val="21"/>
    </w:rPr>
  </w:style>
  <w:style w:type="paragraph" w:styleId="p20">
    <w:name w:val="p20"/>
    <w:basedOn w:val="Normal"/>
    <w:qFormat/>
    <w:pPr>
      <w:widowControl/>
    </w:pPr>
    <w:rPr>
      <w:kern w:val="0"/>
      <w:sz w:val="21"/>
      <w:szCs w:val="21"/>
    </w:rPr>
  </w:style>
  <w:style w:type="paragraph" w:styleId="msonormalcxsplast">
    <w:name w:val="msonormalcxsplast"/>
    <w:basedOn w:val="Normal"/>
    <w:qFormat/>
    <w:pPr>
      <w:widowControl/>
      <w:spacing w:before="100" w:after="100"/>
      <w:jc w:val="start"/>
    </w:pPr>
    <w:rPr>
      <w:rFonts w:ascii="宋体" w:hAnsi="宋体" w:cs="宋体"/>
      <w:kern w:val="0"/>
      <w:sz w:val="24"/>
      <w:szCs w:val="24"/>
    </w:rPr>
  </w:style>
  <w:style w:type="paragraph" w:styleId="CharCharCharCharCharCharCharCharCharCharCharCharCharChar1">
    <w:name w:val="Char Char Char Char Char Char Char Char Char Char Char Char Char Char1"/>
    <w:basedOn w:val="Normal"/>
    <w:qFormat/>
    <w:pPr>
      <w:widowControl/>
      <w:spacing w:lineRule="exact" w:line="240" w:before="0" w:after="160"/>
      <w:jc w:val="start"/>
    </w:pPr>
    <w:rPr>
      <w:rFonts w:ascii="Verdana" w:hAnsi="Verdana" w:cs="Verdana"/>
      <w:kern w:val="0"/>
      <w:sz w:val="20"/>
      <w:szCs w:val="20"/>
      <w:lang w:eastAsia="en-US"/>
    </w:rPr>
  </w:style>
  <w:style w:type="paragraph" w:styleId="Char2CharChar1Char">
    <w:name w:val="Char2 Char Char1 Char"/>
    <w:basedOn w:val="Normal"/>
    <w:qFormat/>
    <w:pPr>
      <w:widowControl/>
      <w:spacing w:lineRule="exact" w:line="240" w:before="0" w:after="160"/>
      <w:jc w:val="start"/>
    </w:pPr>
    <w:rPr>
      <w:rFonts w:ascii="Tahoma" w:hAnsi="Tahoma" w:cs="Tahoma"/>
      <w:kern w:val="0"/>
      <w:sz w:val="20"/>
      <w:szCs w:val="20"/>
      <w:lang w:eastAsia="en-US"/>
    </w:rPr>
  </w:style>
  <w:style w:type="paragraph" w:styleId="11">
    <w:name w:val="列出段落1"/>
    <w:basedOn w:val="Normal"/>
    <w:qFormat/>
    <w:pPr>
      <w:ind w:firstLineChars="200" w:startChars="0" w:start="0" w:endChars="0" w:end="0"/>
    </w:pPr>
    <w:rPr>
      <w:rFonts w:ascii="Calibri" w:hAnsi="Calibri" w:cs="Calibri"/>
      <w:sz w:val="21"/>
      <w:szCs w:val="22"/>
    </w:rPr>
  </w:style>
  <w:style w:type="paragraph" w:styleId="NewNewNewNewNewNew">
    <w:name w:val="正文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12">
    <w:name w:val="普通(网站)1"/>
    <w:basedOn w:val="Normal"/>
    <w:qFormat/>
    <w:pPr>
      <w:spacing w:lineRule="atLeast" w:line="378"/>
      <w:jc w:val="start"/>
    </w:pPr>
    <w:rPr>
      <w:rFonts w:ascii="Calibri" w:hAnsi="Calibri" w:cs="Calibri"/>
      <w:kern w:val="0"/>
      <w:sz w:val="24"/>
      <w:szCs w:val="24"/>
    </w:rPr>
  </w:style>
  <w:style w:type="paragraph" w:styleId="Style23">
    <w:name w:val="_Style 2"/>
    <w:qFormat/>
    <w:pPr>
      <w:widowControl w:val="false"/>
      <w:bidi w:val="0"/>
      <w:jc w:val="both"/>
    </w:pPr>
    <w:rPr>
      <w:rFonts w:ascii="Times New Roman" w:hAnsi="Times New Roman" w:eastAsia="宋体" w:cs="Times New Roman"/>
      <w:color w:val="auto"/>
      <w:kern w:val="2"/>
      <w:sz w:val="21"/>
      <w:szCs w:val="22"/>
      <w:lang w:bidi="ar-SA" w:val="en-US" w:eastAsia="zh-CN"/>
    </w:rPr>
  </w:style>
  <w:style w:type="paragraph" w:styleId="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w:basedOn w:val="Normal"/>
    <w:qFormat/>
    <w:pPr>
      <w:widowControl/>
      <w:spacing w:lineRule="exact" w:line="240" w:before="0" w:after="160"/>
      <w:jc w:val="start"/>
    </w:pPr>
    <w:rPr>
      <w:rFonts w:ascii="Verdana" w:hAnsi="Verdana" w:eastAsia="仿宋_GB2312;仿宋" w:cs="Verdana"/>
      <w:kern w:val="0"/>
      <w:sz w:val="24"/>
      <w:szCs w:val="24"/>
      <w:lang w:eastAsia="en-US"/>
    </w:rPr>
  </w:style>
  <w:style w:type="paragraph" w:styleId="p0">
    <w:name w:val="p0"/>
    <w:basedOn w:val="Normal"/>
    <w:qFormat/>
    <w:pPr>
      <w:widowControl/>
    </w:pPr>
    <w:rPr>
      <w:kern w:val="0"/>
      <w:sz w:val="21"/>
      <w:szCs w:val="21"/>
    </w:rPr>
  </w:style>
  <w:style w:type="paragraph" w:styleId="CharCharCharCharCharCharCharCharCharCharCharCharCharCharCharCharCharCharCharCharCharChar">
    <w:name w:val="Char Char Char Char Char Char Char Char Char Char Char Char Char Char Char Char Char Char Char Char Char Char"/>
    <w:basedOn w:val="Normal"/>
    <w:qFormat/>
    <w:pPr/>
    <w:rPr>
      <w:rFonts w:ascii="宋体" w:hAnsi="宋体" w:cs="Courier New"/>
      <w:sz w:val="32"/>
      <w:szCs w:val="32"/>
    </w:rPr>
  </w:style>
  <w:style w:type="paragraph" w:styleId="Char14">
    <w:name w:val="Char 正文"/>
    <w:basedOn w:val="Heading1"/>
    <w:qFormat/>
    <w:pPr>
      <w:numPr>
        <w:ilvl w:val="0"/>
        <w:numId w:val="0"/>
      </w:numPr>
      <w:snapToGrid w:val="false"/>
      <w:spacing w:lineRule="auto" w:line="348" w:before="240" w:after="240"/>
      <w:outlineLvl w:val="9"/>
    </w:pPr>
    <w:rPr>
      <w:rFonts w:ascii="Tahoma" w:hAnsi="Tahoma" w:cs="Tahoma"/>
      <w:bCs w:val="false"/>
      <w:sz w:val="24"/>
      <w:szCs w:val="20"/>
    </w:rPr>
  </w:style>
  <w:style w:type="paragraph" w:styleId="1cxspmiddle">
    <w:name w:val="1cxspmiddle"/>
    <w:basedOn w:val="Normal"/>
    <w:qFormat/>
    <w:pPr>
      <w:widowControl/>
      <w:spacing w:before="100" w:after="100"/>
      <w:jc w:val="start"/>
    </w:pPr>
    <w:rPr>
      <w:rFonts w:ascii="宋体" w:hAnsi="宋体" w:cs="宋体"/>
      <w:kern w:val="0"/>
      <w:sz w:val="24"/>
      <w:szCs w:val="24"/>
    </w:rPr>
  </w:style>
  <w:style w:type="paragraph" w:styleId="32">
    <w:name w:val="3#仿宋"/>
    <w:basedOn w:val="Normal"/>
    <w:qFormat/>
    <w:pPr/>
    <w:rPr>
      <w:rFonts w:ascii="仿宋_GB2312;仿宋" w:hAnsi="仿宋_GB2312;仿宋" w:eastAsia="仿宋_GB2312;仿宋" w:cs="仿宋_GB2312;仿宋"/>
      <w:sz w:val="32"/>
      <w:szCs w:val="22"/>
    </w:rPr>
  </w:style>
  <w:style w:type="paragraph" w:styleId="acxspmiddle">
    <w:name w:val="acxspmiddle"/>
    <w:basedOn w:val="Normal"/>
    <w:qFormat/>
    <w:pPr>
      <w:widowControl/>
      <w:spacing w:before="100" w:after="100"/>
      <w:jc w:val="start"/>
    </w:pPr>
    <w:rPr>
      <w:rFonts w:ascii="宋体" w:hAnsi="宋体" w:cs="宋体"/>
      <w:kern w:val="0"/>
      <w:sz w:val="24"/>
      <w:szCs w:val="24"/>
    </w:rPr>
  </w:style>
  <w:style w:type="paragraph" w:styleId="CharCharChar2">
    <w:name w:val="Char Char Char"/>
    <w:basedOn w:val="Normal"/>
    <w:qFormat/>
    <w:pPr/>
    <w:rPr>
      <w:sz w:val="21"/>
      <w:szCs w:val="21"/>
    </w:rPr>
  </w:style>
  <w:style w:type="paragraph" w:styleId="Default">
    <w:name w:val="Default"/>
    <w:qFormat/>
    <w:pPr>
      <w:widowControl w:val="false"/>
      <w:autoSpaceDE w:val="false"/>
      <w:bidi w:val="0"/>
    </w:pPr>
    <w:rPr>
      <w:rFonts w:ascii="宋体.....;宋体" w:hAnsi="宋体.....;宋体" w:eastAsia="宋体.....;宋体" w:cs="宋体.....;宋体"/>
      <w:color w:val="000000"/>
      <w:sz w:val="24"/>
      <w:szCs w:val="24"/>
      <w:lang w:bidi="ar-SA" w:val="en-US" w:eastAsia="zh-CN"/>
    </w:rPr>
  </w:style>
  <w:style w:type="paragraph" w:styleId="TOCHeading">
    <w:name w:val="TOC Heading"/>
    <w:basedOn w:val="Heading1"/>
    <w:next w:val="Normal"/>
    <w:qFormat/>
    <w:pPr>
      <w:widowControl/>
      <w:numPr>
        <w:ilvl w:val="0"/>
        <w:numId w:val="0"/>
      </w:numPr>
      <w:spacing w:lineRule="auto" w:line="276" w:before="480" w:after="0"/>
      <w:ind w:hanging="420" w:start="562" w:end="0"/>
      <w:jc w:val="start"/>
      <w:outlineLvl w:val="9"/>
    </w:pPr>
    <w:rPr>
      <w:rFonts w:ascii="Cambria" w:hAnsi="Cambria" w:cs="Cambria"/>
      <w:color w:val="365F91"/>
      <w:kern w:val="0"/>
      <w:sz w:val="28"/>
      <w:szCs w:val="28"/>
    </w:rPr>
  </w:style>
  <w:style w:type="paragraph" w:styleId="13">
    <w:name w:val="正文缩进1"/>
    <w:basedOn w:val="Normal"/>
    <w:qFormat/>
    <w:pPr>
      <w:ind w:firstLineChars="200" w:startChars="0" w:start="0" w:endChars="0" w:end="0"/>
    </w:pPr>
    <w:rPr>
      <w:sz w:val="21"/>
      <w:szCs w:val="20"/>
    </w:rPr>
  </w:style>
  <w:style w:type="paragraph" w:styleId="CharCharChar1Char">
    <w:name w:val="Char Char Char1 Char"/>
    <w:basedOn w:val="Normal"/>
    <w:qFormat/>
    <w:pPr/>
    <w:rPr>
      <w:sz w:val="21"/>
      <w:szCs w:val="21"/>
    </w:rPr>
  </w:style>
  <w:style w:type="paragraph" w:styleId="Style24">
    <w:name w:val="列出段落"/>
    <w:basedOn w:val="Normal"/>
    <w:qFormat/>
    <w:pPr>
      <w:ind w:firstLineChars="200" w:startChars="0" w:start="0" w:endChars="0" w:end="0"/>
    </w:pPr>
    <w:rPr>
      <w:rFonts w:ascii="Calibri" w:hAnsi="Calibri" w:cs="Calibri"/>
      <w:sz w:val="21"/>
      <w:szCs w:val="22"/>
    </w:rPr>
  </w:style>
  <w:style w:type="paragraph" w:styleId="CharCharCharChar">
    <w:name w:val="Char Char Char Char"/>
    <w:basedOn w:val="Normal"/>
    <w:qFormat/>
    <w:pPr>
      <w:spacing w:lineRule="auto" w:line="360" w:before="120" w:after="120"/>
      <w:ind w:firstLine="420" w:start="0" w:end="0"/>
    </w:pPr>
    <w:rPr>
      <w:rFonts w:ascii="Tahoma" w:hAnsi="Tahoma" w:cs="Tahoma"/>
      <w:sz w:val="28"/>
      <w:szCs w:val="20"/>
    </w:rPr>
  </w:style>
  <w:style w:type="paragraph" w:styleId="Char15">
    <w:name w:val="Char"/>
    <w:basedOn w:val="Normal"/>
    <w:qFormat/>
    <w:pPr>
      <w:widowControl/>
      <w:spacing w:lineRule="exact" w:line="240" w:before="0" w:after="160"/>
      <w:jc w:val="start"/>
    </w:pPr>
    <w:rPr>
      <w:rFonts w:ascii="Verdana" w:hAnsi="Verdana" w:eastAsia="仿宋_GB2312;仿宋" w:cs="Verdana"/>
      <w:kern w:val="0"/>
      <w:sz w:val="24"/>
      <w:szCs w:val="20"/>
      <w:lang w:eastAsia="en-US"/>
    </w:rPr>
  </w:style>
  <w:style w:type="paragraph" w:styleId="CharCharCharCharCharCharCharCharCharChar">
    <w:name w:val="Char Char Char Char Char Char Char Char Char Char"/>
    <w:basedOn w:val="Normal"/>
    <w:qFormat/>
    <w:pPr>
      <w:widowControl/>
      <w:spacing w:lineRule="exact" w:line="240" w:before="0" w:after="160"/>
      <w:jc w:val="start"/>
    </w:pPr>
    <w:rPr>
      <w:rFonts w:ascii="Verdana" w:hAnsi="Verdana" w:eastAsia="仿宋_GB2312;仿宋" w:cs="Verdana"/>
      <w:kern w:val="0"/>
      <w:sz w:val="24"/>
      <w:szCs w:val="20"/>
      <w:lang w:eastAsia="en-US"/>
    </w:rPr>
  </w:style>
  <w:style w:type="paragraph" w:styleId="NormalWeb">
    <w:name w:val="Normal (Web)"/>
    <w:basedOn w:val="Normal"/>
    <w:qFormat/>
    <w:pPr>
      <w:spacing w:lineRule="atLeast" w:line="378"/>
      <w:jc w:val="start"/>
    </w:pPr>
    <w:rPr>
      <w:rFonts w:ascii="Calibri" w:hAnsi="Calibri" w:cs="Calibri"/>
      <w:kern w:val="0"/>
      <w:sz w:val="24"/>
      <w:szCs w:val="24"/>
    </w:rPr>
  </w:style>
  <w:style w:type="paragraph" w:styleId="NewNewNew">
    <w:name w:val="正文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1cxsplast">
    <w:name w:val="1cxsplast"/>
    <w:basedOn w:val="Normal"/>
    <w:qFormat/>
    <w:pPr>
      <w:widowControl/>
      <w:spacing w:before="100" w:after="100"/>
      <w:jc w:val="start"/>
    </w:pPr>
    <w:rPr>
      <w:rFonts w:ascii="宋体" w:hAnsi="宋体" w:cs="宋体"/>
      <w:kern w:val="0"/>
      <w:sz w:val="24"/>
      <w:szCs w:val="24"/>
    </w:rPr>
  </w:style>
  <w:style w:type="paragraph" w:styleId="CharCharCharCharCharCharChar">
    <w:name w:val="Char Char Char Char Char Char Char"/>
    <w:basedOn w:val="Normal"/>
    <w:qFormat/>
    <w:pPr/>
    <w:rPr>
      <w:rFonts w:ascii="Calibri" w:hAnsi="Calibri" w:cs="黑体"/>
      <w:sz w:val="21"/>
      <w:szCs w:val="22"/>
    </w:rPr>
  </w:style>
  <w:style w:type="paragraph" w:styleId="Bodytext1">
    <w:name w:val="Body text|1"/>
    <w:basedOn w:val="Normal"/>
    <w:qFormat/>
    <w:pPr>
      <w:spacing w:lineRule="auto" w:line="401"/>
      <w:ind w:firstLine="400" w:start="0" w:end="0"/>
    </w:pPr>
    <w:rPr>
      <w:rFonts w:ascii="宋体" w:hAnsi="宋体" w:eastAsia="宋体" w:cs="宋体"/>
      <w:color w:val="393839"/>
      <w:sz w:val="28"/>
      <w:szCs w:val="28"/>
      <w:lang w:val="zh-TW" w:eastAsia="zh-TW" w:bidi="zh-TW"/>
    </w:rPr>
  </w:style>
  <w:style w:type="paragraph" w:styleId="ListParagraph">
    <w:name w:val="List Paragraph"/>
    <w:basedOn w:val="Normal"/>
    <w:qFormat/>
    <w:pPr>
      <w:ind w:firstLineChars="200" w:startChars="0" w:start="0" w:endChars="0" w:end="0"/>
    </w:pPr>
    <w:rPr>
      <w:rFonts w:ascii="Calibri" w:hAnsi="Calibri" w:cs="Calibri"/>
      <w:sz w:val="21"/>
      <w:szCs w:val="22"/>
    </w:rPr>
  </w:style>
  <w:style w:type="paragraph" w:styleId="CharCharCharCharCharCharCharCharChar">
    <w:name w:val="Char Char Char Char Char Char Char Char Char"/>
    <w:basedOn w:val="Normal"/>
    <w:qFormat/>
    <w:pPr>
      <w:widowControl/>
      <w:spacing w:lineRule="exact" w:line="240" w:before="0" w:after="160"/>
      <w:jc w:val="start"/>
    </w:pPr>
    <w:rPr>
      <w:sz w:val="21"/>
      <w:szCs w:val="20"/>
    </w:rPr>
  </w:style>
  <w:style w:type="paragraph" w:styleId="ParaCharCharCharChar">
    <w:name w:val="默认段落字体 Para Char Char Char Char"/>
    <w:basedOn w:val="Normal"/>
    <w:qFormat/>
    <w:pPr/>
    <w:rPr>
      <w:rFonts w:eastAsia="仿宋_GB2312;仿宋"/>
      <w:sz w:val="32"/>
      <w:szCs w:val="32"/>
    </w:rPr>
  </w:style>
  <w:style w:type="paragraph" w:styleId="msonormalcxspmiddle">
    <w:name w:val="msonormalcxspmiddle"/>
    <w:basedOn w:val="Normal"/>
    <w:qFormat/>
    <w:pPr>
      <w:widowControl/>
      <w:spacing w:before="100" w:after="100"/>
      <w:jc w:val="start"/>
    </w:pPr>
    <w:rPr>
      <w:rFonts w:ascii="宋体" w:hAnsi="宋体" w:cs="宋体"/>
      <w:kern w:val="0"/>
      <w:sz w:val="24"/>
      <w:szCs w:val="24"/>
    </w:rPr>
  </w:style>
  <w:style w:type="paragraph" w:styleId="pic-info">
    <w:name w:val="pic-info"/>
    <w:basedOn w:val="Normal"/>
    <w:qFormat/>
    <w:pPr>
      <w:widowControl/>
      <w:spacing w:before="100" w:after="100"/>
      <w:jc w:val="start"/>
    </w:pPr>
    <w:rPr>
      <w:rFonts w:ascii="宋体" w:hAnsi="宋体" w:cs="宋体"/>
      <w:kern w:val="0"/>
      <w:sz w:val="24"/>
      <w:szCs w:val="24"/>
    </w:rPr>
  </w:style>
  <w:style w:type="paragraph" w:styleId="14">
    <w:name w:val="标题1"/>
    <w:basedOn w:val="Normal"/>
    <w:next w:val="Normal"/>
    <w:qFormat/>
    <w:pPr>
      <w:tabs>
        <w:tab w:val="clear" w:pos="709"/>
        <w:tab w:val="left" w:pos="9193" w:leader="none"/>
        <w:tab w:val="left" w:pos="9827" w:leader="none"/>
      </w:tabs>
      <w:autoSpaceDE w:val="false"/>
      <w:snapToGrid w:val="false"/>
      <w:spacing w:lineRule="atLeast" w:line="700"/>
      <w:jc w:val="center"/>
    </w:pPr>
    <w:rPr>
      <w:rFonts w:ascii="方正小标宋_GBK;微软雅黑" w:hAnsi="方正小标宋_GBK;微软雅黑" w:eastAsia="方正小标宋_GBK;微软雅黑"/>
      <w:kern w:val="0"/>
      <w:sz w:val="44"/>
      <w:szCs w:val="20"/>
    </w:rPr>
  </w:style>
  <w:style w:type="paragraph" w:styleId="ParaChar">
    <w:name w:val="默认段落字体 Para Char"/>
    <w:basedOn w:val="Heading6"/>
    <w:qFormat/>
    <w:pPr>
      <w:numPr>
        <w:ilvl w:val="0"/>
        <w:numId w:val="0"/>
      </w:numPr>
      <w:tabs>
        <w:tab w:val="clear" w:pos="709"/>
        <w:tab w:val="left" w:pos="1440" w:leader="none"/>
      </w:tabs>
      <w:spacing w:lineRule="auto" w:line="317"/>
      <w:outlineLvl w:val="9"/>
    </w:pPr>
    <w:rPr/>
  </w:style>
  <w:style w:type="paragraph" w:styleId="TiaoYinV2">
    <w:name w:val="TiaoYinV2"/>
    <w:basedOn w:val="Normal"/>
    <w:qFormat/>
    <w:pPr/>
    <w:rPr>
      <w:color w:val="218FC4"/>
    </w:rPr>
  </w:style>
  <w:style w:type="paragraph" w:styleId="TOC">
    <w:name w:val="TOC 标题"/>
    <w:basedOn w:val="Heading1"/>
    <w:next w:val="Normal"/>
    <w:qFormat/>
    <w:pPr>
      <w:widowControl/>
      <w:numPr>
        <w:ilvl w:val="0"/>
        <w:numId w:val="0"/>
      </w:numPr>
      <w:spacing w:lineRule="auto" w:line="257" w:before="240" w:after="0"/>
      <w:jc w:val="start"/>
      <w:outlineLvl w:val="9"/>
    </w:pPr>
    <w:rPr>
      <w:rFonts w:ascii="等线 Light" w:hAnsi="等线 Light" w:eastAsia="等线 Light" w:cs="Times New Roman"/>
      <w:b w:val="false"/>
      <w:bCs w:val="false"/>
      <w:color w:val="2E74B5"/>
      <w:kern w:val="0"/>
      <w:sz w:val="32"/>
      <w:szCs w:val="32"/>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1440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2019-08-01T00:16:00Z</dcterms:created>
  <dc:creator>qm6</dc:creator>
  <dc:description/>
  <dc:language>en-US</dc:language>
  <cp:lastModifiedBy>諳語</cp:lastModifiedBy>
  <cp:lastPrinted>2023-03-27T18:52:00Z</cp:lastPrinted>
  <dcterms:modified xsi:type="dcterms:W3CDTF">2023-05-17T16:33:34Z</dcterms:modified>
  <cp:revision>27</cp:revision>
  <dc:subject/>
  <dc:title>北京奥运会组委会体育部：</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782B098145AC4DBEB757D7BCFB677F78</vt:lpwstr>
  </property>
  <property fmtid="{D5CDD505-2E9C-101B-9397-08002B2CF9AE}" pid="3" name="KSOProductBuildVer">
    <vt:lpwstr>2052-11.1.0.14309</vt:lpwstr>
  </property>
</Properties>
</file>