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header2.xml" ContentType="application/vnd.openxmlformats-officedocument.wordprocessingml.header+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clear" w:pos="420"/>
          <w:tab w:val="left" w:pos="8505" w:leader="none"/>
        </w:tabs>
        <w:spacing w:lineRule="exact" w:line="600"/>
        <w:ind w:end="-91"/>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spacing w:lineRule="exact" w:line="600"/>
        <w:ind w:end="-91"/>
        <w:jc w:val="center"/>
        <w:rPr>
          <w:rFonts w:ascii="宋体;SimSun" w:hAnsi="宋体;SimSun" w:cs="宋体;SimSun" w:hint="eastAsia"/>
          <w:kern w:val="0"/>
          <w:sz w:val="44"/>
          <w:szCs w:val="44"/>
        </w:rPr>
      </w:pPr>
      <w:r>
        <w:rPr>
          <w:rFonts w:ascii="宋体;SimSun" w:hAnsi="宋体;SimSun" w:cs="宋体;SimSun" w:hint="eastAsia"/>
          <w:kern w:val="0"/>
          <w:sz w:val="44"/>
          <w:szCs w:val="44"/>
        </w:rPr>
        <w:t>广西壮族自治区人民代表大会常务委员会</w:t>
      </w:r>
    </w:p>
    <w:p>
      <w:pPr>
        <w:pStyle w:val="Normal"/>
        <w:tabs>
          <w:tab w:val="clear" w:pos="420"/>
          <w:tab w:val="left" w:pos="8505" w:leader="none"/>
        </w:tabs>
        <w:spacing w:lineRule="exact" w:line="600"/>
        <w:ind w:end="-91"/>
        <w:jc w:val="center"/>
        <w:rPr>
          <w:rFonts w:ascii="宋体;SimSun" w:hAnsi="宋体;SimSun" w:cs="宋体;SimSun" w:hint="eastAsia"/>
          <w:kern w:val="0"/>
          <w:sz w:val="44"/>
          <w:szCs w:val="44"/>
        </w:rPr>
      </w:pPr>
      <w:r>
        <w:rPr>
          <w:rFonts w:ascii="宋体;SimSun" w:hAnsi="宋体;SimSun" w:cs="宋体;SimSun" w:hint="eastAsia"/>
          <w:kern w:val="0"/>
          <w:sz w:val="44"/>
          <w:szCs w:val="44"/>
        </w:rPr>
        <w:t>关于修改《广西壮族自治区实施〈中华人民</w:t>
      </w:r>
    </w:p>
    <w:p>
      <w:pPr>
        <w:pStyle w:val="Normal"/>
        <w:tabs>
          <w:tab w:val="clear" w:pos="420"/>
          <w:tab w:val="left" w:pos="8505" w:leader="none"/>
        </w:tabs>
        <w:spacing w:lineRule="exact" w:line="600"/>
        <w:ind w:end="-91"/>
        <w:jc w:val="center"/>
        <w:rPr>
          <w:rFonts w:ascii="宋体;SimSun" w:hAnsi="宋体;SimSun" w:cs="宋体;SimSun" w:hint="eastAsia"/>
          <w:kern w:val="0"/>
          <w:sz w:val="44"/>
          <w:szCs w:val="44"/>
        </w:rPr>
      </w:pPr>
      <w:r>
        <w:rPr>
          <w:rFonts w:ascii="宋体;SimSun" w:hAnsi="宋体;SimSun" w:cs="宋体;SimSun" w:hint="eastAsia"/>
          <w:kern w:val="0"/>
          <w:sz w:val="44"/>
          <w:szCs w:val="44"/>
        </w:rPr>
        <w:t>共和国水法〉办法》等四件地方性法规</w:t>
      </w:r>
    </w:p>
    <w:p>
      <w:pPr>
        <w:pStyle w:val="Normal"/>
        <w:tabs>
          <w:tab w:val="clear" w:pos="420"/>
          <w:tab w:val="left" w:pos="8505" w:leader="none"/>
        </w:tabs>
        <w:spacing w:lineRule="exact" w:line="600"/>
        <w:ind w:end="-91"/>
        <w:jc w:val="center"/>
        <w:rPr>
          <w:rFonts w:ascii="宋体;SimSun" w:hAnsi="宋体;SimSun" w:cs="宋体;SimSun" w:hint="eastAsia"/>
          <w:kern w:val="0"/>
          <w:sz w:val="44"/>
          <w:szCs w:val="44"/>
        </w:rPr>
      </w:pPr>
      <w:r>
        <w:rPr>
          <w:rFonts w:ascii="宋体;SimSun" w:hAnsi="宋体;SimSun" w:cs="宋体;SimSun" w:hint="eastAsia"/>
          <w:kern w:val="0"/>
          <w:sz w:val="44"/>
          <w:szCs w:val="44"/>
        </w:rPr>
        <w:t>和废止《广西壮族自治区木材运输</w:t>
      </w:r>
    </w:p>
    <w:p>
      <w:pPr>
        <w:pStyle w:val="Normal"/>
        <w:tabs>
          <w:tab w:val="clear" w:pos="420"/>
          <w:tab w:val="left" w:pos="8505" w:leader="none"/>
        </w:tabs>
        <w:spacing w:lineRule="exact" w:line="600"/>
        <w:ind w:end="-91"/>
        <w:jc w:val="center"/>
        <w:rPr>
          <w:rFonts w:ascii="宋体;SimSun" w:hAnsi="宋体;SimSun" w:cs="宋体;SimSun" w:hint="eastAsia"/>
          <w:kern w:val="0"/>
          <w:sz w:val="44"/>
          <w:szCs w:val="44"/>
        </w:rPr>
      </w:pPr>
      <w:r>
        <w:rPr>
          <w:rFonts w:ascii="宋体;SimSun" w:hAnsi="宋体;SimSun" w:cs="宋体;SimSun" w:hint="eastAsia"/>
          <w:kern w:val="0"/>
          <w:sz w:val="44"/>
          <w:szCs w:val="44"/>
        </w:rPr>
        <w:t>管理条例》的决定</w:t>
      </w:r>
    </w:p>
    <w:p>
      <w:pPr>
        <w:pStyle w:val="Normal"/>
        <w:tabs>
          <w:tab w:val="clear" w:pos="420"/>
          <w:tab w:val="left" w:pos="8505" w:leader="none"/>
        </w:tabs>
        <w:spacing w:lineRule="exact" w:line="600"/>
        <w:ind w:end="-91"/>
        <w:jc w:val="center"/>
        <w:rPr>
          <w:rFonts w:ascii="宋体;SimSun" w:hAnsi="宋体;SimSun" w:eastAsia="仿宋_GB2312" w:cs="宋体;SimSun" w:hint="eastAsia"/>
          <w:kern w:val="0"/>
          <w:sz w:val="32"/>
          <w:szCs w:val="32"/>
        </w:rPr>
      </w:pPr>
      <w:r>
        <w:rPr>
          <w:rFonts w:eastAsia="仿宋_GB2312" w:cs="宋体;SimSun" w:hint="eastAsia" w:ascii="宋体;SimSun" w:hAnsi="宋体;SimSun"/>
          <w:kern w:val="0"/>
          <w:sz w:val="32"/>
          <w:szCs w:val="32"/>
        </w:rPr>
      </w:r>
    </w:p>
    <w:p>
      <w:pPr>
        <w:pStyle w:val="Normal"/>
        <w:tabs>
          <w:tab w:val="clear" w:pos="420"/>
          <w:tab w:val="left" w:pos="8505" w:leader="none"/>
        </w:tabs>
        <w:spacing w:lineRule="exact" w:line="600"/>
        <w:ind w:end="-91"/>
        <w:jc w:val="center"/>
        <w:rPr>
          <w:rFonts w:eastAsia="楷体_GB2312"/>
          <w:kern w:val="0"/>
          <w:sz w:val="32"/>
          <w:szCs w:val="32"/>
        </w:rPr>
      </w:pPr>
      <w:r>
        <w:rPr>
          <w:rFonts w:eastAsia="楷体_GB2312"/>
          <w:kern w:val="0"/>
          <w:sz w:val="32"/>
          <w:szCs w:val="32"/>
        </w:rPr>
        <w:t>（</w:t>
      </w:r>
      <w:r>
        <w:rPr>
          <w:rFonts w:eastAsia="楷体_GB2312"/>
          <w:kern w:val="0"/>
          <w:sz w:val="32"/>
          <w:szCs w:val="32"/>
        </w:rPr>
        <w:t>2021</w:t>
      </w:r>
      <w:r>
        <w:rPr>
          <w:rFonts w:eastAsia="楷体_GB2312"/>
          <w:kern w:val="0"/>
          <w:sz w:val="32"/>
          <w:szCs w:val="32"/>
        </w:rPr>
        <w:t>年</w:t>
      </w:r>
      <w:r>
        <w:rPr>
          <w:rFonts w:eastAsia="楷体_GB2312"/>
          <w:kern w:val="0"/>
          <w:sz w:val="32"/>
          <w:szCs w:val="32"/>
        </w:rPr>
        <w:t>5</w:t>
      </w:r>
      <w:r>
        <w:rPr>
          <w:rFonts w:eastAsia="楷体_GB2312"/>
          <w:kern w:val="0"/>
          <w:sz w:val="32"/>
          <w:szCs w:val="32"/>
        </w:rPr>
        <w:t>月</w:t>
      </w:r>
      <w:r>
        <w:rPr>
          <w:rFonts w:eastAsia="楷体_GB2312"/>
          <w:kern w:val="0"/>
          <w:sz w:val="32"/>
          <w:szCs w:val="32"/>
        </w:rPr>
        <w:t>26</w:t>
      </w:r>
      <w:r>
        <w:rPr>
          <w:rFonts w:eastAsia="楷体_GB2312"/>
          <w:kern w:val="0"/>
          <w:sz w:val="32"/>
          <w:szCs w:val="32"/>
        </w:rPr>
        <w:t>日广西壮族自治区第十三届</w:t>
      </w:r>
    </w:p>
    <w:p>
      <w:pPr>
        <w:pStyle w:val="Normal"/>
        <w:tabs>
          <w:tab w:val="clear" w:pos="420"/>
          <w:tab w:val="left" w:pos="8505" w:leader="none"/>
        </w:tabs>
        <w:spacing w:lineRule="exact" w:line="600"/>
        <w:ind w:end="-91"/>
        <w:jc w:val="center"/>
        <w:rPr>
          <w:rFonts w:eastAsia="楷体_GB2312"/>
          <w:kern w:val="0"/>
          <w:sz w:val="32"/>
          <w:szCs w:val="32"/>
        </w:rPr>
      </w:pPr>
      <w:r>
        <w:rPr>
          <w:rFonts w:eastAsia="楷体_GB2312"/>
          <w:kern w:val="0"/>
          <w:sz w:val="32"/>
          <w:szCs w:val="32"/>
        </w:rPr>
        <w:t>人民代表大会常务委员会第二十三次会议通过）</w:t>
      </w:r>
    </w:p>
    <w:p>
      <w:pPr>
        <w:pStyle w:val="Normal"/>
        <w:tabs>
          <w:tab w:val="clear" w:pos="420"/>
          <w:tab w:val="left" w:pos="8505" w:leader="none"/>
        </w:tabs>
        <w:spacing w:lineRule="exact" w:line="600"/>
        <w:ind w:end="-91"/>
        <w:rPr>
          <w:rFonts w:eastAsia="仿宋_GB2312"/>
          <w:kern w:val="0"/>
          <w:sz w:val="32"/>
          <w:szCs w:val="32"/>
        </w:rPr>
      </w:pPr>
      <w:r>
        <w:rPr>
          <w:rFonts w:eastAsia="仿宋_GB2312"/>
          <w:kern w:val="0"/>
          <w:sz w:val="32"/>
          <w:szCs w:val="32"/>
        </w:rPr>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广西壮族自治区第十三届人民代表大会常务委员会第二十三次会议决定：</w:t>
      </w:r>
    </w:p>
    <w:p>
      <w:pPr>
        <w:pStyle w:val="Normal"/>
        <w:tabs>
          <w:tab w:val="clear" w:pos="420"/>
          <w:tab w:val="left" w:pos="8505" w:leader="none"/>
        </w:tabs>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　一、对《广西壮族自治区实施〈中华人民共和国水法〉办法》作出修改</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一）将第六条中的“桂江、贺江、左江、右江、郁江、红水河、柳江、黔江、浔江、南流江及其他跨设区的市的江河的流域综合规划和区域综合规划”修改为“跨设区的市的江河的流域综合规划和区域综合规划”。</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（二）将第六条、第七条、第二十三条中的“发展和改革行政主管部门”修改为“发展改革部门”。</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三）将第八条第二款中的“水利、环境保护、国土资源”修改为“水行政、生态环境、自然资源”；“各监测站网应当按规定及时向自治区水文、水资源信息管理系统数据库提供监测数据，实行资料共享”修改为“各监测站网的监测数据应当按照规定实行资料共享”。</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（四）将第九条中的“水利、建设、国土资源等主管部门”修改为“水行政、住房城乡建设、自然资源等主管部门”。</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（五）删去第十三条。</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六）将第十五条改为第十四条，修改为：“在江河、湖泊、水库、渠道、运河上新建、改建或者扩大排污口的建设单位或者个人应当编制排污口的设置方案、该项目的环境影响报告书（表），报有审批权的生态环境主管部门审批。”</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（七）将第十八条改为第十七条，将第一款中的“国土资源行政主管部门”修改为“自然资源主管部门”。</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（八）将第二十二条改为第二十一条，将第二款中的“水行政主管部门”修改为“生态环境和水行政等有关主管部门”。</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（九）将第三十一条改为第三十条，将第四款修改为：“无取水计量设施、取水计量设施不合格或者运行不正常未按照规定期限更换或者修复的，取水量按照取水设施最大取水能力计算。”</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（十）第三十三条改为第三十二条，将该条中的“行政处分”修改为“处分”。</w:t>
      </w:r>
    </w:p>
    <w:p>
      <w:pPr>
        <w:pStyle w:val="Normal"/>
        <w:tabs>
          <w:tab w:val="clear" w:pos="420"/>
          <w:tab w:val="left" w:pos="8505" w:leader="none"/>
        </w:tabs>
        <w:spacing w:lineRule="exact" w:line="600"/>
        <w:ind w:firstLine="648" w:end="-91"/>
        <w:rPr>
          <w:rFonts w:eastAsia="仿宋_GB2312" w:hint="eastAsia"/>
          <w:kern w:val="0"/>
          <w:sz w:val="32"/>
          <w:szCs w:val="32"/>
        </w:rPr>
      </w:pPr>
      <w:r>
        <w:rPr>
          <w:rFonts w:hint="eastAsia" w:eastAsia="仿宋_GB2312"/>
          <w:kern w:val="0"/>
          <w:sz w:val="32"/>
          <w:szCs w:val="32"/>
        </w:rPr>
        <w:t>（十一）删去第三十五条。</w:t>
      </w:r>
    </w:p>
    <w:p>
      <w:pPr>
        <w:pStyle w:val="Normal"/>
        <w:tabs>
          <w:tab w:val="clear" w:pos="420"/>
          <w:tab w:val="left" w:pos="8505" w:leader="none"/>
        </w:tabs>
        <w:spacing w:lineRule="exact" w:line="600"/>
        <w:ind w:firstLine="648" w:end="-91"/>
        <w:rPr>
          <w:rFonts w:eastAsia="仿宋_GB2312" w:hint="eastAsia"/>
          <w:kern w:val="0"/>
          <w:sz w:val="32"/>
          <w:szCs w:val="32"/>
        </w:rPr>
      </w:pPr>
      <w:r>
        <w:rPr>
          <w:rFonts w:eastAsia="仿宋_GB2312" w:hint="eastAsia"/>
          <w:kern w:val="0"/>
          <w:sz w:val="32"/>
          <w:szCs w:val="32"/>
        </w:rPr>
      </w:r>
    </w:p>
    <w:p>
      <w:pPr>
        <w:pStyle w:val="Normal"/>
        <w:tabs>
          <w:tab w:val="clear" w:pos="420"/>
          <w:tab w:val="left" w:pos="8505" w:leader="none"/>
        </w:tabs>
        <w:spacing w:lineRule="exact" w:line="600"/>
        <w:ind w:end="-91"/>
        <w:rPr/>
      </w:pPr>
      <w:r>
        <w:rPr>
          <w:rFonts w:hint="eastAsia" w:eastAsia="仿宋_GB2312"/>
          <w:kern w:val="0"/>
          <w:sz w:val="32"/>
          <w:szCs w:val="32"/>
        </w:rPr>
        <w:t>　</w:t>
      </w:r>
      <w:r>
        <w:rPr>
          <w:rFonts w:ascii="黑体;SimHei" w:hAnsi="黑体;SimHei" w:cs="黑体;SimHei" w:hint="eastAsia" w:eastAsia="黑体;SimHei"/>
          <w:kern w:val="0"/>
          <w:sz w:val="32"/>
          <w:szCs w:val="32"/>
        </w:rPr>
        <w:t>　二、对《广西壮族自治区殡葬管理条例》作出修改</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（一）将第一条、第二条中的“本规定”修改为“本条例”。</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（二）将第七条第二款中的“规划、土地、建设等有关部门”修改为“自然资源、住房城乡建设等有关主管部门”。</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（三）删去第十一条第二款。</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（四）将第十七条中的“土地行政主管部门”修改为“自然资源主管部门”。</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（五）删去第十九条第一款第二项，并将该款第三项中的“或者”修改为“和”。</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（六）将第二十四条第二款中的“工商行政管理部门”修改为“市场监督管理部门”。</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七）将第二十六条修改为：“违反本条例第二十四条第一款规定，制造、销售封建迷信丧葬用品的，由县级以上人民政府民政部门会同市场监督管理部门予以没收，可以并处制造、销售金额一倍以上三倍以下罚款。”</w:t>
      </w:r>
    </w:p>
    <w:p>
      <w:pPr>
        <w:pStyle w:val="Normal"/>
        <w:tabs>
          <w:tab w:val="clear" w:pos="420"/>
          <w:tab w:val="left" w:pos="8505" w:leader="none"/>
        </w:tabs>
        <w:spacing w:lineRule="exact" w:line="600"/>
        <w:ind w:end="-91"/>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　　三、对《广西壮族自治区特种行业治安管理条例》作出修改</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（一）将第四条中的“工商”修改为“市场监督管理”。</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（二）将第五条中的“表彰”修改为“表扬”。</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（三）删去第六条、第九条中的“典当业”。</w:t>
      </w:r>
    </w:p>
    <w:p>
      <w:pPr>
        <w:pStyle w:val="Normal"/>
        <w:tabs>
          <w:tab w:val="clear" w:pos="420"/>
          <w:tab w:val="left" w:pos="8505" w:leader="none"/>
        </w:tabs>
        <w:spacing w:lineRule="exact" w:line="600"/>
        <w:ind w:end="-91"/>
        <w:rPr>
          <w:rFonts w:eastAsia="仿宋_GB2312" w:hint="eastAsia"/>
          <w:kern w:val="0"/>
          <w:sz w:val="32"/>
          <w:szCs w:val="32"/>
        </w:rPr>
      </w:pPr>
      <w:r>
        <w:rPr>
          <w:rFonts w:hint="eastAsia" w:eastAsia="仿宋_GB2312"/>
          <w:kern w:val="0"/>
          <w:sz w:val="32"/>
          <w:szCs w:val="32"/>
        </w:rPr>
        <w:t>　　（四）将第八条第四项修改为：“（四）市场监督管理部门核发的营业执照”。</w:t>
      </w:r>
    </w:p>
    <w:p>
      <w:pPr>
        <w:pStyle w:val="Normal"/>
        <w:tabs>
          <w:tab w:val="clear" w:pos="420"/>
          <w:tab w:val="left" w:pos="8505" w:leader="none"/>
        </w:tabs>
        <w:spacing w:lineRule="exact" w:line="580"/>
        <w:ind w:end="-91"/>
        <w:rPr>
          <w:rFonts w:eastAsia="仿宋_GB2312" w:hint="eastAsia"/>
          <w:kern w:val="0"/>
          <w:sz w:val="32"/>
          <w:szCs w:val="32"/>
        </w:rPr>
      </w:pPr>
      <w:r>
        <w:rPr>
          <w:rFonts w:hint="eastAsia" w:eastAsia="仿宋_GB2312"/>
          <w:kern w:val="0"/>
          <w:sz w:val="32"/>
          <w:szCs w:val="32"/>
        </w:rPr>
        <w:t>　　（五）将第十一条第一款中的“工商行政管理部门”修改为“市场监督管理部门”。</w:t>
      </w:r>
    </w:p>
    <w:p>
      <w:pPr>
        <w:pStyle w:val="Normal"/>
        <w:tabs>
          <w:tab w:val="clear" w:pos="420"/>
          <w:tab w:val="left" w:pos="8505" w:leader="none"/>
        </w:tabs>
        <w:spacing w:lineRule="exact" w:line="580"/>
        <w:ind w:end="-91"/>
        <w:rPr>
          <w:rFonts w:eastAsia="仿宋_GB2312" w:hint="eastAsia"/>
          <w:kern w:val="0"/>
          <w:sz w:val="32"/>
          <w:szCs w:val="32"/>
        </w:rPr>
      </w:pPr>
      <w:r>
        <w:rPr>
          <w:rFonts w:hint="eastAsia" w:eastAsia="仿宋_GB2312"/>
          <w:kern w:val="0"/>
          <w:sz w:val="32"/>
          <w:szCs w:val="32"/>
        </w:rPr>
        <w:t>　　（六）将第二十条第三项中的“环保部门”修改为“生态环境主管部门”。</w:t>
      </w:r>
    </w:p>
    <w:p>
      <w:pPr>
        <w:pStyle w:val="Normal"/>
        <w:tabs>
          <w:tab w:val="clear" w:pos="420"/>
          <w:tab w:val="left" w:pos="8505" w:leader="none"/>
        </w:tabs>
        <w:spacing w:lineRule="exact" w:line="580"/>
        <w:ind w:end="-91"/>
        <w:rPr>
          <w:rFonts w:eastAsia="仿宋_GB2312" w:hint="eastAsia"/>
          <w:kern w:val="0"/>
          <w:sz w:val="32"/>
          <w:szCs w:val="32"/>
        </w:rPr>
      </w:pPr>
      <w:r>
        <w:rPr>
          <w:rFonts w:hint="eastAsia" w:eastAsia="仿宋_GB2312"/>
          <w:kern w:val="0"/>
          <w:sz w:val="32"/>
          <w:szCs w:val="32"/>
        </w:rPr>
        <w:t>　　（七）将第三十五条中的“行政处分”修改为“处分”。</w:t>
      </w:r>
    </w:p>
    <w:p>
      <w:pPr>
        <w:pStyle w:val="Normal"/>
        <w:tabs>
          <w:tab w:val="clear" w:pos="420"/>
          <w:tab w:val="left" w:pos="8505" w:leader="none"/>
        </w:tabs>
        <w:spacing w:lineRule="exact" w:line="580"/>
        <w:ind w:end="-91"/>
        <w:rPr/>
      </w:pPr>
      <w:r>
        <w:rPr>
          <w:rFonts w:hint="eastAsia" w:eastAsia="仿宋_GB2312"/>
          <w:kern w:val="0"/>
          <w:sz w:val="32"/>
          <w:szCs w:val="32"/>
        </w:rPr>
        <w:t>　</w:t>
      </w:r>
      <w:r>
        <w:rPr>
          <w:rFonts w:ascii="黑体;SimHei" w:hAnsi="黑体;SimHei" w:cs="黑体;SimHei" w:hint="eastAsia" w:eastAsia="黑体;SimHei"/>
          <w:kern w:val="0"/>
          <w:sz w:val="32"/>
          <w:szCs w:val="32"/>
        </w:rPr>
        <w:t>　四、对《广西壮族自治区促进散装水泥发展和应用条例》作出修改</w:t>
      </w:r>
    </w:p>
    <w:p>
      <w:pPr>
        <w:pStyle w:val="Normal"/>
        <w:tabs>
          <w:tab w:val="clear" w:pos="420"/>
          <w:tab w:val="left" w:pos="8505" w:leader="none"/>
        </w:tabs>
        <w:spacing w:lineRule="exact" w:line="580"/>
        <w:ind w:end="-91"/>
        <w:rPr>
          <w:rFonts w:eastAsia="仿宋_GB2312" w:hint="eastAsia"/>
          <w:kern w:val="0"/>
          <w:sz w:val="32"/>
          <w:szCs w:val="32"/>
        </w:rPr>
      </w:pPr>
      <w:r>
        <w:rPr>
          <w:rFonts w:hint="eastAsia" w:eastAsia="仿宋_GB2312"/>
          <w:kern w:val="0"/>
          <w:sz w:val="32"/>
          <w:szCs w:val="32"/>
        </w:rPr>
        <w:t>　　（一）将第五条第二款中的“环境保护”修改为“生态环境”。</w:t>
      </w:r>
    </w:p>
    <w:p>
      <w:pPr>
        <w:pStyle w:val="Normal"/>
        <w:tabs>
          <w:tab w:val="clear" w:pos="420"/>
          <w:tab w:val="left" w:pos="8505" w:leader="none"/>
        </w:tabs>
        <w:spacing w:lineRule="exact" w:line="580"/>
        <w:ind w:end="-91"/>
        <w:rPr>
          <w:rFonts w:eastAsia="仿宋_GB2312" w:hint="eastAsia"/>
          <w:kern w:val="0"/>
          <w:sz w:val="32"/>
          <w:szCs w:val="32"/>
        </w:rPr>
      </w:pPr>
      <w:r>
        <w:rPr>
          <w:rFonts w:hint="eastAsia" w:eastAsia="仿宋_GB2312"/>
          <w:kern w:val="0"/>
          <w:sz w:val="32"/>
          <w:szCs w:val="32"/>
        </w:rPr>
        <w:t>　　（二）将第五条第二款、第十条、第二十四条第一款中的“住房和城乡建设”修改为“住房城乡建设”。</w:t>
      </w:r>
    </w:p>
    <w:p>
      <w:pPr>
        <w:pStyle w:val="Normal"/>
        <w:tabs>
          <w:tab w:val="clear" w:pos="420"/>
          <w:tab w:val="left" w:pos="8505" w:leader="none"/>
        </w:tabs>
        <w:spacing w:lineRule="exact" w:line="580"/>
        <w:ind w:end="-91"/>
        <w:rPr>
          <w:rFonts w:eastAsia="仿宋_GB2312" w:hint="eastAsia"/>
          <w:kern w:val="0"/>
          <w:sz w:val="32"/>
          <w:szCs w:val="32"/>
        </w:rPr>
      </w:pPr>
      <w:r>
        <w:rPr>
          <w:rFonts w:hint="eastAsia" w:eastAsia="仿宋_GB2312"/>
          <w:kern w:val="0"/>
          <w:sz w:val="32"/>
          <w:szCs w:val="32"/>
        </w:rPr>
        <w:t>　　（三）将第五条第二款、第二十三条第一款中的“质量技术监督”修改为“市场监督管理”。</w:t>
      </w:r>
    </w:p>
    <w:p>
      <w:pPr>
        <w:pStyle w:val="Normal"/>
        <w:tabs>
          <w:tab w:val="clear" w:pos="420"/>
          <w:tab w:val="left" w:pos="8505" w:leader="none"/>
        </w:tabs>
        <w:spacing w:lineRule="exact" w:line="580"/>
        <w:ind w:end="-91"/>
        <w:rPr>
          <w:rFonts w:eastAsia="仿宋_GB2312" w:hint="eastAsia"/>
          <w:kern w:val="0"/>
          <w:sz w:val="32"/>
          <w:szCs w:val="32"/>
        </w:rPr>
      </w:pPr>
      <w:r>
        <w:rPr>
          <w:rFonts w:hint="eastAsia" w:eastAsia="仿宋_GB2312"/>
          <w:kern w:val="0"/>
          <w:sz w:val="32"/>
          <w:szCs w:val="32"/>
        </w:rPr>
        <w:t>　　（四）将第七条中的“住房和城乡建设（规划）、环境保护等有关部门”修改为“住房城乡建设、自然资源、生态环境等有关主管部门”。</w:t>
      </w:r>
    </w:p>
    <w:p>
      <w:pPr>
        <w:pStyle w:val="Normal"/>
        <w:tabs>
          <w:tab w:val="clear" w:pos="420"/>
          <w:tab w:val="left" w:pos="8505" w:leader="none"/>
        </w:tabs>
        <w:spacing w:lineRule="exact" w:line="580"/>
        <w:ind w:end="-91"/>
        <w:rPr>
          <w:rFonts w:eastAsia="仿宋_GB2312" w:hint="eastAsia"/>
          <w:kern w:val="0"/>
          <w:sz w:val="32"/>
          <w:szCs w:val="32"/>
        </w:rPr>
      </w:pPr>
      <w:r>
        <w:rPr>
          <w:rFonts w:hint="eastAsia" w:eastAsia="仿宋_GB2312"/>
          <w:kern w:val="0"/>
          <w:sz w:val="32"/>
          <w:szCs w:val="32"/>
        </w:rPr>
        <w:t>　　（五）删去第二十一条。</w:t>
      </w:r>
    </w:p>
    <w:p>
      <w:pPr>
        <w:pStyle w:val="Normal"/>
        <w:tabs>
          <w:tab w:val="clear" w:pos="420"/>
          <w:tab w:val="left" w:pos="8505" w:leader="none"/>
        </w:tabs>
        <w:spacing w:lineRule="exact" w:line="580"/>
        <w:ind w:end="-91"/>
        <w:rPr>
          <w:rFonts w:eastAsia="仿宋_GB2312" w:hint="eastAsia"/>
          <w:kern w:val="0"/>
          <w:sz w:val="32"/>
          <w:szCs w:val="32"/>
        </w:rPr>
      </w:pPr>
      <w:r>
        <w:rPr>
          <w:rFonts w:hint="eastAsia" w:eastAsia="仿宋_GB2312"/>
          <w:kern w:val="0"/>
          <w:sz w:val="32"/>
          <w:szCs w:val="32"/>
        </w:rPr>
        <w:t>　　（六）将第三十三条改为第三十二条，将该条中的“行政处分”修改为“处分”。</w:t>
      </w:r>
    </w:p>
    <w:p>
      <w:pPr>
        <w:pStyle w:val="Normal"/>
        <w:tabs>
          <w:tab w:val="clear" w:pos="420"/>
          <w:tab w:val="left" w:pos="8505" w:leader="none"/>
        </w:tabs>
        <w:spacing w:lineRule="exact" w:line="580"/>
        <w:ind w:end="-91"/>
        <w:rPr>
          <w:rFonts w:ascii="黑体;SimHei" w:hAnsi="黑体;SimHei" w:eastAsia="黑体;SimHei" w:cs="黑体;SimHei" w:hint="eastAsia"/>
          <w:kern w:val="0"/>
          <w:sz w:val="32"/>
          <w:szCs w:val="32"/>
        </w:rPr>
      </w:pPr>
      <w:r>
        <w:rPr>
          <w:rFonts w:ascii="黑体;SimHei" w:hAnsi="黑体;SimHei" w:cs="黑体;SimHei" w:hint="eastAsia" w:eastAsia="黑体;SimHei"/>
          <w:kern w:val="0"/>
          <w:sz w:val="32"/>
          <w:szCs w:val="32"/>
        </w:rPr>
        <w:t>　　五、废止《广西壮族自治区木材运输管理条例》</w:t>
      </w:r>
    </w:p>
    <w:p>
      <w:pPr>
        <w:pStyle w:val="Normal"/>
        <w:tabs>
          <w:tab w:val="clear" w:pos="420"/>
          <w:tab w:val="left" w:pos="8505" w:leader="none"/>
        </w:tabs>
        <w:spacing w:lineRule="exact" w:line="580"/>
        <w:ind w:end="-91"/>
        <w:rPr>
          <w:rFonts w:eastAsia="仿宋_GB2312" w:hint="eastAsia"/>
          <w:kern w:val="0"/>
          <w:sz w:val="32"/>
          <w:szCs w:val="32"/>
        </w:rPr>
      </w:pPr>
      <w:r>
        <w:rPr>
          <w:rFonts w:hint="eastAsia" w:eastAsia="仿宋_GB2312"/>
          <w:kern w:val="0"/>
          <w:sz w:val="32"/>
          <w:szCs w:val="32"/>
        </w:rPr>
        <w:t>　　本决定自公布之日起施行。</w:t>
      </w:r>
    </w:p>
    <w:p>
      <w:pPr>
        <w:pStyle w:val="Normal"/>
        <w:tabs>
          <w:tab w:val="clear" w:pos="420"/>
          <w:tab w:val="left" w:pos="8505" w:leader="none"/>
        </w:tabs>
        <w:spacing w:lineRule="exact" w:line="580"/>
        <w:ind w:end="-91"/>
        <w:rPr>
          <w:rFonts w:eastAsia="仿宋_GB2312"/>
          <w:kern w:val="0"/>
          <w:sz w:val="32"/>
          <w:szCs w:val="32"/>
        </w:rPr>
      </w:pPr>
      <w:r>
        <w:rPr>
          <w:rFonts w:hint="eastAsia" w:eastAsia="仿宋_GB2312"/>
          <w:kern w:val="0"/>
          <w:sz w:val="32"/>
          <w:szCs w:val="32"/>
        </w:rPr>
        <w:t>　　《广西壮族自治区实施〈中华人民共和国水法〉办法》《广西壮族自治区殡葬管理条例》《广西壮族自治区特种行业治安管理条例》《广西壮族自治区促进散装水泥发展和应用条例》根据本决定作相应修改，重新公布。</w:t>
      </w:r>
    </w:p>
    <w:p>
      <w:pPr>
        <w:pStyle w:val="Normal"/>
        <w:tabs>
          <w:tab w:val="clear" w:pos="420"/>
          <w:tab w:val="left" w:pos="8505" w:leader="none"/>
        </w:tabs>
        <w:spacing w:lineRule="exact" w:line="580"/>
        <w:ind w:end="-91"/>
        <w:rPr>
          <w:rFonts w:eastAsia="仿宋_GB2312" w:hint="eastAsia"/>
          <w:kern w:val="0"/>
          <w:sz w:val="32"/>
          <w:szCs w:val="32"/>
        </w:rPr>
      </w:pPr>
      <w:r>
        <w:rPr>
          <w:rFonts w:eastAsia="仿宋_GB2312" w:hint="eastAsia"/>
          <w:kern w:val="0"/>
          <w:sz w:val="32"/>
          <w:szCs w:val="32"/>
        </w:rPr>
      </w:r>
    </w:p>
    <w:sectPr>
      <w:headerReference w:type="even" r:id="rId2"/>
      <w:headerReference w:type="default" r:id="rId3"/>
      <w:footerReference w:type="even" r:id="rId4"/>
      <w:footerReference w:type="default" r:id="rId5"/>
      <w:type w:val="nextPage"/>
      <w:pgSz w:w="11906" w:h="16838"/>
      <w:pgMar w:left="1531" w:right="1531" w:gutter="0" w:header="851" w:top="2041" w:footer="992" w:bottom="1440"/>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宋体">
    <w:altName w:val="SimSun"/>
    <w:charset w:val="86"/>
    <w:family w:val="auto"/>
    <w:pitch w:val="variable"/>
  </w:font>
  <w:font w:name="Liberation Sans">
    <w:altName w:val="Arial"/>
    <w:charset w:val="01" w:characterSet="utf-8"/>
    <w:family w:val="swiss"/>
    <w:pitch w:val="variable"/>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r>
      <mc:AlternateContent>
        <mc:Choice Requires="wps">
          <w:drawing>
            <wp:anchor distT="0" distB="0" distL="0" distR="0" simplePos="0" relativeHeight="3" behindDoc="0" locked="0" layoutInCell="0" allowOverlap="1">
              <wp:simplePos x="0" y="0"/>
              <wp:positionH relativeFrom="page">
                <wp:posOffset>1219835</wp:posOffset>
              </wp:positionH>
              <wp:positionV relativeFrom="paragraph">
                <wp:posOffset>-85090</wp:posOffset>
              </wp:positionV>
              <wp:extent cx="89535" cy="204470"/>
              <wp:effectExtent l="0" t="0" r="0" b="0"/>
              <wp:wrapSquare wrapText="bothSides"/>
              <wp:docPr id="1" name="Frame1"/>
              <a:graphic xmlns:a="http://schemas.openxmlformats.org/drawingml/2006/main">
                <a:graphicData uri="http://schemas.microsoft.com/office/word/2010/wordprocessingShape">
                  <wps:wsp>
                    <wps:cNvSpPr txBox="1"/>
                    <wps:spPr>
                      <a:xfrm>
                        <a:off x="0" y="0"/>
                        <a:ext cx="89535" cy="204470"/>
                      </a:xfrm>
                      <a:prstGeom prst="rect"/>
                      <a:solidFill>
                        <a:srgbClr val="FFFFFF">
                          <a:alpha val="0"/>
                        </a:srgbClr>
                      </a:solidFill>
                    </wps:spPr>
                    <wps:txbx>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txbxContent>
                    </wps:txbx>
                    <wps:bodyPr anchor="t" lIns="0" tIns="0" rIns="0" bIns="0">
                      <a:noAutofit/>
                    </wps:bodyPr>
                  </wps:wsp>
                </a:graphicData>
              </a:graphic>
            </wp:anchor>
          </w:drawing>
        </mc:Choice>
        <mc:Fallback>
          <w:pict>
            <v:rect fillcolor="#FFFFFF" style="position:absolute;rotation:-0;width:7.05pt;height:16.1pt;mso-wrap-distance-left:0pt;mso-wrap-distance-right:0pt;mso-wrap-distance-top:0pt;mso-wrap-distance-bottom:0pt;margin-top:-6.7pt;mso-position-vertical-relative:text;margin-left:96.05pt;mso-position-horizontal-relative:page">
              <v:fill opacity="0f"/>
              <v:textbox inset="0in,0in,0in,0in">
                <w:txbxContent>
                  <w:p>
                    <w:pPr>
                      <w:pStyle w:val="Footer"/>
                      <w:rPr>
                        <w:rStyle w:val="PageNumbe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4</w:t>
                    </w:r>
                    <w:r>
                      <w:rPr>
                        <w:sz w:val="28"/>
                        <w:szCs w:val="28"/>
                      </w:rPr>
                      <w:fldChar w:fldCharType="end"/>
                    </w:r>
                  </w:p>
                </w:txbxContent>
              </v:textbox>
              <w10:wrap type="square"/>
            </v:rect>
          </w:pict>
        </mc:Fallback>
      </mc:AlternateContent>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end="360"/>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5</w:t>
    </w:r>
    <w:r>
      <w:rPr>
        <w:sz w:val="28"/>
        <w:szCs w:val="28"/>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
  </w:p>
</w:hdr>
</file>

<file path=word/settings.xml><?xml version="1.0" encoding="utf-8"?>
<w:settings xmlns:w="http://schemas.openxmlformats.org/wordprocessingml/2006/main">
  <w:zoom w:percent="75"/>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纯文本 Char"/>
    <w:qFormat/>
    <w:rPr>
      <w:rFonts w:ascii="宋体;SimSun" w:hAnsi="宋体;SimSun" w:cs="Courier New"/>
      <w:sz w:val="21"/>
      <w:szCs w:val="21"/>
    </w:rPr>
  </w:style>
  <w:style w:type="character" w:styleId="Char1">
    <w:name w:val="日期 Char"/>
    <w:qFormat/>
    <w:rPr>
      <w:rFonts w:eastAsia="仿宋_GB2312"/>
      <w:kern w:val="2"/>
      <w:sz w:val="32"/>
      <w:szCs w:val="24"/>
    </w:rPr>
  </w:style>
  <w:style w:type="character" w:styleId="Char2">
    <w:name w:val="批注框文本 Char"/>
    <w:qFormat/>
    <w:rPr>
      <w:kern w:val="2"/>
      <w:sz w:val="18"/>
      <w:szCs w:val="18"/>
    </w:rPr>
  </w:style>
  <w:style w:type="character" w:styleId="Char3">
    <w:name w:val="页脚 Char"/>
    <w:qFormat/>
    <w:rPr>
      <w:kern w:val="2"/>
      <w:sz w:val="18"/>
      <w:szCs w:val="18"/>
    </w:rPr>
  </w:style>
  <w:style w:type="character" w:styleId="Char4">
    <w:name w:val="页眉 Char"/>
    <w:qFormat/>
    <w:rPr>
      <w:kern w:val="2"/>
      <w:sz w:val="18"/>
      <w:szCs w:val="18"/>
    </w:rPr>
  </w:style>
  <w:style w:type="character" w:styleId="PageNumber">
    <w:name w:val="page number"/>
    <w:rPr/>
  </w:style>
  <w:style w:type="character" w:styleId="Style15">
    <w:name w:val="不明显参考"/>
    <w:qFormat/>
    <w:rPr>
      <w:smallCaps/>
      <w:color w:val="C0504D"/>
      <w:u w:val="single"/>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6">
    <w:name w:val="纯文本"/>
    <w:basedOn w:val="Normal"/>
    <w:qFormat/>
    <w:pPr/>
    <w:rPr>
      <w:rFonts w:ascii="宋体;SimSun" w:hAnsi="宋体;SimSun" w:cs="Courier New"/>
      <w:kern w:val="0"/>
      <w:szCs w:val="21"/>
      <w:lang w:val="en-US"/>
    </w:rPr>
  </w:style>
  <w:style w:type="paragraph" w:styleId="Style17">
    <w:name w:val="日期"/>
    <w:basedOn w:val="Normal"/>
    <w:next w:val="Normal"/>
    <w:qFormat/>
    <w:pPr>
      <w:ind w:firstLineChars="0" w:firstLine="0" w:startChars="2500" w:endChars="0" w:end="0"/>
    </w:pPr>
    <w:rPr>
      <w:rFonts w:eastAsia="仿宋_GB2312"/>
      <w:sz w:val="32"/>
      <w:lang w:val="en-US"/>
    </w:rPr>
  </w:style>
  <w:style w:type="paragraph" w:styleId="Style18">
    <w:name w:val="批注框文本"/>
    <w:basedOn w:val="Normal"/>
    <w:qFormat/>
    <w:pPr/>
    <w:rPr>
      <w:sz w:val="18"/>
      <w:szCs w:val="18"/>
      <w:lang w:val="en-U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lang w:val="en-US"/>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lang w:val="en-US"/>
    </w:rPr>
  </w:style>
  <w:style w:type="paragraph" w:styleId="Style19">
    <w:name w:val="普通(网站)"/>
    <w:basedOn w:val="Normal"/>
    <w:qFormat/>
    <w:pPr>
      <w:widowControl/>
      <w:spacing w:before="100" w:after="100"/>
      <w:jc w:val="start"/>
    </w:pPr>
    <w:rPr>
      <w:rFonts w:ascii="宋体;SimSun" w:hAnsi="宋体;SimSun" w:cs="宋体;SimSun"/>
      <w:kern w:val="0"/>
      <w:sz w:val="24"/>
    </w:rPr>
  </w:style>
  <w:style w:type="paragraph" w:styleId="CharCharCharCharCharCharChar">
    <w:name w:val="Char Char Char Char Char Char Char"/>
    <w:basedOn w:val="Normal"/>
    <w:qFormat/>
    <w:pPr>
      <w:widowControl/>
      <w:spacing w:lineRule="exact" w:line="240" w:before="0" w:after="160"/>
      <w:jc w:val="start"/>
    </w:pPr>
    <w:rPr>
      <w:szCs w:val="20"/>
    </w:rPr>
  </w:style>
  <w:style w:type="paragraph" w:styleId="CharChar2">
    <w:name w:val=" Char Char2"/>
    <w:basedOn w:val="Normal"/>
    <w:qFormat/>
    <w:pPr>
      <w:widowControl/>
      <w:spacing w:lineRule="exact" w:line="240" w:before="0" w:after="160"/>
      <w:jc w:val="start"/>
    </w:pPr>
    <w:rPr>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255</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2020-09-28T18:10:00Z</dcterms:created>
  <dc:creator>严露</dc:creator>
  <dc:description/>
  <cp:keywords/>
  <dc:language>en-US</dc:language>
  <cp:lastModifiedBy>汪钢</cp:lastModifiedBy>
  <cp:lastPrinted>2021-04-12T08:41:00Z</cp:lastPrinted>
  <dcterms:modified xsi:type="dcterms:W3CDTF">2021-06-15T09:34:00Z</dcterms:modified>
  <cp:revision>45</cp:revision>
  <dc:subject/>
  <dc:title>广西壮族自治区食品安全条例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1BBF4D888B1845D3BD05BEE9351DF0BD</vt:lpwstr>
  </property>
  <property fmtid="{D5CDD505-2E9C-101B-9397-08002B2CF9AE}" pid="3" name="KSOProductBuildVer">
    <vt:lpwstr>2052-11.1.0.10356</vt:lpwstr>
  </property>
</Properties>
</file>