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both"/>
        <w:textAlignment w:val="auto"/>
        <w:rPr>
          <w:rFonts w:ascii="宋体" w:hAnsi="宋体" w:eastAsia="宋体" w:cs="宋体" w:hint="eastAsia"/>
          <w:b w:val="false"/>
          <w:bCs w:val="false"/>
          <w:sz w:val="32"/>
          <w:szCs w:val="32"/>
          <w:highlight w:val="none"/>
          <w:u w:val="none"/>
          <w:shd w:fill="auto" w:val="clear"/>
        </w:rPr>
      </w:pPr>
      <w:r>
        <w:rPr>
          <w:rFonts w:eastAsia="宋体" w:cs="宋体" w:hint="eastAsia" w:ascii="宋体" w:hAnsi="宋体"/>
          <w:b w:val="false"/>
          <w:bCs w:val="false"/>
          <w:sz w:val="32"/>
          <w:szCs w:val="32"/>
          <w:u w:val="none"/>
          <w:shd w:fill="auto" w:val="clear"/>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both"/>
        <w:textAlignment w:val="auto"/>
        <w:rPr>
          <w:rFonts w:ascii="宋体" w:hAnsi="宋体" w:eastAsia="宋体" w:cs="宋体" w:hint="eastAsia"/>
          <w:b w:val="false"/>
          <w:bCs w:val="false"/>
          <w:sz w:val="32"/>
          <w:szCs w:val="32"/>
          <w:highlight w:val="none"/>
          <w:u w:val="none"/>
          <w:shd w:fill="auto" w:val="clear"/>
        </w:rPr>
      </w:pPr>
      <w:r>
        <w:rPr>
          <w:rFonts w:eastAsia="宋体" w:cs="宋体" w:hint="eastAsia" w:ascii="宋体" w:hAnsi="宋体"/>
          <w:b w:val="false"/>
          <w:bCs w:val="false"/>
          <w:sz w:val="32"/>
          <w:szCs w:val="32"/>
          <w:u w:val="none"/>
          <w:shd w:fill="auto" w:val="clear"/>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b w:val="false"/>
          <w:bCs w:val="false"/>
          <w:sz w:val="44"/>
          <w:szCs w:val="44"/>
          <w:highlight w:val="none"/>
          <w:u w:val="none"/>
          <w:shd w:fill="auto" w:val="clear"/>
        </w:rPr>
      </w:pPr>
      <w:r>
        <w:rPr>
          <w:rFonts w:ascii="宋体" w:hAnsi="宋体" w:cs="宋体" w:hint="eastAsia"/>
          <w:b w:val="false"/>
          <w:bCs w:val="false"/>
          <w:sz w:val="44"/>
          <w:szCs w:val="44"/>
          <w:u w:val="none"/>
          <w:shd w:fill="auto" w:val="clear"/>
        </w:rPr>
        <w:t>江西省实施河长制湖长制条例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 w:hAnsi="仿宋" w:eastAsia="仿宋" w:cs="仿宋" w:hint="eastAsia"/>
          <w:b w:val="false"/>
          <w:bCs w:val="false"/>
          <w:sz w:val="32"/>
          <w:szCs w:val="32"/>
          <w:highlight w:val="none"/>
          <w:u w:val="none"/>
          <w:shd w:fill="auto" w:val="clear"/>
        </w:rPr>
      </w:pPr>
      <w:r>
        <w:rPr>
          <w:rFonts w:eastAsia="仿宋" w:cs="仿宋" w:hint="eastAsia" w:ascii="仿宋" w:hAnsi="仿宋"/>
          <w:b w:val="false"/>
          <w:bCs w:val="false"/>
          <w:sz w:val="32"/>
          <w:szCs w:val="32"/>
          <w:u w:val="none"/>
          <w:shd w:fill="auto" w:val="clear"/>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楷体" w:hAnsi="楷体" w:eastAsia="楷体" w:cs="楷体" w:hint="eastAsia"/>
          <w:b w:val="false"/>
          <w:bCs w:val="false"/>
          <w:sz w:val="32"/>
          <w:szCs w:val="32"/>
          <w:highlight w:val="none"/>
          <w:u w:val="none"/>
          <w:shd w:fill="auto" w:val="clear"/>
        </w:rPr>
      </w:pPr>
      <w:r>
        <w:rPr>
          <w:rFonts w:ascii="楷体" w:hAnsi="楷体" w:cs="楷体" w:hint="eastAsia" w:eastAsia="楷体"/>
          <w:b w:val="false"/>
          <w:bCs w:val="false"/>
          <w:sz w:val="32"/>
          <w:szCs w:val="32"/>
          <w:u w:val="none"/>
          <w:shd w:fill="auto" w:val="clear"/>
        </w:rPr>
        <w:t>（</w:t>
      </w:r>
      <w:r>
        <w:rPr>
          <w:rFonts w:eastAsia="楷体" w:cs="楷体" w:hint="eastAsia" w:ascii="楷体" w:hAnsi="楷体"/>
          <w:b w:val="false"/>
          <w:bCs w:val="false"/>
          <w:sz w:val="32"/>
          <w:szCs w:val="32"/>
          <w:u w:val="none"/>
          <w:shd w:fill="auto" w:val="clear"/>
        </w:rPr>
        <w:t>2018</w:t>
      </w:r>
      <w:r>
        <w:rPr>
          <w:rFonts w:ascii="楷体" w:hAnsi="楷体" w:cs="楷体" w:hint="eastAsia" w:eastAsia="楷体"/>
          <w:b w:val="false"/>
          <w:bCs w:val="false"/>
          <w:sz w:val="32"/>
          <w:szCs w:val="32"/>
          <w:u w:val="none"/>
          <w:shd w:fill="auto" w:val="clear"/>
        </w:rPr>
        <w:t>年</w:t>
      </w:r>
      <w:r>
        <w:rPr>
          <w:rFonts w:eastAsia="楷体" w:cs="楷体" w:hint="eastAsia" w:ascii="楷体" w:hAnsi="楷体"/>
          <w:b w:val="false"/>
          <w:bCs w:val="false"/>
          <w:sz w:val="32"/>
          <w:szCs w:val="32"/>
          <w:u w:val="none"/>
          <w:shd w:fill="auto" w:val="clear"/>
        </w:rPr>
        <w:t>11</w:t>
      </w:r>
      <w:r>
        <w:rPr>
          <w:rFonts w:ascii="楷体" w:hAnsi="楷体" w:cs="楷体" w:hint="eastAsia" w:eastAsia="楷体"/>
          <w:b w:val="false"/>
          <w:bCs w:val="false"/>
          <w:sz w:val="32"/>
          <w:szCs w:val="32"/>
          <w:u w:val="none"/>
          <w:shd w:fill="auto" w:val="clear"/>
        </w:rPr>
        <w:t>月</w:t>
      </w:r>
      <w:r>
        <w:rPr>
          <w:rFonts w:eastAsia="楷体" w:cs="楷体" w:hint="eastAsia" w:ascii="楷体" w:hAnsi="楷体"/>
          <w:b w:val="false"/>
          <w:bCs w:val="false"/>
          <w:sz w:val="32"/>
          <w:szCs w:val="32"/>
          <w:u w:val="none"/>
          <w:shd w:fill="auto" w:val="clear"/>
        </w:rPr>
        <w:t>29</w:t>
      </w:r>
      <w:r>
        <w:rPr>
          <w:rFonts w:ascii="楷体" w:hAnsi="楷体" w:cs="楷体" w:hint="eastAsia" w:eastAsia="楷体"/>
          <w:b w:val="false"/>
          <w:bCs w:val="false"/>
          <w:sz w:val="32"/>
          <w:szCs w:val="32"/>
          <w:u w:val="none"/>
          <w:shd w:fill="auto" w:val="clear"/>
        </w:rPr>
        <w:t>日江西省第十三届人民代表大会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both"/>
        <w:textAlignment w:val="auto"/>
        <w:rPr>
          <w:rFonts w:ascii="楷体" w:hAnsi="楷体" w:eastAsia="楷体" w:cs="楷体" w:hint="eastAsia"/>
          <w:b w:val="false"/>
          <w:bCs w:val="false"/>
          <w:sz w:val="32"/>
          <w:szCs w:val="32"/>
          <w:highlight w:val="none"/>
          <w:u w:val="none"/>
          <w:shd w:fill="auto" w:val="clear"/>
        </w:rPr>
      </w:pPr>
      <w:r>
        <w:rPr>
          <w:rFonts w:eastAsia="楷体" w:cs="楷体" w:hint="eastAsia" w:ascii="楷体" w:hAnsi="楷体"/>
          <w:b w:val="false"/>
          <w:bCs w:val="false"/>
          <w:sz w:val="32"/>
          <w:szCs w:val="32"/>
          <w:u w:val="none"/>
          <w:shd w:fill="auto" w:val="clear"/>
        </w:rPr>
        <w:t xml:space="preserve">       </w:t>
      </w:r>
      <w:r>
        <w:rPr>
          <w:rFonts w:ascii="楷体" w:hAnsi="楷体" w:cs="楷体" w:hint="eastAsia" w:eastAsia="楷体"/>
          <w:b w:val="false"/>
          <w:bCs w:val="false"/>
          <w:sz w:val="32"/>
          <w:szCs w:val="32"/>
          <w:u w:val="none"/>
          <w:shd w:fill="auto" w:val="clear"/>
        </w:rPr>
        <w:t>常务委员会第九次会议通过）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b w:val="false"/>
          <w:bCs w:val="false"/>
          <w:sz w:val="32"/>
          <w:szCs w:val="32"/>
          <w:highlight w:val="none"/>
          <w:u w:val="none"/>
          <w:shd w:fill="auto" w:val="clear"/>
        </w:rPr>
      </w:pPr>
      <w:r>
        <w:rPr>
          <w:rFonts w:eastAsia="宋体" w:cs="宋体" w:hint="eastAsia" w:ascii="宋体" w:hAnsi="宋体"/>
          <w:b w:val="false"/>
          <w:bCs w:val="false"/>
          <w:sz w:val="32"/>
          <w:szCs w:val="32"/>
          <w:u w:val="none"/>
          <w:shd w:fill="auto" w:val="clear"/>
        </w:rPr>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bCs/>
          <w:color w:val="000000"/>
          <w:sz w:val="32"/>
          <w:szCs w:val="32"/>
        </w:rPr>
        <w:t xml:space="preserve">    </w:t>
      </w:r>
      <w:r>
        <w:rPr>
          <w:rFonts w:ascii="黑体" w:hAnsi="黑体" w:cs="黑体" w:hint="eastAsia" w:eastAsia="黑体"/>
          <w:bCs/>
          <w:color w:val="000000"/>
          <w:sz w:val="32"/>
          <w:szCs w:val="32"/>
        </w:rPr>
        <w:t>第一条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为了实施河长制湖长制，推进生态文明建设，根据《中华人民共和国水污染防治法》等法律、行政法规和国家有关规定，结合本省实际，制定本条例。</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第二条</w:t>
      </w:r>
      <w:r>
        <w:rPr>
          <w:rFonts w:ascii="仿宋" w:hAnsi="仿宋" w:cs="仿宋" w:hint="eastAsia" w:eastAsia="仿宋"/>
          <w:bCs/>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在本省行政区域内实施河长制湖长制适用本条例。</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bCs/>
          <w:color w:val="000000"/>
          <w:sz w:val="32"/>
          <w:szCs w:val="32"/>
        </w:rPr>
        <w:t>第三条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本条例所称河长制湖长制，是指在江河水域设立河长、湖泊水域设立湖长，由河长、湖长对其责任水域的水资源保护、水域岸线管理、水污染防治和水环境治理等工作予以监督和协调，督促或者建议政府及相关部门履行法定职责，解决突出问题的机制。</w:t>
      </w:r>
    </w:p>
    <w:p>
      <w:pPr>
        <w:pStyle w:val="Normal"/>
        <w:widowControl/>
        <w:shd w:fill="FFFFFF" w:val="clear"/>
        <w:snapToGrid w:val="false"/>
        <w:spacing w:lineRule="exact" w:line="560"/>
        <w:ind w:firstLine="645" w:end="0"/>
        <w:rPr>
          <w:rFonts w:ascii="仿宋" w:hAnsi="仿宋" w:eastAsia="仿宋" w:cs="仿宋" w:hint="eastAsia"/>
          <w:color w:val="000000"/>
          <w:sz w:val="32"/>
          <w:szCs w:val="32"/>
          <w:highlight w:val="none"/>
          <w:shd w:fill="auto" w:val="clear"/>
        </w:rPr>
      </w:pPr>
      <w:r>
        <w:rPr>
          <w:rFonts w:ascii="仿宋" w:hAnsi="仿宋" w:cs="仿宋" w:hint="eastAsia" w:eastAsia="仿宋"/>
          <w:color w:val="000000"/>
          <w:sz w:val="32"/>
          <w:szCs w:val="32"/>
          <w:shd w:fill="auto" w:val="clear"/>
        </w:rPr>
        <w:t>本条例所称水域，包括江河、湖泊、水库以及水渠、水塘等水体及岸线。</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bCs/>
          <w:color w:val="000000"/>
          <w:sz w:val="32"/>
          <w:szCs w:val="32"/>
        </w:rPr>
        <w:t>第四条</w:t>
      </w:r>
      <w:r>
        <w:rPr>
          <w:rFonts w:ascii="仿宋" w:hAnsi="仿宋" w:cs="仿宋" w:hint="eastAsia" w:eastAsia="仿宋"/>
          <w:bCs/>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建立流域统一管理与区域分级管理相结合的河长制组织体系。</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按照行政区域设立省级、市级、县级、乡级总河长、副总河长。</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按照流域设立河流河长。跨省和跨设区的市重要的河流设立省级河长。各河流所在设区的市、县（市、区）、乡（镇、街道）、村（居委会）分级分段设立河长。</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建立区域分级管理的湖长制组织体系。</w:t>
      </w:r>
    </w:p>
    <w:p>
      <w:pPr>
        <w:pStyle w:val="Normal"/>
        <w:widowControl/>
        <w:shd w:fill="FFFFFF" w:val="clear"/>
        <w:snapToGrid w:val="false"/>
        <w:spacing w:lineRule="exact" w:line="560"/>
        <w:ind w:firstLine="645" w:end="0"/>
        <w:rPr>
          <w:rFonts w:ascii="仿宋" w:hAnsi="仿宋" w:eastAsia="仿宋" w:cs="仿宋" w:hint="eastAsia"/>
          <w:color w:val="000000"/>
          <w:sz w:val="32"/>
          <w:szCs w:val="32"/>
          <w:highlight w:val="none"/>
          <w:shd w:fill="auto" w:val="clear"/>
        </w:rPr>
      </w:pPr>
      <w:r>
        <w:rPr>
          <w:rFonts w:ascii="仿宋" w:hAnsi="仿宋" w:cs="仿宋" w:hint="eastAsia" w:eastAsia="仿宋"/>
          <w:color w:val="000000"/>
          <w:sz w:val="32"/>
          <w:szCs w:val="32"/>
        </w:rPr>
        <w:t>按照行政区域设立省级、市级、县级、乡级总湖长、副总湖长，由</w:t>
      </w:r>
      <w:r>
        <w:rPr>
          <w:rFonts w:ascii="仿宋" w:hAnsi="仿宋" w:cs="仿宋" w:hint="eastAsia" w:eastAsia="仿宋"/>
          <w:color w:val="000000"/>
          <w:sz w:val="32"/>
          <w:szCs w:val="32"/>
          <w:shd w:fill="auto" w:val="clear"/>
        </w:rPr>
        <w:t>同</w:t>
      </w:r>
      <w:r>
        <w:rPr>
          <w:rFonts w:ascii="仿宋" w:hAnsi="仿宋" w:cs="仿宋" w:hint="eastAsia" w:eastAsia="仿宋"/>
          <w:color w:val="000000"/>
          <w:sz w:val="32"/>
          <w:szCs w:val="32"/>
        </w:rPr>
        <w:t>级总河长、副总河长兼任。跨省和跨设区的市重要的湖泊设立省级湖长。各湖泊所在设区的市、县（市、区）、乡（镇、街道）、村（居委会）</w:t>
      </w:r>
      <w:r>
        <w:rPr>
          <w:rFonts w:ascii="仿宋" w:hAnsi="仿宋" w:cs="仿宋" w:hint="eastAsia" w:eastAsia="仿宋"/>
          <w:color w:val="000000"/>
          <w:sz w:val="32"/>
          <w:szCs w:val="32"/>
          <w:shd w:fill="auto" w:val="clear"/>
        </w:rPr>
        <w:t>分级分区设立湖长。</w:t>
      </w:r>
    </w:p>
    <w:p>
      <w:pPr>
        <w:pStyle w:val="Normal"/>
        <w:shd w:fill="FFFFFF" w:val="clear"/>
        <w:spacing w:lineRule="exact" w:line="560"/>
        <w:ind w:firstLine="645" w:end="0"/>
        <w:rPr>
          <w:rFonts w:ascii="仿宋" w:hAnsi="仿宋" w:eastAsia="仿宋" w:cs="仿宋" w:hint="eastAsia"/>
          <w:sz w:val="32"/>
          <w:szCs w:val="32"/>
          <w:highlight w:val="none"/>
          <w:shd w:fill="auto" w:val="clear"/>
        </w:rPr>
      </w:pPr>
      <w:r>
        <w:rPr>
          <w:rFonts w:ascii="黑体" w:hAnsi="黑体" w:cs="黑体" w:hint="eastAsia" w:eastAsia="黑体"/>
          <w:bCs/>
          <w:sz w:val="32"/>
          <w:szCs w:val="32"/>
          <w:shd w:fill="auto" w:val="clear"/>
        </w:rPr>
        <w:t>第六条</w:t>
      </w:r>
      <w:r>
        <w:rPr>
          <w:rFonts w:ascii="仿宋" w:hAnsi="仿宋" w:cs="仿宋" w:hint="eastAsia" w:eastAsia="仿宋"/>
          <w:b/>
          <w:sz w:val="32"/>
          <w:szCs w:val="32"/>
          <w:shd w:fill="auto" w:val="clear"/>
        </w:rPr>
        <w:t xml:space="preserve">  </w:t>
      </w:r>
      <w:r>
        <w:rPr>
          <w:rFonts w:ascii="仿宋" w:hAnsi="仿宋" w:cs="仿宋" w:hint="eastAsia" w:eastAsia="仿宋"/>
          <w:sz w:val="32"/>
          <w:szCs w:val="32"/>
          <w:shd w:fill="auto" w:val="clear"/>
        </w:rPr>
        <w:t>河长、湖长的具体设立和调整，按照国家和本省有关规定执行。</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黑体" w:hAnsi="黑体" w:cs="黑体" w:hint="eastAsia" w:eastAsia="黑体"/>
          <w:bCs/>
          <w:color w:val="000000"/>
          <w:sz w:val="32"/>
          <w:szCs w:val="32"/>
          <w:shd w:fill="auto" w:val="clear"/>
        </w:rPr>
        <w:t>第七条</w:t>
      </w:r>
      <w:r>
        <w:rPr>
          <w:rFonts w:ascii="仿宋" w:hAnsi="仿宋" w:cs="仿宋" w:hint="eastAsia" w:eastAsia="仿宋"/>
          <w:b/>
          <w:color w:val="000000"/>
          <w:sz w:val="32"/>
          <w:szCs w:val="32"/>
          <w:shd w:fill="auto" w:val="clear"/>
        </w:rPr>
        <w:t xml:space="preserve">  </w:t>
      </w:r>
      <w:r>
        <w:rPr>
          <w:rFonts w:ascii="仿宋" w:hAnsi="仿宋" w:cs="仿宋" w:hint="eastAsia" w:eastAsia="仿宋"/>
          <w:color w:val="000000"/>
          <w:sz w:val="32"/>
          <w:szCs w:val="32"/>
          <w:shd w:fill="auto" w:val="clear"/>
        </w:rPr>
        <w:t>县级以上总河长、副总河长、总湖长、副总湖长负责本行政区域内河长制湖长制工作的总督导、总调度，组织研究</w:t>
      </w:r>
      <w:r>
        <w:rPr>
          <w:rFonts w:ascii="仿宋" w:hAnsi="仿宋" w:cs="仿宋" w:hint="eastAsia" w:eastAsia="仿宋"/>
          <w:color w:val="000000"/>
          <w:sz w:val="32"/>
          <w:szCs w:val="32"/>
        </w:rPr>
        <w:t>本行政区域内河长制湖长制的重大决策部署、重要规划和重要制度，协调解决河湖管理、保护和治理的重大问题，统筹推进河湖流域生态综合治理，督促河长、湖长、政府有关部门履行河湖管理、保护和治理职责。</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乡级总河长、</w:t>
      </w:r>
      <w:r>
        <w:rPr>
          <w:rFonts w:ascii="仿宋" w:hAnsi="仿宋" w:cs="仿宋" w:hint="eastAsia" w:eastAsia="仿宋"/>
          <w:color w:val="000000"/>
          <w:sz w:val="32"/>
          <w:szCs w:val="32"/>
          <w:shd w:fill="auto" w:val="clear"/>
        </w:rPr>
        <w:t>副总河长、总湖长、副总湖长</w:t>
      </w:r>
      <w:r>
        <w:rPr>
          <w:rFonts w:ascii="仿宋" w:hAnsi="仿宋" w:cs="仿宋" w:hint="eastAsia" w:eastAsia="仿宋"/>
          <w:color w:val="000000"/>
          <w:sz w:val="32"/>
          <w:szCs w:val="32"/>
        </w:rPr>
        <w:t>履行本行政区域内河长制湖长制工作的督导、调度职责，督促实施河湖管理工作任务，协调解决河湖管理、保护和治理相关问题。</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市、县、乡级总河长、副总河长、总湖长、副总湖长兼任责任水域河长、湖长的，还应当履行河长、湖长的相关职责。</w:t>
      </w:r>
    </w:p>
    <w:p>
      <w:pPr>
        <w:pStyle w:val="Normal"/>
        <w:widowControl/>
        <w:shd w:fill="FFFFFF" w:val="clear"/>
        <w:snapToGrid w:val="false"/>
        <w:spacing w:lineRule="exact" w:line="560"/>
        <w:ind w:firstLine="630" w:end="0"/>
        <w:rPr>
          <w:rFonts w:ascii="仿宋" w:hAnsi="仿宋" w:eastAsia="仿宋" w:cs="仿宋" w:hint="eastAsia"/>
          <w:dstrike/>
          <w:color w:val="000000"/>
          <w:sz w:val="32"/>
          <w:szCs w:val="32"/>
        </w:rPr>
      </w:pPr>
      <w:r>
        <w:rPr>
          <w:rFonts w:ascii="黑体" w:hAnsi="黑体" w:cs="黑体" w:hint="eastAsia" w:eastAsia="黑体"/>
          <w:color w:val="000000"/>
          <w:sz w:val="32"/>
          <w:szCs w:val="32"/>
        </w:rPr>
        <w:t xml:space="preserve">第八条 </w:t>
      </w:r>
      <w:r>
        <w:rPr>
          <w:rFonts w:ascii="仿宋" w:hAnsi="仿宋" w:cs="仿宋" w:hint="eastAsia" w:eastAsia="仿宋"/>
          <w:color w:val="000000"/>
          <w:sz w:val="32"/>
          <w:szCs w:val="32"/>
        </w:rPr>
        <w:t xml:space="preserve"> 省级河长、湖长履行下列主要职责：</w:t>
      </w:r>
    </w:p>
    <w:p>
      <w:pPr>
        <w:pStyle w:val="Normal"/>
        <w:widowControl/>
        <w:shd w:fill="FFFFFF" w:val="clear"/>
        <w:snapToGrid w:val="false"/>
        <w:spacing w:lineRule="exact" w:line="560"/>
        <w:rPr>
          <w:rFonts w:ascii="仿宋" w:hAnsi="仿宋" w:eastAsia="仿宋" w:cs="仿宋" w:hint="eastAsia"/>
          <w:color w:val="000000"/>
          <w:sz w:val="32"/>
          <w:szCs w:val="32"/>
          <w:highlight w:val="none"/>
          <w:shd w:fill="auto" w:val="clear"/>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（一）组织领导</w:t>
      </w:r>
      <w:r>
        <w:rPr>
          <w:rFonts w:ascii="仿宋" w:hAnsi="仿宋" w:cs="仿宋" w:hint="eastAsia" w:eastAsia="仿宋"/>
          <w:color w:val="000000"/>
          <w:sz w:val="32"/>
          <w:szCs w:val="32"/>
          <w:shd w:fill="auto" w:val="clear"/>
        </w:rPr>
        <w:t>责任水域的管理保护工作；</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shd w:fill="auto" w:val="clear"/>
        </w:rPr>
        <w:t xml:space="preserve">   </w:t>
      </w:r>
      <w:r>
        <w:rPr>
          <w:rFonts w:ascii="仿宋" w:hAnsi="仿宋" w:cs="仿宋" w:hint="eastAsia" w:eastAsia="仿宋"/>
          <w:color w:val="000000"/>
          <w:sz w:val="32"/>
          <w:szCs w:val="32"/>
          <w:shd w:fill="auto" w:val="clear"/>
        </w:rPr>
        <w:t>（二）协调和督促下级人民政府和相关部门解决责任水域</w:t>
      </w:r>
      <w:r>
        <w:rPr>
          <w:rFonts w:ascii="仿宋" w:hAnsi="仿宋" w:cs="仿宋" w:hint="eastAsia" w:eastAsia="仿宋"/>
          <w:color w:val="000000"/>
          <w:sz w:val="32"/>
          <w:szCs w:val="32"/>
        </w:rPr>
        <w:t xml:space="preserve">管理、保护和治理的重大问题；                                                                                                                                                                                                                                                                                                                                                                                                                                                                                                                                                                                                                                                                                                                                                                                                                                                                                                                                                                                                                                                                                                                                                                                                                                                                                                                                                                                                                                                                                                                                                                                                                                                                                                                                                                                                                                                                                                                                                                                                                                               </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（三）组织开展巡河巡湖工作；</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（四）推动建立区域间协调联动机制，协调上下游、左右岸实行联防联控。</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市、县级河长、湖长履行下列主要职责：</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（一）协调解决责任水域管理、保护和治理的重大问题；</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（二）部署开展责任水域的专项治理工作；</w:t>
      </w:r>
    </w:p>
    <w:p>
      <w:pPr>
        <w:pStyle w:val="Normal"/>
        <w:widowControl/>
        <w:shd w:fill="FFFFFF" w:val="clear"/>
        <w:snapToGrid w:val="false"/>
        <w:spacing w:lineRule="exact" w:line="560"/>
        <w:rPr>
          <w:rFonts w:ascii="仿宋" w:hAnsi="仿宋" w:eastAsia="仿宋" w:cs="仿宋" w:hint="eastAsia"/>
          <w:dstrike/>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（三）组织开展巡河巡湖工作；</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（四）推动建立部门联动机制，督促下级人民政府和相关部门处理和解决责任水域出现的问题，依法查处相关违法行为；</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（五）完成上级河长、湖长交办的工作事项。</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乡级河长、湖长履行下列主要职责：</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（一）协调和督促责任水域管理、保护和治理具体工作任务的实施，对责任水域进行巡查，及时处理发现的问题；</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（二）对超出职责范围无权处理的问题，履行报告职责；</w:t>
      </w:r>
    </w:p>
    <w:p>
      <w:pPr>
        <w:pStyle w:val="Normal"/>
        <w:widowControl/>
        <w:shd w:fill="FFFFFF" w:val="clear"/>
        <w:snapToGrid w:val="false"/>
        <w:spacing w:lineRule="exact" w:line="560"/>
        <w:rPr>
          <w:rFonts w:ascii="仿宋" w:hAnsi="仿宋" w:eastAsia="仿宋" w:cs="仿宋" w:hint="eastAsia"/>
          <w:dstrike/>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（三）对村级河长、湖长工作进行监督指导；</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（四）完成上级河长、湖长交办的工作事项。</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黑体" w:hAnsi="黑体" w:cs="黑体" w:hint="eastAsia" w:eastAsia="黑体"/>
          <w:bCs/>
          <w:color w:val="000000"/>
          <w:sz w:val="32"/>
          <w:szCs w:val="32"/>
        </w:rPr>
        <w:t>第十一条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村级河长、湖长履行下列主要职责：</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（一）开展责任水域的巡查，劝阻相关违法行为，对劝阻无效的，履行报告职责；</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（二）督促落实责任水域日常保洁和堤岸日常维养等工作任务；</w:t>
      </w:r>
    </w:p>
    <w:p>
      <w:pPr>
        <w:pStyle w:val="Normal"/>
        <w:widowControl/>
        <w:shd w:fill="FFFFFF" w:val="clear"/>
        <w:snapToGrid w:val="false"/>
        <w:spacing w:lineRule="exact" w:line="560"/>
        <w:rPr>
          <w:rFonts w:ascii="仿宋" w:hAnsi="仿宋" w:eastAsia="仿宋" w:cs="仿宋" w:hint="eastAsia"/>
          <w:dstrike/>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（三）完成上级河长、湖长交办的工作事项。</w:t>
      </w:r>
    </w:p>
    <w:p>
      <w:pPr>
        <w:pStyle w:val="Normal"/>
        <w:widowControl/>
        <w:shd w:fill="FFFFFF" w:val="clear"/>
        <w:snapToGrid w:val="false"/>
        <w:spacing w:lineRule="exact" w:line="560"/>
        <w:ind w:firstLine="650" w:end="0"/>
        <w:rPr>
          <w:rFonts w:ascii="仿宋" w:hAnsi="仿宋" w:eastAsia="仿宋" w:cs="仿宋" w:hint="eastAsia"/>
          <w:color w:val="000000"/>
          <w:sz w:val="32"/>
          <w:szCs w:val="32"/>
        </w:rPr>
      </w:pPr>
      <w:r>
        <w:rPr>
          <w:rFonts w:ascii="黑体" w:hAnsi="黑体" w:cs="黑体" w:hint="eastAsia" w:eastAsia="黑体"/>
          <w:bCs/>
          <w:color w:val="000000"/>
          <w:sz w:val="32"/>
          <w:szCs w:val="32"/>
        </w:rPr>
        <w:t>第十二条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县级以上河长、湖长应当定期组织开展巡河巡湖工作。省级河长、湖长每年带队巡河巡湖不少于一次，市级河长、湖长每半年带队巡河巡湖不少于一次，县级河长、湖长每季度带队巡河巡湖不少于一次。</w:t>
      </w:r>
    </w:p>
    <w:p>
      <w:pPr>
        <w:pStyle w:val="Normal"/>
        <w:widowControl/>
        <w:shd w:fill="FFFFFF" w:val="clear"/>
        <w:snapToGrid w:val="false"/>
        <w:spacing w:lineRule="exact" w:line="560"/>
        <w:ind w:firstLine="650" w:end="0"/>
        <w:rPr>
          <w:rFonts w:ascii="仿宋" w:hAnsi="仿宋" w:eastAsia="仿宋" w:cs="仿宋" w:hint="eastAsia"/>
          <w:color w:val="000000"/>
          <w:sz w:val="32"/>
          <w:szCs w:val="32"/>
        </w:rPr>
      </w:pPr>
      <w:r>
        <w:rPr>
          <w:rFonts w:ascii="仿宋" w:hAnsi="仿宋" w:cs="仿宋" w:hint="eastAsia" w:eastAsia="仿宋"/>
          <w:color w:val="000000"/>
          <w:sz w:val="32"/>
          <w:szCs w:val="32"/>
        </w:rPr>
        <w:t>乡级河长、湖长每月巡河巡湖不少于一次，村级河长、湖长每周巡河巡湖不少于一次。</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县级以上河长、湖长应当组织巡查下列事项：</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（一）水资源保护，重点是水资源开发利用控制、用水效率控制、水功能区限制纳污制度是否得到落实；</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（二）河湖岸线管理保护，重点是是否存在侵占河道、围垦湖泊、侵占河湖和湿地，非法采砂、非法养殖、非法捕捞，违法占用水域、违法建设、违反规定占用河湖岸线，破坏河湖岸线生态功能的问题；</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（三）水污染防治，重点是排查入河湖污染源，工矿企业生产、城镇生活、畜禽养殖、水产养殖、船舶港口作业、农业生产等是否非法排污，污染水体；</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（四）水环境治理，重点是是否按照水功能区确定的各类水体的水质保护目标对水环境进行治理；</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（五）水生态修复，重点是是否在规划的基础上实施退田还湖、退田还湿、退渔还湖、恢复河湖水系的自然连通，是否进行水生生物资源养护、保护水生生物多样性，是否开展水土流失防治、维护河湖生态环境；</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六）执法监管，重点是是否建立健全部门联合执法机制，建立河湖日常监管巡查制度，实行河湖动态监管，落实执法监管责任主体、人员、设备和经费以及打击涉河湖违法行为，治理非法排污、设障、捕捞、养殖、采砂、采矿、围垦、运输、侵占岸线等活动的情况。</w:t>
      </w:r>
    </w:p>
    <w:p>
      <w:pPr>
        <w:pStyle w:val="Normal"/>
        <w:widowControl/>
        <w:shd w:fill="FFFFFF" w:val="clear"/>
        <w:snapToGrid w:val="false"/>
        <w:spacing w:lineRule="exact" w:line="560"/>
        <w:ind w:firstLine="640" w:end="0"/>
        <w:rPr>
          <w:rFonts w:ascii="仿宋" w:hAnsi="仿宋" w:eastAsia="仿宋" w:cs="仿宋" w:hint="eastAsia"/>
          <w:color w:val="000000"/>
          <w:sz w:val="32"/>
          <w:szCs w:val="32"/>
          <w:highlight w:val="none"/>
          <w:shd w:fill="auto" w:val="clear"/>
        </w:rPr>
      </w:pPr>
      <w:r>
        <w:rPr>
          <w:rFonts w:ascii="仿宋" w:hAnsi="仿宋" w:cs="仿宋" w:hint="eastAsia" w:eastAsia="仿宋"/>
          <w:color w:val="000000"/>
          <w:sz w:val="32"/>
          <w:szCs w:val="32"/>
        </w:rPr>
        <w:t>县级以上湖长除了应当组织巡查前款事项外，还应当组织巡查是否按照法律、法规规定，根据湖泊保护规划，</w:t>
      </w:r>
      <w:r>
        <w:rPr>
          <w:rFonts w:ascii="仿宋" w:hAnsi="仿宋" w:cs="仿宋" w:hint="eastAsia" w:eastAsia="仿宋"/>
          <w:color w:val="000000"/>
          <w:sz w:val="32"/>
          <w:szCs w:val="32"/>
          <w:shd w:fill="auto" w:val="clear"/>
        </w:rPr>
        <w:t>划定湖泊的管理范围和保护范围，控制湖泊的开发利用行为，实施湖泊水域空间管控。</w:t>
      </w:r>
    </w:p>
    <w:p>
      <w:pPr>
        <w:pStyle w:val="Normal"/>
        <w:widowControl/>
        <w:shd w:fill="FFFFFF" w:val="clear"/>
        <w:snapToGrid w:val="false"/>
        <w:spacing w:lineRule="exact" w:line="560"/>
        <w:ind w:firstLine="420" w:end="0"/>
        <w:rPr>
          <w:rFonts w:ascii="仿宋" w:hAnsi="仿宋" w:eastAsia="仿宋" w:cs="仿宋" w:hint="eastAsia"/>
          <w:bCs/>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w:t>
      </w:r>
      <w:r>
        <w:rPr>
          <w:rFonts w:ascii="仿宋" w:hAnsi="仿宋" w:cs="仿宋" w:hint="eastAsia" w:eastAsia="仿宋"/>
          <w:bCs/>
          <w:color w:val="000000"/>
          <w:sz w:val="32"/>
          <w:szCs w:val="32"/>
        </w:rPr>
        <w:t>对通过巡查或者其他途径发现的问题，县级以上河长、湖长应当按照下列规定处理：</w:t>
      </w:r>
    </w:p>
    <w:p>
      <w:pPr>
        <w:pStyle w:val="Normal"/>
        <w:widowControl/>
        <w:shd w:fill="FFFFFF" w:val="clear"/>
        <w:snapToGrid w:val="false"/>
        <w:spacing w:lineRule="exact" w:line="560"/>
        <w:rPr>
          <w:rFonts w:ascii="仿宋" w:hAnsi="仿宋" w:eastAsia="仿宋" w:cs="仿宋" w:hint="eastAsia"/>
          <w:bCs/>
          <w:color w:val="000000"/>
          <w:sz w:val="32"/>
          <w:szCs w:val="32"/>
        </w:rPr>
      </w:pPr>
      <w:r>
        <w:rPr>
          <w:rFonts w:eastAsia="仿宋" w:cs="仿宋" w:hint="eastAsia" w:ascii="仿宋" w:hAnsi="仿宋"/>
          <w:bCs/>
          <w:color w:val="000000"/>
          <w:sz w:val="32"/>
          <w:szCs w:val="32"/>
        </w:rPr>
        <w:t xml:space="preserve">   </w:t>
      </w:r>
      <w:r>
        <w:rPr>
          <w:rFonts w:ascii="仿宋" w:hAnsi="仿宋" w:cs="仿宋" w:hint="eastAsia" w:eastAsia="仿宋"/>
          <w:bCs/>
          <w:color w:val="000000"/>
          <w:sz w:val="32"/>
          <w:szCs w:val="32"/>
        </w:rPr>
        <w:t>（一）属于自身职责范围或者应当由本级人民政府相关部门处理的，应当及时处理或者组织协调和督促有关部门按照职责分工予以处理；</w:t>
      </w:r>
    </w:p>
    <w:p>
      <w:pPr>
        <w:pStyle w:val="Normal"/>
        <w:widowControl/>
        <w:shd w:fill="FFFFFF" w:val="clear"/>
        <w:snapToGrid w:val="false"/>
        <w:spacing w:lineRule="exact" w:line="560"/>
        <w:rPr>
          <w:rFonts w:ascii="仿宋" w:hAnsi="仿宋" w:eastAsia="仿宋" w:cs="仿宋" w:hint="eastAsia"/>
          <w:bCs/>
          <w:color w:val="000000"/>
          <w:sz w:val="32"/>
          <w:szCs w:val="32"/>
        </w:rPr>
      </w:pPr>
      <w:r>
        <w:rPr>
          <w:rFonts w:eastAsia="仿宋" w:cs="仿宋" w:hint="eastAsia" w:ascii="仿宋" w:hAnsi="仿宋"/>
          <w:bCs/>
          <w:color w:val="000000"/>
          <w:sz w:val="32"/>
          <w:szCs w:val="32"/>
        </w:rPr>
        <w:t xml:space="preserve">   </w:t>
      </w:r>
      <w:r>
        <w:rPr>
          <w:rFonts w:ascii="仿宋" w:hAnsi="仿宋" w:cs="仿宋" w:hint="eastAsia" w:eastAsia="仿宋"/>
          <w:bCs/>
          <w:color w:val="000000"/>
          <w:sz w:val="32"/>
          <w:szCs w:val="32"/>
        </w:rPr>
        <w:t>（二）依照职责应当由上级河长、湖长或者属于上级人民政府相关部门处理的，提请上一级河长、湖长处理；</w:t>
      </w:r>
    </w:p>
    <w:p>
      <w:pPr>
        <w:pStyle w:val="Normal"/>
        <w:widowControl/>
        <w:shd w:fill="FFFFFF" w:val="clear"/>
        <w:snapToGrid w:val="false"/>
        <w:spacing w:lineRule="exact" w:line="560"/>
        <w:rPr>
          <w:rFonts w:ascii="仿宋" w:hAnsi="仿宋" w:eastAsia="仿宋" w:cs="仿宋" w:hint="eastAsia"/>
          <w:bCs/>
          <w:color w:val="000000"/>
          <w:sz w:val="32"/>
          <w:szCs w:val="32"/>
        </w:rPr>
      </w:pPr>
      <w:r>
        <w:rPr>
          <w:rFonts w:eastAsia="仿宋" w:cs="仿宋" w:hint="eastAsia" w:ascii="仿宋" w:hAnsi="仿宋"/>
          <w:bCs/>
          <w:color w:val="000000"/>
          <w:sz w:val="32"/>
          <w:szCs w:val="32"/>
        </w:rPr>
        <w:t xml:space="preserve">   </w:t>
      </w:r>
      <w:r>
        <w:rPr>
          <w:rFonts w:ascii="仿宋" w:hAnsi="仿宋" w:cs="仿宋" w:hint="eastAsia" w:eastAsia="仿宋"/>
          <w:bCs/>
          <w:color w:val="000000"/>
          <w:sz w:val="32"/>
          <w:szCs w:val="32"/>
        </w:rPr>
        <w:t>（三）依照职责应当由下级河长、湖长或者属于下级人民政府相关部门处理的，移交下一级河长、湖长处理。</w:t>
      </w:r>
    </w:p>
    <w:p>
      <w:pPr>
        <w:pStyle w:val="Normal"/>
        <w:widowControl/>
        <w:shd w:fill="FFFFFF" w:val="clear"/>
        <w:snapToGrid w:val="false"/>
        <w:spacing w:lineRule="exact" w:line="560"/>
        <w:ind w:firstLine="640" w:end="0"/>
        <w:rPr>
          <w:rFonts w:ascii="仿宋" w:hAnsi="仿宋" w:eastAsia="仿宋" w:cs="仿宋" w:hint="eastAsia"/>
          <w:bCs/>
          <w:color w:val="000000"/>
          <w:sz w:val="32"/>
          <w:szCs w:val="32"/>
        </w:rPr>
      </w:pPr>
      <w:r>
        <w:rPr>
          <w:rFonts w:ascii="仿宋" w:hAnsi="仿宋" w:cs="仿宋" w:hint="eastAsia" w:eastAsia="仿宋"/>
          <w:bCs/>
          <w:color w:val="000000"/>
          <w:sz w:val="32"/>
          <w:szCs w:val="32"/>
        </w:rPr>
        <w:t>县级以上河长、湖长对通过巡查或者其他途径发现的问题，属于自身职责范围、现场可以处理的，可以现场督办有关单位整改问题；对需要本级人民政府相关部门处理的，可以采取发送督办函或者交办单的方式交办。本级人民政府相关部门应当依法办理。</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黑体" w:hAnsi="黑体" w:cs="黑体" w:hint="eastAsia" w:eastAsia="黑体"/>
          <w:bCs/>
          <w:color w:val="000000"/>
          <w:sz w:val="32"/>
          <w:szCs w:val="32"/>
        </w:rPr>
        <w:t>第十五条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县级以上河长、湖长对责任水域的下一级河长、湖长工作予以指导、监督，对目标任务完成情况进行考核。</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黑体" w:hAnsi="黑体" w:cs="黑体" w:hint="eastAsia" w:eastAsia="黑体"/>
          <w:bCs/>
          <w:color w:val="000000"/>
          <w:sz w:val="32"/>
          <w:szCs w:val="32"/>
        </w:rPr>
        <w:t>第十六条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县级以上人民政府应当设立河长制湖长制工作机构，主要负责河长制湖长制工作的组织协调、调度督导、检查考核等具体工作，履行下列职责：</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（一）协助河长、湖长开展河长制湖长制工作，落实河长、湖长确定的任务，定期向河长、湖长报告有关情况；</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（二）协调建立部门联动机制，督促相关部门落实工作任务，协助河长、湖长协调处理跨行政区域上下游、左右岸水域管理、保护和治理工作； </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（三）加强协调调度和分办督办，组织开展专项治理工作，会同有关责任单位按照流域、区域梳理问题清单，督促相关责任主体落实整改，实行问题清单销号管理；</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（四）组织开展河长制湖长制工作年度考核、表彰评选，负责拟定河长制湖长制相关制度，组织编制一河一策、一湖一策方案；</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（五）开展河长制湖长制相关宣传培训等工作；</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（六）总河长、副总河长、总湖长、副总湖长或者河长、湖长交办的其他任务。</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县级以上人民政府应当为本级河长制湖长制工作机构配备必要的人员，河长制湖长制工作经费列入本级财政预算。</w:t>
      </w:r>
    </w:p>
    <w:p>
      <w:pPr>
        <w:pStyle w:val="Normal"/>
        <w:widowControl/>
        <w:shd w:fill="FFFFFF" w:val="clear"/>
        <w:snapToGrid w:val="false"/>
        <w:spacing w:lineRule="exact" w:line="560"/>
        <w:ind w:firstLine="645" w:end="0"/>
        <w:rPr>
          <w:rFonts w:ascii="仿宋" w:hAnsi="仿宋" w:eastAsia="仿宋" w:cs="仿宋" w:hint="eastAsia"/>
          <w:color w:val="000000"/>
          <w:sz w:val="32"/>
          <w:szCs w:val="32"/>
          <w:highlight w:val="none"/>
          <w:shd w:fill="auto" w:val="clear"/>
        </w:rPr>
      </w:pPr>
      <w:r>
        <w:rPr>
          <w:rFonts w:ascii="黑体" w:hAnsi="黑体" w:cs="黑体" w:hint="eastAsia" w:eastAsia="黑体"/>
          <w:bCs/>
          <w:color w:val="000000"/>
          <w:sz w:val="32"/>
          <w:szCs w:val="32"/>
        </w:rPr>
        <w:t>第十七条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县级以上人民政府应当将涉及河湖管理和保护的发展改革、公安、自然资源、生态环境、住房和城乡建设、交通运输、水利、农业农村</w:t>
      </w:r>
      <w:r>
        <w:rPr>
          <w:rFonts w:ascii="仿宋" w:hAnsi="仿宋" w:cs="仿宋" w:hint="eastAsia" w:eastAsia="仿宋"/>
          <w:color w:val="000000"/>
          <w:sz w:val="32"/>
          <w:szCs w:val="32"/>
          <w:shd w:fill="auto" w:val="clear"/>
        </w:rPr>
        <w:t>、林业等相关部门列为河长制湖长制责任单位，并明确责任单位工作分工。各河长制湖长制责任单位应当按照分工，依法履行河湖管理、保护、治理的相关职责。</w:t>
      </w:r>
    </w:p>
    <w:p>
      <w:pPr>
        <w:pStyle w:val="Normal"/>
        <w:widowControl/>
        <w:shd w:fill="FFFFFF" w:val="clear"/>
        <w:snapToGrid w:val="false"/>
        <w:spacing w:lineRule="exact" w:line="560"/>
        <w:ind w:firstLine="643" w:end="0"/>
        <w:rPr>
          <w:rFonts w:ascii="仿宋" w:hAnsi="仿宋" w:eastAsia="仿宋" w:cs="仿宋" w:hint="eastAsia"/>
          <w:color w:val="000000"/>
          <w:sz w:val="32"/>
          <w:szCs w:val="32"/>
        </w:rPr>
      </w:pPr>
      <w:r>
        <w:rPr>
          <w:rFonts w:ascii="黑体" w:hAnsi="黑体" w:cs="黑体" w:hint="eastAsia" w:eastAsia="黑体"/>
          <w:bCs/>
          <w:color w:val="000000"/>
          <w:sz w:val="32"/>
          <w:szCs w:val="32"/>
          <w:shd w:fill="auto" w:val="clear"/>
        </w:rPr>
        <w:t>第十八条</w:t>
      </w:r>
      <w:r>
        <w:rPr>
          <w:rFonts w:ascii="仿宋" w:hAnsi="仿宋" w:cs="仿宋" w:hint="eastAsia" w:eastAsia="仿宋"/>
          <w:b/>
          <w:color w:val="000000"/>
          <w:sz w:val="32"/>
          <w:szCs w:val="32"/>
          <w:shd w:fill="auto" w:val="clear"/>
        </w:rPr>
        <w:t xml:space="preserve"> </w:t>
      </w:r>
      <w:r>
        <w:rPr>
          <w:rFonts w:ascii="仿宋" w:hAnsi="仿宋" w:cs="仿宋" w:hint="eastAsia" w:eastAsia="仿宋"/>
          <w:color w:val="000000"/>
          <w:sz w:val="32"/>
          <w:szCs w:val="32"/>
          <w:shd w:fill="auto" w:val="clear"/>
        </w:rPr>
        <w:t>县级以上总河长、副总河长、总湖长、副总湖长</w:t>
      </w:r>
      <w:r>
        <w:rPr>
          <w:rFonts w:ascii="仿宋" w:hAnsi="仿宋" w:cs="仿宋" w:hint="eastAsia" w:eastAsia="仿宋"/>
          <w:color w:val="000000"/>
          <w:sz w:val="32"/>
          <w:szCs w:val="32"/>
        </w:rPr>
        <w:t>应当定期组织召开总河长、总湖长会议，研究、解决本行政区域内河长制湖长制工作重大问题。</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县级以上河长、湖长根据需要应当适时组织召开河长、湖长会议，研究、解决责任水域河长制湖长制工作重大问题。</w:t>
      </w:r>
    </w:p>
    <w:p>
      <w:pPr>
        <w:pStyle w:val="Normal"/>
        <w:widowControl/>
        <w:shd w:fill="FFFFFF" w:val="clear"/>
        <w:snapToGrid w:val="false"/>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县级以上河长制湖长制工作机构应当适时组织召开河长制湖长制责任单位联席会议，研究、通报河长制湖长制相关工作。</w:t>
      </w:r>
    </w:p>
    <w:p>
      <w:pPr>
        <w:pStyle w:val="Normal"/>
        <w:widowControl/>
        <w:shd w:fill="FFFFFF" w:val="clear"/>
        <w:snapToGrid w:val="false"/>
        <w:spacing w:lineRule="exact" w:line="560"/>
        <w:ind w:firstLine="650" w:end="0"/>
        <w:rPr>
          <w:rFonts w:ascii="仿宋" w:hAnsi="仿宋" w:eastAsia="仿宋" w:cs="仿宋" w:hint="eastAsia"/>
          <w:color w:val="000000"/>
          <w:sz w:val="32"/>
          <w:szCs w:val="32"/>
        </w:rPr>
      </w:pPr>
      <w:r>
        <w:rPr>
          <w:rFonts w:ascii="黑体" w:hAnsi="黑体" w:cs="黑体" w:hint="eastAsia" w:eastAsia="黑体"/>
          <w:bCs/>
          <w:color w:val="000000"/>
          <w:sz w:val="32"/>
          <w:szCs w:val="32"/>
        </w:rPr>
        <w:t>第十九条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县级以上河长制湖长制工作机构应当建立河长制湖长制管理信息系统，实行河湖管理、保护和治理信息共享，为河长、湖长实时提供信息服务。</w:t>
      </w:r>
    </w:p>
    <w:p>
      <w:pPr>
        <w:pStyle w:val="Normal"/>
        <w:widowControl/>
        <w:shd w:fill="FFFFFF" w:val="clear"/>
        <w:snapToGrid w:val="false"/>
        <w:spacing w:lineRule="exact" w:line="560"/>
        <w:ind w:firstLine="650" w:end="0"/>
        <w:rPr>
          <w:rFonts w:ascii="仿宋" w:hAnsi="仿宋" w:eastAsia="仿宋" w:cs="仿宋" w:hint="eastAsia"/>
          <w:color w:val="000000"/>
          <w:sz w:val="32"/>
          <w:szCs w:val="32"/>
        </w:rPr>
      </w:pPr>
      <w:r>
        <w:rPr>
          <w:rFonts w:ascii="仿宋" w:hAnsi="仿宋" w:cs="仿宋" w:hint="eastAsia" w:eastAsia="仿宋"/>
          <w:color w:val="000000"/>
          <w:sz w:val="32"/>
          <w:szCs w:val="32"/>
        </w:rPr>
        <w:t>河长制湖长制责任单位应当按照要求</w:t>
      </w:r>
      <w:r>
        <w:rPr>
          <w:rFonts w:ascii="仿宋" w:hAnsi="仿宋" w:cs="仿宋" w:hint="eastAsia" w:eastAsia="仿宋"/>
          <w:color w:val="000000"/>
          <w:sz w:val="32"/>
          <w:szCs w:val="32"/>
          <w:shd w:fill="auto" w:val="clear"/>
        </w:rPr>
        <w:t>向河长制湖长制工作机构</w:t>
      </w:r>
      <w:r>
        <w:rPr>
          <w:rFonts w:ascii="仿宋" w:hAnsi="仿宋" w:cs="仿宋" w:hint="eastAsia" w:eastAsia="仿宋"/>
          <w:color w:val="000000"/>
          <w:sz w:val="32"/>
          <w:szCs w:val="32"/>
        </w:rPr>
        <w:t>提供并及时更新涉及水资源保护、水污染防治、水环境改善、水生态修复等相关数据、信息。</w:t>
      </w:r>
    </w:p>
    <w:p>
      <w:pPr>
        <w:pStyle w:val="Normal"/>
        <w:widowControl/>
        <w:shd w:fill="FFFFFF" w:val="clear"/>
        <w:snapToGrid w:val="false"/>
        <w:spacing w:lineRule="exact" w:line="560"/>
        <w:ind w:firstLine="650" w:end="0"/>
        <w:rPr>
          <w:rFonts w:ascii="仿宋" w:hAnsi="仿宋" w:eastAsia="仿宋" w:cs="仿宋" w:hint="eastAsia"/>
          <w:color w:val="000000"/>
          <w:sz w:val="32"/>
          <w:szCs w:val="32"/>
        </w:rPr>
      </w:pPr>
      <w:r>
        <w:rPr>
          <w:rFonts w:ascii="仿宋" w:hAnsi="仿宋" w:cs="仿宋" w:hint="eastAsia" w:eastAsia="仿宋"/>
          <w:color w:val="000000"/>
          <w:sz w:val="32"/>
          <w:szCs w:val="32"/>
        </w:rPr>
        <w:t>下级河长制湖长制工作机构应当向上级河长制湖长制工作机构及时报送河长制湖长制相关工作信息。</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县级以上河长制湖长制工作机构应当向社会公布本级河长、湖长名单。乡、村两级河长、湖长名单由县级河长制湖长制工作机构统一公布。</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各级河长制湖长制工作机构应当在水域沿岸显著位置规范设立河长、湖长公示牌。公示牌应当标明责任河段、湖泊范围，河长、湖长姓名职务，河长、湖长职责，保护治理目标，监督举报电话等主要内容。</w:t>
      </w:r>
    </w:p>
    <w:p>
      <w:pPr>
        <w:pStyle w:val="Normal"/>
        <w:widowControl/>
        <w:shd w:fill="FFFFFF" w:val="clear"/>
        <w:snapToGrid w:val="false"/>
        <w:spacing w:lineRule="exact" w:line="560"/>
        <w:ind w:firstLine="650" w:end="0"/>
        <w:rPr>
          <w:rFonts w:ascii="仿宋" w:hAnsi="仿宋" w:eastAsia="仿宋" w:cs="仿宋" w:hint="eastAsia"/>
          <w:color w:val="000000"/>
          <w:sz w:val="32"/>
          <w:szCs w:val="32"/>
        </w:rPr>
      </w:pPr>
      <w:r>
        <w:rPr>
          <w:rFonts w:ascii="仿宋" w:hAnsi="仿宋" w:cs="仿宋" w:hint="eastAsia" w:eastAsia="仿宋"/>
          <w:color w:val="000000"/>
          <w:sz w:val="32"/>
          <w:szCs w:val="32"/>
        </w:rPr>
        <w:t>河长、湖长相关信息发生变更的，应当及时予以更新。</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第二十一条</w:t>
      </w:r>
      <w:r>
        <w:rPr>
          <w:rFonts w:ascii="黑体" w:hAnsi="黑体" w:cs="黑体" w:hint="eastAsia" w:eastAsia="黑体"/>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制湖长制工作机构应当根据工作需要，对河长制湖长制责任单位和下级人民政府河长制湖长制工作落实情况、重点任务推进落实情况、重点督办事项处理情况、危害河湖保护管理的重大突发性应急事件处置情况、河湖保护管理突出问题情况等进行通报。</w:t>
      </w:r>
    </w:p>
    <w:p>
      <w:pPr>
        <w:pStyle w:val="Normal"/>
        <w:widowControl/>
        <w:shd w:fill="FFFFFF" w:val="clear"/>
        <w:snapToGrid w:val="false"/>
        <w:spacing w:lineRule="exact" w:line="560"/>
        <w:ind w:firstLine="650"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第二十二条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县级以上河长制湖长制工作机构应当对河长制湖长制责任单位和下级人民政府河长制湖长制工作贯彻实施情况、任务实施情况、整改落实情况等进行督察督办。</w:t>
      </w:r>
    </w:p>
    <w:p>
      <w:pPr>
        <w:pStyle w:val="Normal"/>
        <w:widowControl/>
        <w:shd w:fill="FFFFFF" w:val="clear"/>
        <w:snapToGrid w:val="false"/>
        <w:spacing w:lineRule="exact" w:line="560"/>
        <w:ind w:firstLine="650" w:end="0"/>
        <w:rPr>
          <w:rFonts w:ascii="仿宋" w:hAnsi="仿宋" w:eastAsia="仿宋" w:cs="仿宋" w:hint="eastAsia"/>
          <w:color w:val="000000"/>
          <w:sz w:val="32"/>
          <w:szCs w:val="32"/>
          <w:highlight w:val="none"/>
          <w:shd w:fill="auto" w:val="clear"/>
        </w:rPr>
      </w:pPr>
      <w:r>
        <w:rPr>
          <w:rFonts w:ascii="黑体" w:hAnsi="黑体" w:cs="黑体" w:hint="eastAsia" w:eastAsia="黑体"/>
          <w:bCs/>
          <w:color w:val="000000"/>
          <w:sz w:val="32"/>
          <w:szCs w:val="32"/>
        </w:rPr>
        <w:t>第二十</w:t>
      </w:r>
      <w:r>
        <w:rPr>
          <w:rFonts w:ascii="黑体" w:hAnsi="黑体" w:cs="黑体" w:hint="eastAsia" w:eastAsia="黑体"/>
          <w:bCs/>
          <w:color w:val="000000"/>
          <w:sz w:val="32"/>
          <w:szCs w:val="32"/>
          <w:shd w:fill="auto" w:val="clear"/>
        </w:rPr>
        <w:t>三条</w:t>
      </w:r>
      <w:r>
        <w:rPr>
          <w:rFonts w:ascii="仿宋" w:hAnsi="仿宋" w:cs="仿宋" w:hint="eastAsia" w:eastAsia="仿宋"/>
          <w:b/>
          <w:color w:val="000000"/>
          <w:sz w:val="32"/>
          <w:szCs w:val="32"/>
          <w:shd w:fill="auto" w:val="clear"/>
        </w:rPr>
        <w:t xml:space="preserve">  </w:t>
      </w:r>
      <w:r>
        <w:rPr>
          <w:rFonts w:ascii="仿宋" w:hAnsi="仿宋" w:cs="仿宋" w:hint="eastAsia" w:eastAsia="仿宋"/>
          <w:color w:val="000000"/>
          <w:sz w:val="32"/>
          <w:szCs w:val="32"/>
          <w:shd w:fill="auto" w:val="clear"/>
        </w:rPr>
        <w:t>县级以上人民政府应当建立公安、自然资源、生态环境、住房和城乡建设、交通运输、水利、农业农村、林业等多部门联合执法机制，加强日常监管巡查，依法查处非法侵占河湖岸线、非法排污、非法采砂、非法养殖、非法捕捞、非法围垦、非法填埋、非法建设和非法运输等行为。</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第二十四条</w:t>
      </w:r>
      <w:r>
        <w:rPr>
          <w:rFonts w:ascii="黑体" w:hAnsi="黑体" w:cs="黑体" w:hint="eastAsia" w:eastAsia="黑体"/>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县级以上河长制湖长制工作机构每年应当组织相关责任单位对下级人民政府河长制湖长制工作开展情况进行考核。</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各级河长、湖长履职情况应当作为干部年度考核述职的重要内容。</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县级以上人民政府应当将河长制湖长制责任单位履职情况，纳入政府对部门的考核内容。</w:t>
      </w:r>
    </w:p>
    <w:p>
      <w:pPr>
        <w:pStyle w:val="Normal"/>
        <w:widowControl/>
        <w:shd w:fill="FFFFFF" w:val="clear"/>
        <w:snapToGrid w:val="false"/>
        <w:spacing w:lineRule="exact" w:line="560"/>
        <w:ind w:firstLine="643"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第二十五条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县级以上人民政府应当按照有关规定和程序，对河长制湖长制工作成绩显著的集体和个人予以表彰奖励。</w:t>
      </w:r>
    </w:p>
    <w:p>
      <w:pPr>
        <w:pStyle w:val="Normal"/>
        <w:widowControl/>
        <w:snapToGrid w:val="false"/>
        <w:spacing w:lineRule="exact" w:line="590"/>
        <w:ind w:firstLine="643"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第二十六条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各地应当根据河流长度或者水域面积，聘请河湖专管员或者巡查员、保洁员，负责河湖的日常巡查和保洁。</w:t>
      </w:r>
    </w:p>
    <w:p>
      <w:pPr>
        <w:pStyle w:val="Normal"/>
        <w:widowControl/>
        <w:snapToGrid w:val="false"/>
        <w:spacing w:lineRule="exact" w:line="590"/>
        <w:ind w:firstLine="643" w:end="0"/>
        <w:rPr>
          <w:rFonts w:ascii="仿宋" w:hAnsi="仿宋" w:eastAsia="仿宋" w:cs="仿宋" w:hint="eastAsia"/>
          <w:color w:val="000000"/>
          <w:sz w:val="32"/>
          <w:szCs w:val="32"/>
        </w:rPr>
      </w:pPr>
      <w:r>
        <w:rPr>
          <w:rFonts w:ascii="仿宋" w:hAnsi="仿宋" w:cs="仿宋" w:hint="eastAsia" w:eastAsia="仿宋"/>
          <w:color w:val="000000"/>
          <w:sz w:val="32"/>
          <w:szCs w:val="32"/>
        </w:rPr>
        <w:t>市、县级人民政府应当统筹财政资金，采取政府购买等</w:t>
      </w:r>
      <w:r>
        <w:rPr>
          <w:rFonts w:ascii="仿宋" w:hAnsi="仿宋" w:cs="仿宋" w:hint="eastAsia" w:eastAsia="仿宋"/>
          <w:color w:val="000000"/>
          <w:sz w:val="32"/>
          <w:szCs w:val="32"/>
          <w:shd w:fill="auto" w:val="clear"/>
        </w:rPr>
        <w:t>方</w:t>
      </w:r>
      <w:r>
        <w:rPr>
          <w:rFonts w:ascii="仿宋" w:hAnsi="仿宋" w:cs="仿宋" w:hint="eastAsia" w:eastAsia="仿宋"/>
          <w:color w:val="000000"/>
          <w:sz w:val="32"/>
          <w:szCs w:val="32"/>
        </w:rPr>
        <w:t>式，对河湖专管、巡查、保洁等工作进行统一采购。</w:t>
      </w:r>
    </w:p>
    <w:p>
      <w:pPr>
        <w:pStyle w:val="Normal"/>
        <w:widowControl/>
        <w:shd w:fill="FFFFFF" w:val="clear"/>
        <w:snapToGrid w:val="false"/>
        <w:spacing w:lineRule="exact" w:line="560"/>
        <w:ind w:firstLine="645"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第二十七条</w:t>
      </w:r>
      <w:r>
        <w:rPr>
          <w:rFonts w:ascii="仿宋" w:hAnsi="仿宋" w:cs="仿宋" w:hint="eastAsia" w:eastAsia="仿宋"/>
          <w:bCs/>
          <w:color w:val="000000"/>
          <w:sz w:val="32"/>
          <w:szCs w:val="32"/>
        </w:rPr>
        <w:t xml:space="preserve">  </w:t>
      </w:r>
      <w:r>
        <w:rPr>
          <w:rFonts w:ascii="仿宋" w:hAnsi="仿宋" w:cs="仿宋" w:hint="eastAsia" w:eastAsia="仿宋"/>
          <w:color w:val="000000"/>
          <w:sz w:val="32"/>
          <w:szCs w:val="32"/>
        </w:rPr>
        <w:t>鼓励开展河湖保护志愿服务。鼓励制定村规民约、居民公约，对水域管理保护作出约定。</w:t>
      </w:r>
      <w:r>
        <w:rPr>
          <w:rFonts w:ascii="仿宋" w:hAnsi="仿宋" w:cs="仿宋" w:hint="eastAsia" w:eastAsia="仿宋"/>
          <w:sz w:val="32"/>
          <w:szCs w:val="32"/>
        </w:rPr>
        <w:t>鼓励举报水域违法行为</w:t>
      </w:r>
      <w:r>
        <w:rPr>
          <w:rFonts w:ascii="仿宋" w:hAnsi="仿宋" w:cs="仿宋" w:hint="eastAsia" w:eastAsia="仿宋"/>
          <w:color w:val="000000"/>
          <w:sz w:val="32"/>
          <w:szCs w:val="32"/>
        </w:rPr>
        <w:t>。</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第二十八条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每年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22</w:t>
      </w:r>
      <w:r>
        <w:rPr>
          <w:rFonts w:ascii="仿宋" w:hAnsi="仿宋" w:cs="仿宋" w:hint="eastAsia" w:eastAsia="仿宋"/>
          <w:color w:val="000000"/>
          <w:sz w:val="32"/>
          <w:szCs w:val="32"/>
        </w:rPr>
        <w:t>日至</w:t>
      </w:r>
      <w:r>
        <w:rPr>
          <w:rFonts w:eastAsia="仿宋" w:cs="仿宋" w:hint="eastAsia" w:ascii="仿宋" w:hAnsi="仿宋"/>
          <w:color w:val="000000"/>
          <w:sz w:val="32"/>
          <w:szCs w:val="32"/>
        </w:rPr>
        <w:t>28</w:t>
      </w:r>
      <w:r>
        <w:rPr>
          <w:rFonts w:ascii="仿宋" w:hAnsi="仿宋" w:cs="仿宋" w:hint="eastAsia" w:eastAsia="仿宋"/>
          <w:color w:val="000000"/>
          <w:sz w:val="32"/>
          <w:szCs w:val="32"/>
        </w:rPr>
        <w:t>日为河湖保护活动周。各级人民政府应当组织开展河湖保护主题宣传活动，发动全社会参与河湖保护工作。</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黑体" w:hAnsi="黑体" w:cs="黑体" w:hint="eastAsia" w:eastAsia="黑体"/>
          <w:bCs/>
          <w:color w:val="000000"/>
          <w:sz w:val="32"/>
          <w:szCs w:val="32"/>
        </w:rPr>
        <w:t>第二十九条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县级以上河长制湖长制工作机构、河长制湖长制责任单位未按照规定履行职责，有下列情形之一的，本级河长、湖长可以约谈该部门负责人，也可以提请总河长、副总河长、总湖长、副总湖长约谈该部门负责人：</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（一）未按照河长、湖长的督查要求履行日常监督检查或者处理职责的；</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（二）未落实整改措施和整改要求的；</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（三）接到属于河长制湖长制职责范围的投诉举报，未依法履行处理或者查处职责的；</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（四）其他违反河长制湖长制相关规定的行为。</w:t>
      </w:r>
    </w:p>
    <w:p>
      <w:pPr>
        <w:pStyle w:val="Normal"/>
        <w:widowControl/>
        <w:shd w:fill="FFFFFF" w:val="clear"/>
        <w:snapToGrid w:val="false"/>
        <w:spacing w:lineRule="exact" w:line="560"/>
        <w:ind w:firstLine="630" w:end="0"/>
        <w:rPr>
          <w:rFonts w:ascii="仿宋" w:hAnsi="仿宋" w:eastAsia="仿宋" w:cs="仿宋" w:hint="eastAsia"/>
          <w:color w:val="000000"/>
          <w:sz w:val="32"/>
          <w:szCs w:val="32"/>
          <w:highlight w:val="none"/>
          <w:shd w:fill="auto" w:val="clear"/>
        </w:rPr>
      </w:pPr>
      <w:r>
        <w:rPr>
          <w:rFonts w:ascii="仿宋" w:hAnsi="仿宋" w:cs="仿宋" w:hint="eastAsia" w:eastAsia="仿宋"/>
          <w:color w:val="000000"/>
          <w:sz w:val="32"/>
          <w:szCs w:val="32"/>
          <w:shd w:fill="auto" w:val="clear"/>
        </w:rPr>
        <w:t>县级以上河长制湖长制工作机构、河长制湖长制责任单位有前款情形之一，造成水体污染、水环境水生态遭受破坏等严重后果的，对直接负责的主管人员和其他直接责任人员依法给予处分。</w:t>
      </w:r>
    </w:p>
    <w:p>
      <w:pPr>
        <w:pStyle w:val="Normal"/>
        <w:widowControl/>
        <w:shd w:fill="FFFFFF" w:val="clear"/>
        <w:tabs>
          <w:tab w:val="clear" w:pos="420"/>
          <w:tab w:val="left" w:pos="1600" w:leader="none"/>
        </w:tabs>
        <w:snapToGrid w:val="false"/>
        <w:spacing w:lineRule="exact" w:line="560"/>
        <w:ind w:firstLine="630" w:end="0"/>
        <w:rPr>
          <w:rFonts w:ascii="仿宋" w:hAnsi="仿宋" w:eastAsia="仿宋" w:cs="仿宋" w:hint="eastAsia"/>
          <w:color w:val="000000"/>
          <w:sz w:val="32"/>
          <w:szCs w:val="32"/>
        </w:rPr>
      </w:pPr>
      <w:r>
        <w:rPr>
          <w:rFonts w:ascii="黑体" w:hAnsi="黑体" w:cs="黑体" w:hint="eastAsia" w:eastAsia="黑体"/>
          <w:bCs/>
          <w:color w:val="000000"/>
          <w:sz w:val="32"/>
          <w:szCs w:val="32"/>
        </w:rPr>
        <w:t>第三十条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各级河长、湖长未按照规定履行职责，有下列行为之一的，由上级河长、湖长进行约谈：</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（一）未按照规定要求进行巡查督导的；</w:t>
      </w:r>
    </w:p>
    <w:p>
      <w:pPr>
        <w:pStyle w:val="Normal"/>
        <w:widowControl/>
        <w:shd w:fill="FFFFFF" w:val="clear"/>
        <w:snapToGrid w:val="false"/>
        <w:spacing w:lineRule="exact" w:line="56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（二）对发现的问题未按照规定及时处理的；</w:t>
      </w:r>
    </w:p>
    <w:p>
      <w:pPr>
        <w:pStyle w:val="Normal"/>
        <w:widowControl/>
        <w:shd w:fill="FFFFFF" w:val="clear"/>
        <w:snapToGrid w:val="false"/>
        <w:spacing w:lineRule="exact" w:line="560"/>
        <w:ind w:firstLine="640" w:end="0"/>
        <w:rPr>
          <w:rFonts w:ascii="仿宋" w:hAnsi="仿宋" w:eastAsia="仿宋" w:cs="仿宋" w:hint="eastAsia"/>
          <w:color w:val="000000"/>
          <w:sz w:val="32"/>
          <w:szCs w:val="32"/>
          <w:highlight w:val="none"/>
          <w:shd w:fill="auto" w:val="clear"/>
        </w:rPr>
      </w:pPr>
      <w:r>
        <w:rPr>
          <w:rFonts w:ascii="仿宋" w:hAnsi="仿宋" w:cs="仿宋" w:hint="eastAsia" w:eastAsia="仿宋"/>
          <w:color w:val="000000"/>
          <w:sz w:val="32"/>
          <w:szCs w:val="32"/>
          <w:shd w:fill="auto" w:val="clear"/>
        </w:rPr>
        <w:t>（三）未按时完成上级布置专项任务的；</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w:t>
      </w:r>
      <w:r>
        <w:rPr>
          <w:rFonts w:ascii="仿宋" w:hAnsi="仿宋" w:cs="仿宋" w:hint="eastAsia" w:eastAsia="仿宋"/>
          <w:color w:val="000000"/>
          <w:sz w:val="32"/>
          <w:szCs w:val="32"/>
          <w:shd w:fill="auto" w:val="clear"/>
        </w:rPr>
        <w:t>四</w:t>
      </w:r>
      <w:r>
        <w:rPr>
          <w:rFonts w:ascii="仿宋" w:hAnsi="仿宋" w:cs="仿宋" w:hint="eastAsia" w:eastAsia="仿宋"/>
          <w:color w:val="000000"/>
          <w:sz w:val="32"/>
          <w:szCs w:val="32"/>
        </w:rPr>
        <w:t>）其他怠于履行河长、湖长职责的行为的。</w:t>
      </w:r>
    </w:p>
    <w:p>
      <w:pPr>
        <w:pStyle w:val="Normal"/>
        <w:widowControl/>
        <w:shd w:fill="FFFFFF" w:val="clear"/>
        <w:snapToGrid w:val="false"/>
        <w:spacing w:lineRule="exact" w:line="560"/>
        <w:ind w:firstLine="630" w:end="0"/>
        <w:rPr>
          <w:rFonts w:ascii="仿宋" w:hAnsi="仿宋" w:eastAsia="仿宋" w:cs="仿宋" w:hint="eastAsia"/>
          <w:bCs/>
          <w:color w:val="000000"/>
          <w:sz w:val="32"/>
          <w:szCs w:val="32"/>
        </w:rPr>
      </w:pPr>
      <w:r>
        <w:rPr>
          <w:rFonts w:ascii="黑体" w:hAnsi="黑体" w:cs="黑体" w:hint="eastAsia" w:eastAsia="黑体"/>
          <w:bCs/>
          <w:color w:val="000000"/>
          <w:sz w:val="32"/>
          <w:szCs w:val="32"/>
        </w:rPr>
        <w:t>第三十一条</w:t>
      </w:r>
      <w:r>
        <w:rPr>
          <w:rFonts w:ascii="仿宋" w:hAnsi="仿宋" w:cs="仿宋" w:hint="eastAsia" w:eastAsia="仿宋"/>
          <w:bCs/>
          <w:color w:val="000000"/>
          <w:sz w:val="32"/>
          <w:szCs w:val="32"/>
        </w:rPr>
        <w:t xml:space="preserve">  本条例第二十九条、第三十条规定的约谈可以邀请媒体及相关公众代表列席。约谈针对的主要问题、整改措施和整改要求等情况应当向社会公开。</w:t>
      </w:r>
    </w:p>
    <w:p>
      <w:pPr>
        <w:pStyle w:val="Normal"/>
        <w:widowControl/>
        <w:shd w:fill="FFFFFF" w:val="clear"/>
        <w:snapToGrid w:val="false"/>
        <w:spacing w:lineRule="exact" w:line="560"/>
        <w:ind w:firstLine="630" w:end="0"/>
        <w:rPr>
          <w:rFonts w:ascii="仿宋" w:hAnsi="仿宋" w:eastAsia="仿宋" w:cs="仿宋" w:hint="eastAsia"/>
          <w:color w:val="000000"/>
          <w:sz w:val="32"/>
          <w:szCs w:val="32"/>
        </w:rPr>
      </w:pPr>
      <w:r>
        <w:rPr>
          <w:rFonts w:ascii="仿宋" w:hAnsi="仿宋" w:cs="仿宋" w:hint="eastAsia" w:eastAsia="仿宋"/>
          <w:bCs/>
          <w:color w:val="000000"/>
          <w:sz w:val="32"/>
          <w:szCs w:val="32"/>
        </w:rPr>
        <w:t>约谈人应当督促被约谈人落实约谈提出的整改措施和整改要求，并由整改责任单位向社会公开整改情况。</w:t>
      </w:r>
    </w:p>
    <w:p>
      <w:pPr>
        <w:pStyle w:val="Normal"/>
        <w:widowControl/>
        <w:shd w:fill="FFFFFF" w:val="clear"/>
        <w:snapToGrid w:val="false"/>
        <w:spacing w:lineRule="exact" w:line="560"/>
        <w:ind w:firstLine="630" w:end="0"/>
        <w:rPr>
          <w:rFonts w:ascii="仿宋" w:hAnsi="仿宋" w:eastAsia="仿宋" w:cs="仿宋" w:hint="eastAsia"/>
          <w:sz w:val="32"/>
          <w:szCs w:val="32"/>
        </w:rPr>
      </w:pPr>
      <w:r>
        <w:rPr>
          <w:rFonts w:ascii="黑体" w:hAnsi="黑体" w:cs="黑体" w:hint="eastAsia" w:eastAsia="黑体"/>
          <w:bCs/>
          <w:color w:val="000000"/>
          <w:sz w:val="32"/>
          <w:szCs w:val="32"/>
        </w:rPr>
        <w:t>第三十二条</w:t>
      </w:r>
      <w:r>
        <w:rPr>
          <w:rFonts w:ascii="黑体" w:hAnsi="黑体" w:cs="黑体" w:hint="eastAsia" w:eastAsia="黑体"/>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本条例自</w:t>
      </w:r>
      <w:r>
        <w:rPr>
          <w:rFonts w:eastAsia="仿宋" w:cs="仿宋" w:hint="eastAsia" w:ascii="仿宋" w:hAnsi="仿宋"/>
          <w:color w:val="000000"/>
          <w:sz w:val="32"/>
          <w:szCs w:val="32"/>
        </w:rPr>
        <w:t>2019</w:t>
      </w:r>
      <w:r>
        <w:rPr>
          <w:rFonts w:ascii="仿宋" w:hAnsi="仿宋" w:cs="仿宋" w:hint="eastAsia" w:eastAsia="仿宋"/>
          <w:color w:val="000000"/>
          <w:sz w:val="32"/>
          <w:szCs w:val="32"/>
        </w:rPr>
        <w:t>年</w:t>
      </w:r>
      <w:r>
        <w:rPr>
          <w:rFonts w:eastAsia="仿宋" w:cs="仿宋" w:hint="eastAsia" w:ascii="仿宋" w:hAnsi="仿宋"/>
          <w:color w:val="000000"/>
          <w:sz w:val="32"/>
          <w:szCs w:val="32"/>
        </w:rPr>
        <w:t>1</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numPr>
          <w:ilvl w:val="0"/>
          <w:numId w:val="0"/>
        </w:numPr>
        <w:ind w:firstLine="640" w:start="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Normal"/>
        <w:ind w:firstLine="64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Normal"/>
        <w:widowControl/>
        <w:numPr>
          <w:ilvl w:val="0"/>
          <w:numId w:val="0"/>
        </w:numPr>
        <w:shd w:fill="FFFFFF" w:val="clear"/>
        <w:snapToGrid w:val="false"/>
        <w:spacing w:lineRule="exact" w:line="560"/>
        <w:ind w:hanging="0" w:start="0"/>
        <w:rPr>
          <w:rFonts w:ascii="仿宋" w:hAnsi="仿宋" w:eastAsia="仿宋" w:cs="仿宋" w:hint="eastAsia"/>
          <w:sz w:val="32"/>
          <w:szCs w:val="32"/>
        </w:rPr>
      </w:pPr>
      <w:r>
        <w:rPr>
          <w:rFonts w:eastAsia="仿宋" w:cs="仿宋" w:hint="eastAsia" w:ascii="仿宋" w:hAnsi="仿宋"/>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widowControl/>
        <w:numPr>
          <w:ilvl w:val="0"/>
          <w:numId w:val="0"/>
        </w:numPr>
        <w:shd w:fill="FFFFFF" w:val="clear"/>
        <w:snapToGrid w:val="false"/>
        <w:spacing w:lineRule="exact" w:line="560"/>
        <w:ind w:firstLineChars="0" w:firstLine="0" w:startChars="0" w:start="0" w:endChars="0" w:end="0"/>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p>
      <w:pPr>
        <w:pStyle w:val="Normal"/>
        <w:rPr>
          <w:rFonts w:ascii="仿宋" w:hAnsi="仿宋" w:eastAsia="仿宋" w:cs="仿宋" w:hint="eastAsia"/>
          <w:b w:val="false"/>
          <w:w w:val="100"/>
          <w:sz w:val="32"/>
          <w:szCs w:val="32"/>
        </w:rPr>
      </w:pPr>
      <w:r>
        <w:rPr>
          <w:rFonts w:eastAsia="仿宋" w:cs="仿宋" w:hint="eastAsia" w:ascii="仿宋" w:hAnsi="仿宋"/>
          <w:b w:val="false"/>
          <w:w w:val="100"/>
          <w:sz w:val="32"/>
          <w:szCs w:val="32"/>
        </w:rPr>
      </w:r>
    </w:p>
    <w:sectPr>
      <w:headerReference w:type="default" r:id="rId2"/>
      <w:footerReference w:type="default" r:id="rId3"/>
      <w:type w:val="nextPage"/>
      <w:pgSz w:w="11906" w:h="16838"/>
      <w:pgMar w:left="1531" w:right="1531" w:gutter="0" w:header="851" w:top="2154" w:footer="992" w:bottom="1814"/>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 w:name="Times New Roman">
    <w:charset w:val="cc" w:characterSet="windows-125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8844" w:leader="none"/>
      </w:tabs>
      <w:rPr/>
    </w:pPr>
    <w:r>
      <w:rPr>
        <w:rFonts w:hint="eastAsia"/>
      </w:rPr>
      <w:tab/>
    </w:r>
    <w:r>
      <w:rPr>
        <w:rFonts w:cs="Times New Roman" w:ascii="Times New Roman" w:hAnsi="Times New Roman"/>
        <w:sz w:val="28"/>
        <w:szCs w:val="28"/>
      </w:rPr>
      <w:tab/>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next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fgw</dc:creator>
  <dc:description/>
  <dc:language>en-US</dc:language>
  <cp:lastModifiedBy>胡昊昕</cp:lastModifiedBy>
  <cp:lastPrinted>2018-11-29T10:19:00Z</cp:lastPrinted>
  <dcterms:modified xsi:type="dcterms:W3CDTF">2018-12-26T10:55:00Z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