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jc w:val="center"/>
        <w:rPr>
          <w:rFonts w:ascii="仿宋_GB2312" w:hAnsi="仿宋_GB2312" w:eastAsia="仿宋_GB2312" w:cs="宋体;es New Roman" w:hint="eastAsia"/>
          <w:sz w:val="32"/>
          <w:szCs w:val="32"/>
        </w:rPr>
      </w:pPr>
      <w:r>
        <w:rPr>
          <w:rFonts w:eastAsia="仿宋_GB2312" w:cs="宋体;es New Roman" w:hint="eastAsia" w:ascii="仿宋_GB2312" w:hAnsi="仿宋_GB2312"/>
          <w:sz w:val="32"/>
          <w:szCs w:val="32"/>
        </w:rPr>
      </w:r>
    </w:p>
    <w:p>
      <w:pPr>
        <w:pStyle w:val="Normal"/>
        <w:spacing w:lineRule="exact" w:line="560"/>
        <w:jc w:val="center"/>
        <w:rPr>
          <w:rFonts w:ascii="仿宋_GB2312" w:hAnsi="仿宋_GB2312" w:eastAsia="仿宋_GB2312" w:cs="宋体;es New Roman" w:hint="eastAsia"/>
          <w:sz w:val="32"/>
          <w:szCs w:val="32"/>
        </w:rPr>
      </w:pPr>
      <w:r>
        <w:rPr>
          <w:rFonts w:eastAsia="仿宋_GB2312" w:cs="宋体;es New Roman" w:hint="eastAsia" w:ascii="仿宋_GB2312" w:hAnsi="仿宋_GB2312"/>
          <w:sz w:val="32"/>
          <w:szCs w:val="32"/>
        </w:rPr>
      </w:r>
    </w:p>
    <w:p>
      <w:pPr>
        <w:pStyle w:val="Normal"/>
        <w:spacing w:lineRule="exact" w:line="560"/>
        <w:jc w:val="center"/>
        <w:rPr/>
      </w:pPr>
      <w:r>
        <w:rPr>
          <w:rFonts w:ascii="宋体;es New Roman" w:hAnsi="宋体;es New Roman" w:cs="宋体;es New Roman" w:hint="eastAsia"/>
          <w:sz w:val="44"/>
          <w:szCs w:val="44"/>
        </w:rPr>
        <w:t>江西仰天岗国家森林公园</w:t>
      </w:r>
      <w:r>
        <w:rPr>
          <w:rFonts w:ascii="宋体;es New Roman" w:hAnsi="宋体;es New Roman" w:cs="宋体;es New Roman" w:hint="eastAsia"/>
          <w:color w:val="000000"/>
          <w:sz w:val="44"/>
          <w:szCs w:val="44"/>
        </w:rPr>
        <w:t>保护</w:t>
      </w:r>
      <w:r>
        <w:rPr>
          <w:rFonts w:ascii="宋体;es New Roman" w:hAnsi="宋体;es New Roman" w:cs="宋体;es New Roman" w:hint="eastAsia"/>
          <w:sz w:val="44"/>
          <w:szCs w:val="44"/>
        </w:rPr>
        <w:t>条例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eastAsia="黑体;um" w:cs="黑体;um" w:hint="eastAsia" w:ascii="黑体;um" w:hAnsi="黑体;um"/>
          <w:sz w:val="32"/>
          <w:szCs w:val="32"/>
        </w:rPr>
        <w:t xml:space="preserve">     </w:t>
      </w:r>
      <w:r>
        <w:rPr>
          <w:rFonts w:eastAsia="楷体_GB2312" w:cs="黑体;um" w:hint="eastAsia" w:ascii="楷体_GB2312" w:hAnsi="楷体_GB2312"/>
          <w:sz w:val="32"/>
          <w:szCs w:val="32"/>
        </w:rPr>
        <w:t xml:space="preserve"> 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楷体_GB2312" w:hAnsi="楷体_GB2312" w:eastAsia="楷体_GB2312" w:cs="黑体;um" w:hint="eastAsia"/>
          <w:sz w:val="32"/>
          <w:szCs w:val="32"/>
        </w:rPr>
      </w:pPr>
      <w:r>
        <w:rPr>
          <w:rFonts w:ascii="楷体_GB2312" w:hAnsi="楷体_GB2312" w:cs="黑体;um" w:hint="eastAsia" w:eastAsia="楷体_GB2312"/>
          <w:sz w:val="32"/>
          <w:szCs w:val="32"/>
        </w:rPr>
        <w:t>（</w:t>
      </w:r>
      <w:r>
        <w:rPr>
          <w:rFonts w:eastAsia="楷体_GB2312" w:cs="黑体;um" w:hint="eastAsia" w:ascii="楷体_GB2312" w:hAnsi="楷体_GB2312"/>
          <w:sz w:val="32"/>
          <w:szCs w:val="32"/>
        </w:rPr>
        <w:t>2018</w:t>
      </w:r>
      <w:r>
        <w:rPr>
          <w:rFonts w:ascii="楷体_GB2312" w:hAnsi="楷体_GB2312" w:cs="黑体;um" w:hint="eastAsia" w:eastAsia="楷体_GB2312"/>
          <w:sz w:val="32"/>
          <w:szCs w:val="32"/>
        </w:rPr>
        <w:t>年</w:t>
      </w:r>
      <w:r>
        <w:rPr>
          <w:rFonts w:eastAsia="楷体_GB2312" w:cs="黑体;um" w:hint="eastAsia" w:ascii="楷体_GB2312" w:hAnsi="楷体_GB2312"/>
          <w:sz w:val="32"/>
          <w:szCs w:val="32"/>
        </w:rPr>
        <w:t>10</w:t>
      </w:r>
      <w:r>
        <w:rPr>
          <w:rFonts w:ascii="楷体_GB2312" w:hAnsi="楷体_GB2312" w:cs="黑体;um" w:hint="eastAsia" w:eastAsia="楷体_GB2312"/>
          <w:sz w:val="32"/>
          <w:szCs w:val="32"/>
        </w:rPr>
        <w:t>月</w:t>
      </w:r>
      <w:r>
        <w:rPr>
          <w:rFonts w:eastAsia="楷体_GB2312" w:cs="黑体;um" w:hint="eastAsia" w:ascii="楷体_GB2312" w:hAnsi="楷体_GB2312"/>
          <w:sz w:val="32"/>
          <w:szCs w:val="32"/>
        </w:rPr>
        <w:t>26</w:t>
      </w:r>
      <w:r>
        <w:rPr>
          <w:rFonts w:ascii="楷体_GB2312" w:hAnsi="楷体_GB2312" w:cs="黑体;um" w:hint="eastAsia" w:eastAsia="楷体_GB2312"/>
          <w:sz w:val="32"/>
          <w:szCs w:val="32"/>
        </w:rPr>
        <w:t>日新余市第九届人民代表大会常务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楷体_GB2312" w:hAnsi="楷体_GB2312" w:eastAsia="楷体_GB2312" w:cs="黑体;um" w:hint="eastAsia"/>
          <w:sz w:val="32"/>
          <w:szCs w:val="32"/>
        </w:rPr>
      </w:pPr>
      <w:r>
        <w:rPr>
          <w:rFonts w:ascii="楷体_GB2312" w:hAnsi="楷体_GB2312" w:cs="黑体;um" w:hint="eastAsia" w:eastAsia="楷体_GB2312"/>
          <w:sz w:val="32"/>
          <w:szCs w:val="32"/>
        </w:rPr>
        <w:t xml:space="preserve">委员会第十六次会议通过  </w:t>
      </w:r>
      <w:r>
        <w:rPr>
          <w:rFonts w:eastAsia="楷体_GB2312" w:cs="黑体;um" w:hint="eastAsia" w:ascii="楷体_GB2312" w:hAnsi="楷体_GB2312"/>
          <w:sz w:val="32"/>
          <w:szCs w:val="32"/>
        </w:rPr>
        <w:t>2018</w:t>
      </w:r>
      <w:r>
        <w:rPr>
          <w:rFonts w:ascii="楷体_GB2312" w:hAnsi="楷体_GB2312" w:cs="黑体;um" w:hint="eastAsia" w:eastAsia="楷体_GB2312"/>
          <w:sz w:val="32"/>
          <w:szCs w:val="32"/>
        </w:rPr>
        <w:t>年</w:t>
      </w:r>
      <w:r>
        <w:rPr>
          <w:rFonts w:eastAsia="楷体_GB2312" w:cs="黑体;um" w:hint="eastAsia" w:ascii="楷体_GB2312" w:hAnsi="楷体_GB2312"/>
          <w:sz w:val="32"/>
          <w:szCs w:val="32"/>
        </w:rPr>
        <w:t>11</w:t>
      </w:r>
      <w:r>
        <w:rPr>
          <w:rFonts w:ascii="楷体_GB2312" w:hAnsi="楷体_GB2312" w:cs="黑体;um" w:hint="eastAsia" w:eastAsia="楷体_GB2312"/>
          <w:sz w:val="32"/>
          <w:szCs w:val="32"/>
        </w:rPr>
        <w:t>月</w:t>
      </w:r>
      <w:r>
        <w:rPr>
          <w:rFonts w:eastAsia="楷体_GB2312" w:cs="黑体;um" w:hint="eastAsia" w:ascii="楷体_GB2312" w:hAnsi="楷体_GB2312"/>
          <w:sz w:val="32"/>
          <w:szCs w:val="32"/>
        </w:rPr>
        <w:t>29</w:t>
      </w:r>
      <w:r>
        <w:rPr>
          <w:rFonts w:ascii="楷体_GB2312" w:hAnsi="楷体_GB2312" w:cs="黑体;um" w:hint="eastAsia" w:eastAsia="楷体_GB2312"/>
          <w:sz w:val="32"/>
          <w:szCs w:val="32"/>
        </w:rPr>
        <w:t>日江西省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;um" w:hAnsi="黑体;um" w:eastAsia="黑体;um" w:cs="黑体;um" w:hint="eastAsia"/>
          <w:sz w:val="32"/>
          <w:szCs w:val="32"/>
        </w:rPr>
      </w:pPr>
      <w:r>
        <w:rPr>
          <w:rFonts w:ascii="楷体_GB2312" w:hAnsi="楷体_GB2312" w:cs="黑体;um" w:hint="eastAsia" w:eastAsia="楷体_GB2312"/>
          <w:sz w:val="32"/>
          <w:szCs w:val="32"/>
        </w:rPr>
        <w:t>第十三届人民代表大会常务委员会第九次会议批准）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宋体;es New Roman" w:hAnsi="宋体;es New Roman" w:cs="宋体;es New Roman" w:hint="eastAsia"/>
          <w:sz w:val="32"/>
          <w:szCs w:val="32"/>
        </w:rPr>
      </w:pPr>
      <w:r>
        <w:rPr>
          <w:rFonts w:cs="宋体;es New Roman" w:hint="eastAsia" w:ascii="宋体;es New Roman" w:hAnsi="宋体;es New Roman"/>
          <w:sz w:val="32"/>
          <w:szCs w:val="32"/>
        </w:rPr>
        <w:t xml:space="preserve"> 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第一条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为保护和合理利用江西仰天岗国家森林公园（以下简称森林公园）的森林风景资源，促进生态文明建设，根据《中华人民共和国森林法》《江西省森林公园条例》等法律、法规的规定，结合本市实际，</w:t>
      </w:r>
      <w:r>
        <w:rPr>
          <w:rFonts w:ascii="仿宋_GB2312" w:hAnsi="仿宋_GB2312" w:hint="eastAsia" w:eastAsia="仿宋_GB2312"/>
          <w:sz w:val="32"/>
          <w:szCs w:val="32"/>
        </w:rPr>
        <w:t>制定本条例。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第二条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森林公园的范围为：东至新欧公路，南至仰天岗大道、浙赣铁路到河下火车站一线，西至河下火车站、王主龙山、布下村一线，北至布下村、孔目江一线。具体范围以国家批准的《江西仰天岗国家森林公园总体规划》为准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第三条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森林公园的保护和管理属于社会公益性事业。市人民政府应当将森林公园建设纳入国民经济和社会发展规划，并为森林公园的保护和管理提供必要的条件和经费保障。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第四条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森林公园的保护应当遵循严格保护、科学规划、统一管理的原则。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第五条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林业主管部门负责森林公园的监督管理工作。</w:t>
      </w:r>
    </w:p>
    <w:p>
      <w:pPr>
        <w:pStyle w:val="Normal"/>
        <w:spacing w:lineRule="exact" w:line="56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eastAsia="仿宋_GB2312" w:hint="eastAsia" w:ascii="仿宋_GB2312" w:hAnsi="仿宋_GB2312"/>
          <w:color w:val="000000"/>
          <w:sz w:val="32"/>
          <w:szCs w:val="32"/>
        </w:rPr>
        <w:t xml:space="preserve">   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发展改革、财政、公安、交通运输、旅游、自然资源、生态环境、住房、城乡建设、水行政、文化等有关部门依照各自职责，负责森林公园的有关监督管理工作。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森林公园管理机构负责森林公园的日常管理活动。森林公园管理机构应当按照规定使用中国国家森林公园专用标志，并对森林公园的范围进行公示和标界立桩，在危险地段设置安全防护设施和安全警示标识，制定突发事件应急预案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第六条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森林公园管理机构依法可以接受国（境）内外组织和个人的捐赠，用于森林公园的保护。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第七条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在森林公园内从事建设、经营、游览等活动的单位和个人，都有保护森林公园内资源与环境的义务。任何单位和个人都有权制止、检举破坏森林公园内资源与环境的行为。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第八条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森林公园开发、建设、管理、经营应当依照森林公园总体规划。任何单位或者个人不得违反规划，不得违法占用公园内的土地，不得破坏公园内的自然资源和人文资源。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在森林公园内，不得进行商品房开发，不得修建破坏景观、污染环境的工程设施。在森林公园核心景观区和重要景点内，除必要的保护和辅助设施外，不得修建其他工程设施。对在森林公园设立前或者总体规划实施前已建的破坏景观、污染环境的建筑物和设施，应当依法进行改造、拆除或者搬迁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第九条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森林公园内的森林、林木、林地及其他土地等自然资源和房屋等财产的所有权人、使用权人的合法权益受法律保护，因设立森林公园造成其财产损失的，应当依法给予补偿。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第十条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森林公园内禁止从事下列行为：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（一）毁林开荒和采矿、采石、采砂、采土；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（二）刻划、污损树木、岩石和文物古迹及新建、改建坟墓；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（三）砍柴、放牧，擅自采折、采挖花草、树木、树根（兜）、竹笋、药材等植物；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（四）抚育和更新性质以外的林木砍伐；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（五）非法猎捕、杀害野生动物；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（六）损毁或者擅自移动园内设施；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（七）未经处理直接排放生活污水和超标准的废水、废气，倾倒垃圾、废渣、废物及其他污染物；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（八）焚烧香纸蜡烛、燃放烟花爆竹，在非指定的吸烟区吸烟以及其他野外用火；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（九）经营餐饮活动；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（十）擅自摆摊设点、兜售物品；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（十一）擅自围、填、堵、截自然水系；</w:t>
      </w:r>
    </w:p>
    <w:p>
      <w:pPr>
        <w:pStyle w:val="Normal"/>
        <w:spacing w:lineRule="exact" w:line="560"/>
        <w:ind w:firstLineChars="162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（十二）法律、法规禁止的其他活动。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第十一条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违反本条例第五条第三款规定，在危险地段未设置安全防护设施或者安全警示标识的，由林业主管部门责令限期改正；逾期不改正的，处五千元以上一万元以下罚款。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第十二条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违反本条例第八条第二款规定的，由城乡建设、规划主管部门责令停止违法行为，限期恢复原状或者采取其他补救措施，并依法给予处罚。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第十三条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违反本条例第十条第一项规定，致使森林、林木受到毁坏的，依法赔偿损失；由林业主管部门责令停止违法行为，补种毁坏株数一倍以上三倍以下的树木，可以处毁坏林木价值一倍以上五倍以下罚款。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第十四条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违反本条例第十条第二项规定，刻划、污损树木、岩石的，由林业主管部门责令停止违法行为，处五十元以上二百元以下罚款；刻划、污损文物古迹，造成损害尚不严重的，由公安机关或者文物所在单位给予警告，处二百元以下罚款；新建、改建坟墓的，由林业主管部门责令停止违法行为，可以处一千元以上一万元以下罚款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第十五条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违反本条例第十条下列规定的，由林业主管部门按照下列规定予以处罚：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一）违反第三项规定，砍柴、放牧致使森林、林木受到毁坏的，依法赔偿损失；责令停止违法行为，补种毁坏株数一倍以上三倍以下的树木。拒不补种或者补种不符合有关规定的，由林业主管部门代为补种，所需费用由违法者支付。擅自采折、采挖花草、树木、树根（兜）、竹笋、药材等植物的，可以处五十元以上二百元以下罚款，造成损失的，依法予以赔偿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二）违反第四项规定的，责令补种砍伐株数十倍的树木，没收砍伐的树木或者变卖所得，并处砍伐树木价值三倍以上十倍以下罚款。拒不补种树木或者补种不符合有关规定的，由林业主管部门代为补种，所需费用由违法者支付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（三）违反第六项规定的，责令停止违法行为，可以处二百元以上一千元以下罚款，造成损失的，依法予以赔偿。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（四）违反第八项规定的，责令停止违法行为，给予警告，对个人处二百元以上三千元以下罚款，对单位处一万元以上五万元以下罚款。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（五）违反第十项规定的，责令改正，可以处五十元以上五百元以下罚款。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第十六条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违反本条例第十条下列规定的，由生态环境主管部门按照下列规定予以处罚：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（一）违反第七项规定，超标准排放废水、废气，倾倒垃圾、废渣、废物及其他污染物的，责令改正，处五千元以上五万元以下罚款。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hint="eastAsia" w:eastAsia="仿宋_GB2312"/>
          <w:color w:val="000000"/>
          <w:sz w:val="32"/>
          <w:szCs w:val="32"/>
        </w:rPr>
        <w:t>（二）违反第九项规定的，责令停止违法行为，处一万元以上十万元以下罚款。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第十七条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违反本条例第十条第十一项规定的，由水行政主管部</w:t>
      </w:r>
      <w:r>
        <w:rPr>
          <w:rFonts w:ascii="仿宋_GB2312" w:hAnsi="仿宋_GB2312" w:hint="eastAsia" w:eastAsia="仿宋_GB2312"/>
          <w:color w:val="000000"/>
          <w:spacing w:val="-6"/>
          <w:sz w:val="32"/>
          <w:szCs w:val="32"/>
        </w:rPr>
        <w:t>门责令停止违法行为、限期改正，并处一万元以上五万元以下罚款。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>第十八条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 xml:space="preserve">  林业主管部门和其他有关部门及其工作人员滥用职权、玩忽职守、徇私舞弊，造成森林资源和森林公园财产重大损失或者重大安全事故的，对直接负责的主管人员和其他责任人员依法给予处分。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第十九条 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违反本条例规定，法律、法规另有处罚规定的，从其规定。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黑体;um" w:hAnsi="黑体;um" w:cs="黑体;um" w:hint="eastAsia" w:eastAsia="黑体;um"/>
          <w:color w:val="000000"/>
          <w:sz w:val="32"/>
          <w:szCs w:val="32"/>
        </w:rPr>
        <w:t xml:space="preserve">第二十条  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本条例自</w:t>
      </w:r>
      <w:r>
        <w:rPr>
          <w:rFonts w:eastAsia="仿宋_GB2312" w:hint="eastAsia" w:ascii="仿宋_GB2312" w:hAnsi="仿宋_GB2312"/>
          <w:color w:val="000000"/>
          <w:sz w:val="32"/>
          <w:szCs w:val="32"/>
        </w:rPr>
        <w:t>2019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年</w:t>
      </w:r>
      <w:r>
        <w:rPr>
          <w:rFonts w:eastAsia="仿宋_GB2312" w:hint="eastAsia" w:ascii="仿宋_GB2312" w:hAnsi="仿宋_GB2312"/>
          <w:color w:val="000000"/>
          <w:sz w:val="32"/>
          <w:szCs w:val="32"/>
        </w:rPr>
        <w:t>1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月</w:t>
      </w:r>
      <w:r>
        <w:rPr>
          <w:rFonts w:eastAsia="仿宋_GB2312" w:hint="eastAsia" w:ascii="仿宋_GB2312" w:hAnsi="仿宋_GB2312"/>
          <w:color w:val="000000"/>
          <w:sz w:val="32"/>
          <w:szCs w:val="32"/>
        </w:rPr>
        <w:t>1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日起实施。</w:t>
      </w:r>
    </w:p>
    <w:p>
      <w:pPr>
        <w:pStyle w:val="Normal"/>
        <w:spacing w:lineRule="exact" w:line="560"/>
        <w:jc w:val="center"/>
        <w:rPr>
          <w:rFonts w:ascii="方正小标宋简体" w:hAnsi="方正小标宋简体" w:eastAsia="方正小标宋简体" w:cs="宋体;es New Roman" w:hint="eastAsia"/>
          <w:sz w:val="44"/>
          <w:szCs w:val="44"/>
        </w:rPr>
      </w:pPr>
      <w:r>
        <w:rPr>
          <w:rFonts w:eastAsia="方正小标宋简体" w:cs="宋体;es New Roman" w:hint="eastAsia" w:ascii="方正小标宋简体" w:hAnsi="方正小标宋简体"/>
          <w:sz w:val="44"/>
          <w:szCs w:val="44"/>
        </w:rPr>
        <w:t xml:space="preserve"> </w:t>
      </w:r>
    </w:p>
    <w:p>
      <w:pPr>
        <w:pStyle w:val="Normal"/>
        <w:rPr>
          <w:rFonts w:ascii="方正小标宋简体" w:hAnsi="方正小标宋简体" w:eastAsia="方正小标宋简体" w:cs="宋体;es New Roman" w:hint="eastAsia"/>
          <w:sz w:val="44"/>
          <w:szCs w:val="44"/>
        </w:rPr>
      </w:pPr>
      <w:r>
        <w:rPr>
          <w:rFonts w:eastAsia="方正小标宋简体" w:cs="宋体;es New Roman" w:hint="eastAsia" w:ascii="方正小标宋简体" w:hAnsi="方正小标宋简体"/>
          <w:sz w:val="44"/>
          <w:szCs w:val="44"/>
        </w:rPr>
      </w:r>
    </w:p>
    <w:sectPr>
      <w:footerReference w:type="default" r:id="rId2"/>
      <w:type w:val="nextPage"/>
      <w:pgSz w:w="11906" w:h="16838"/>
      <w:pgMar w:left="1531" w:right="1531" w:gutter="0" w:header="0" w:top="2098" w:footer="992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altName w:val="es New Roman"/>
    <w:charset w:val="86"/>
    <w:family w:val="auto"/>
    <w:pitch w:val="variable"/>
  </w:font>
  <w:font w:name="黑体">
    <w:altName w:val="um"/>
    <w:charset w:val="86"/>
    <w:family w:val="modern"/>
    <w:pitch w:val="default"/>
  </w:font>
  <w:font w:name="楷体_GB2312">
    <w:charset w:val="86"/>
    <w:family w:val="modern"/>
    <w:pitch w:val="default"/>
  </w:font>
  <w:font w:name="方正小标宋简体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99060" cy="302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;es New Roman" w:hAnsi="宋体;es New Roman" w:cs="宋体;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cs="宋体;es New Roman" w:ascii="宋体;es New Roman" w:hAnsi="宋体;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宋体;es New Roman" w:ascii="宋体;es New Roman" w:hAnsi="宋体;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宋体;es New Roman" w:ascii="宋体;es New Roman" w:hAnsi="宋体;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宋体;es New Roman" w:ascii="宋体;es New Roman" w:hAnsi="宋体;es New Roman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Style w:val="PageNumber"/>
                              <w:rFonts w:cs="宋体;es New Roman" w:ascii="宋体;es New Roman" w:hAnsi="宋体;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8pt;height:23.8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;es New Roman" w:hAnsi="宋体;es New Roman" w:cs="宋体;es New Roman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cs="宋体;es New Roman" w:ascii="宋体;es New Roman" w:hAnsi="宋体;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rFonts w:cs="宋体;es New Roman" w:ascii="宋体;es New Roman" w:hAnsi="宋体;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宋体;es New Roman" w:ascii="宋体;es New Roman" w:hAnsi="宋体;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rFonts w:cs="宋体;es New Roman" w:ascii="宋体;es New Roman" w:hAnsi="宋体;es New Roman"/>
                        <w:sz w:val="28"/>
                        <w:szCs w:val="28"/>
                      </w:rPr>
                      <w:t>6</w:t>
                    </w:r>
                    <w:r>
                      <w:rPr>
                        <w:rStyle w:val="PageNumber"/>
                        <w:rFonts w:cs="宋体;es New Roman" w:ascii="宋体;es New Roman" w:hAnsi="宋体;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</w:pPr>
    <w:rPr>
      <w:rFonts w:ascii="Times New Roman" w:hAnsi="Times New Roman" w:eastAsia="宋体;es New Roman" w:cs="Times New Roman"/>
      <w:color w:val="auto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2019-01-18T11:28:00Z</dcterms:created>
  <dc:creator>Administrator</dc:creator>
  <dc:description/>
  <cp:keywords/>
  <dc:language>en-US</dc:language>
  <cp:lastModifiedBy>Administrator</cp:lastModifiedBy>
  <dcterms:modified xsi:type="dcterms:W3CDTF">2019-01-18T16:28:00Z</dcterms:modified>
  <cp:revision>4</cp:revision>
  <dc:subject/>
  <dc:title/>
</cp:coreProperties>
</file>