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12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kern w:val="2"/>
          <w:sz w:val="44"/>
          <w:szCs w:val="44"/>
        </w:rPr>
      </w:pPr>
      <w:r>
        <w:rPr>
          <w:rFonts w:ascii="宋体;方正书宋_GBK" w:hAnsi="宋体;方正书宋_GBK" w:cs="宋体;方正书宋_GBK" w:hint="eastAsia" w:eastAsia="宋体;方正书宋_GBK"/>
          <w:kern w:val="2"/>
          <w:sz w:val="44"/>
          <w:szCs w:val="44"/>
        </w:rPr>
        <w:t>郑州市人民代表大会常务委员会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12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kern w:val="2"/>
          <w:sz w:val="44"/>
          <w:szCs w:val="44"/>
        </w:rPr>
      </w:pPr>
      <w:r>
        <w:rPr>
          <w:rFonts w:ascii="宋体;方正书宋_GBK" w:hAnsi="宋体;方正书宋_GBK" w:cs="宋体;方正书宋_GBK" w:hint="eastAsia" w:eastAsia="宋体;方正书宋_GBK"/>
          <w:kern w:val="2"/>
          <w:sz w:val="44"/>
          <w:szCs w:val="44"/>
        </w:rPr>
        <w:t>关于修改部分地方性法规的决定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12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kern w:val="2"/>
          <w:sz w:val="44"/>
          <w:szCs w:val="44"/>
        </w:rPr>
      </w:pPr>
      <w:r>
        <w:rPr>
          <w:rFonts w:eastAsia="宋体;方正书宋_GBK" w:cs="宋体;方正书宋_GBK" w:hint="eastAsia" w:ascii="宋体;方正书宋_GBK" w:hAnsi="宋体;方正书宋_GBK"/>
          <w:kern w:val="2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楷体_GB2312;方正楷体_GBK" w:hAnsi="楷体_GB2312;方正楷体_GBK" w:eastAsia="楷体_GB2312;方正楷体_GBK" w:cs="楷体_GB2312;方正楷体_GBK" w:hint="eastAsia"/>
          <w:kern w:val="2"/>
          <w:sz w:val="32"/>
          <w:szCs w:val="24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（</w:t>
      </w:r>
      <w:r>
        <w:rPr>
          <w:rFonts w:eastAsia="楷体_GB2312;方正楷体_GBK" w:cs="楷体_GB2312;方正楷体_GBK" w:hint="eastAsia" w:ascii="楷体_GB2312;方正楷体_GBK" w:hAnsi="楷体_GB2312;方正楷体_GBK"/>
          <w:kern w:val="2"/>
          <w:sz w:val="32"/>
          <w:szCs w:val="24"/>
        </w:rPr>
        <w:t>2021</w:t>
      </w: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kern w:val="2"/>
          <w:sz w:val="32"/>
          <w:szCs w:val="24"/>
        </w:rPr>
        <w:t>10</w:t>
      </w: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kern w:val="2"/>
          <w:sz w:val="32"/>
          <w:szCs w:val="24"/>
        </w:rPr>
        <w:t>29</w:t>
      </w: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日郑州市第十五届人民代表大会常务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楷体_GB2312;方正楷体_GBK" w:hAnsi="楷体_GB2312;方正楷体_GBK" w:eastAsia="楷体_GB2312;方正楷体_GBK" w:cs="楷体_GB2312;方正楷体_GBK" w:hint="eastAsia"/>
          <w:kern w:val="2"/>
          <w:sz w:val="32"/>
          <w:szCs w:val="24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 xml:space="preserve">委员会第二十八次会议通过  </w:t>
      </w:r>
      <w:r>
        <w:rPr>
          <w:rFonts w:eastAsia="楷体_GB2312;方正楷体_GBK" w:cs="楷体_GB2312;方正楷体_GBK" w:hint="eastAsia" w:ascii="楷体_GB2312;方正楷体_GBK" w:hAnsi="楷体_GB2312;方正楷体_GBK"/>
          <w:kern w:val="2"/>
          <w:sz w:val="32"/>
          <w:szCs w:val="24"/>
        </w:rPr>
        <w:t>2021</w:t>
      </w: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kern w:val="2"/>
          <w:sz w:val="32"/>
          <w:szCs w:val="24"/>
        </w:rPr>
        <w:t>11</w:t>
      </w: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kern w:val="2"/>
          <w:sz w:val="32"/>
          <w:szCs w:val="24"/>
        </w:rPr>
        <w:t>27</w:t>
      </w: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日河南省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楷体_GB2312;方正楷体_GBK" w:hAnsi="楷体_GB2312;方正楷体_GBK" w:eastAsia="楷体_GB2312;方正楷体_GBK" w:cs="楷体_GB2312;方正楷体_GBK" w:hint="eastAsia"/>
          <w:kern w:val="2"/>
          <w:sz w:val="32"/>
          <w:szCs w:val="24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kern w:val="2"/>
          <w:sz w:val="32"/>
          <w:szCs w:val="24"/>
        </w:rPr>
        <w:t>第十三届人民代表大会常务委员会第二十八次会议批准）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郑州市第十五届人民代表大会常务委员会第二十八次会议决定：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一、对《郑州市城市养犬管理条例》作出修改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在第九条第一款“每户居民只准饲养一只犬。”后增加“禁止在公共楼道、楼顶、绿地、地下室等公共区域饲养犬只”；删去其中的“禁止饲养烈性犬、大型犬”；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在第二款增加“禁止饲养烈性犬、大型犬”。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删去第十四条。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3.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删去第十五条。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4.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将第二十条改为第十八条，删去引言句中的“个人”；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将第一项中的“和”修改为“，具备”；增加“，犬链全长不得超过</w:t>
      </w: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1.5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米”；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删去第四项中的“，维护公共环境卫生”；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在第六项“公共汽车、”后增加“地铁、”；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在第七项“火车站、”后增加“地铁站、”在“汽车站、”后增加“机场、”；在“运动场馆、”后增加“博物馆、图书馆、美术馆、文化馆、科技馆、档案馆、城市展览馆、”；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增加两款，作为第二款、第三款：“前款规定以外的公共场所，可以禁止携犬进入，并设置明显标识。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“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残疾人携带导盲犬、扶助犬的，不受本条第一款第六项至第八项规定的限制。”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5.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六条改为第二十四条，删去其中的“没有免疫证明的，由城市管理行政执法部门没收犬只，并处以每只三千元罚款”；增加“在公共楼道、楼顶、绿地、地下室等公共区域饲养犬只的，由城市管理行政执法部门责令改正，处五百元以上二千元以下罚款；拒不改正的，没收犬只”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将“没收犬只并处以每只五千元罚款”修改为“责令改正，处五千元以上一万元以下罚款；拒不改正的，没收犬只”。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6.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将第二十九条改为第二十七条，将第一款中的“第二十条规定”修改为“第十八条除第四项以外的其他规定”。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7.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将第三十条改为第二十八条，删去第一款；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在第二款“城市管理行政执法部门”后增加“责令改正，拒不改正的，”。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二、对《郑州市企业职工基本养老保险条例》作出修改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8.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删去第三十一条。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9.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删去第三十九条。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三、对《郑州市城市道路交通安全管理条例》作出修改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10.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在第二十二条第三款中增加“电动自行车驾驶人和乘坐人员应当佩戴安全头盔”。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11.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删去第五章“停车场建设和车辆停放管理”。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12.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将第五十一条改为第三十七条，删去第九项。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13.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增加一条，作为第三十八条：“违反本条例第二十二条第三款规定，电动自行车驾驶人和乘坐人员不佩戴安全头盔的，责令改正；拒不改正的，可以处二十元以上五十元以下罚款。”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14.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将第五十二条改为第三十九条，删去其中的“；对非机动车驾驶人处以二十元罚款”。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15.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删去第五十五条。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16.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删去第五十六条。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17.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删去第五十七条。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四、对《郑州市城市园林绿化条例》作出修改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18.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删去第十八条第一款。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19.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删去第四十三条第五项。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五、对《郑州市轨道交通条例》作出修改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20.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在第二十六条第二款“现役军人”后增加“、消防救援人员”。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21.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将第二十九条第二款中的“稽查”修改为“查验”。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22.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删去第五十六条中的“，并可以加收出闸站线网最高票价五倍票款”。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六、对《郑州市建筑市场管理条例》作出修改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23.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删去第十四条。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24.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将第二十九条改为第二十八条，删去第二款中的“建设单位和”。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25.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删去第四十五条。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26.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将全文中的“工资保障金”修改为“工资保证金”。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七、对《郑州市文明行为促进条例》作出修改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27.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删去第四十五条。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八、对《郑州市中小学校学生人身伤害事故预防与处理条例》作出修改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28.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将第二十七条中的“由第三人承担赔偿责任”修改为“由第三人承担侵权责任”；将“承担相应的赔偿责任”修改为“承担相应的补充责任”。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九、对《郑州市客运出租汽车管理条例》作出修改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29.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删去第三十二条第一款中的“无偿”。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30.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删去第四十四条中的“归还乘客遗失物品索要报酬的，向乘客索要额外钱物的，”。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黑体;方正黑体_GBK" w:hAnsi="黑体;方正黑体_GBK" w:eastAsia="黑体;方正黑体_GBK" w:cs="黑体;方正黑体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十、对《郑州市旅游业管理条例》作出修改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31.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删去第二十三条中的“签订合同应使用统一的合同文本”。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黑体;方正黑体_GBK" w:hAnsi="黑体;方正黑体_GBK" w:cs="黑体;方正黑体_GBK" w:hint="eastAsia" w:eastAsia="黑体;方正黑体_GBK"/>
          <w:kern w:val="2"/>
          <w:sz w:val="32"/>
          <w:szCs w:val="24"/>
        </w:rPr>
        <w:t>十一、对《郑州市燃气管理条例》作出修改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  <w:t>32.</w:t>
      </w: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将第二十四条中的“依照《合同法》的规定”修改为“依法”。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120"/>
        <w:ind w:firstLineChars="200" w:startChars="0" w:start="0" w:endChars="0" w:end="0"/>
        <w:jc w:val="both"/>
        <w:textAlignment w:val="auto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ascii="仿宋_GB2312;方正仿宋_GBK" w:hAnsi="仿宋_GB2312;方正仿宋_GBK" w:cs="仿宋_GB2312;方正仿宋_GBK" w:hint="eastAsia" w:eastAsia="仿宋_GB2312;方正仿宋_GBK"/>
          <w:kern w:val="2"/>
          <w:sz w:val="32"/>
          <w:szCs w:val="24"/>
        </w:rPr>
        <w:t>上述地方性法规根据本决定作相应修改并对条文顺序作相应调整后，重新公布。</w:t>
      </w:r>
    </w:p>
    <w:p>
      <w:pPr>
        <w:pStyle w:val="Normal"/>
        <w:rPr>
          <w:rFonts w:ascii="仿宋_GB2312;方正仿宋_GBK" w:hAnsi="仿宋_GB2312;方正仿宋_GBK" w:eastAsia="仿宋_GB2312;方正仿宋_GBK" w:cs="仿宋_GB2312;方正仿宋_GBK" w:hint="eastAsia"/>
          <w:kern w:val="2"/>
          <w:sz w:val="32"/>
          <w:szCs w:val="24"/>
        </w:rPr>
      </w:pPr>
      <w:r>
        <w:rPr>
          <w:rFonts w:eastAsia="仿宋_GB2312;方正仿宋_GBK" w:cs="仿宋_GB2312;方正仿宋_GBK" w:hint="eastAsia" w:ascii="仿宋_GB2312;方正仿宋_GBK" w:hAnsi="仿宋_GB2312;方正仿宋_GBK"/>
          <w:kern w:val="2"/>
          <w:sz w:val="32"/>
          <w:szCs w:val="24"/>
        </w:rPr>
      </w:r>
    </w:p>
    <w:sectPr>
      <w:footerReference w:type="default" r:id="rId2"/>
      <w:type w:val="nextPage"/>
      <w:pgSz w:w="11906" w:h="16838"/>
      <w:pgMar w:left="1587" w:right="1587" w:gutter="0" w:header="0" w:top="1440" w:footer="72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Liberation Sans">
    <w:altName w:val="Arial"/>
    <w:charset w:val="00" w:characterSet="windows-1252"/>
    <w:family w:val="swiss"/>
    <w:pitch w:val="default"/>
  </w:font>
  <w:font w:name="仿宋_GB2312">
    <w:altName w:val="方正仿宋_GBK"/>
    <w:charset w:val="86"/>
    <w:family w:val="modern"/>
    <w:pitch w:val="default"/>
  </w:font>
  <w:font w:name="宋体">
    <w:altName w:val="方正书宋_GBK"/>
    <w:charset w:val="00" w:characterSet="windows-1252"/>
    <w:family w:val="auto"/>
    <w:pitch w:val="default"/>
  </w:font>
  <w:font w:name="楷体_GB2312">
    <w:altName w:val="方正楷体_GBK"/>
    <w:charset w:val="86"/>
    <w:family w:val="modern"/>
    <w:pitch w:val="default"/>
  </w:font>
  <w:font w:name="黑体">
    <w:altName w:val="方正黑体_GBK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6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41529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9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t>—</w: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/>
                            <w:t>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7pt;height:23.9pt;mso-wrap-distance-left:9.05pt;mso-wrap-distance-right:0pt;mso-wrap-distance-top:0pt;mso-wrap-distance-bottom:0pt;margin-top:0pt;mso-position-vertical-relative:text;margin-left:403.9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t>—</w: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>5</w: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 </w:t>
                    </w:r>
                    <w:r>
                      <w:rPr/>
                      <w:t>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suppressAutoHyphens w:val="true"/>
      <w:bidi w:val="0"/>
      <w:jc w:val="both"/>
    </w:pPr>
    <w:rPr>
      <w:rFonts w:ascii="Calibri;DejaVu Sans" w:hAnsi="Calibri;DejaVu Sans" w:eastAsia="宋体;方正书宋_GBK" w:cs="Times New Roman;DejaVu Sans"/>
      <w:color w:val="000000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1">
    <w:name w:val="默认段落字体1"/>
    <w:qFormat/>
    <w:rPr/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Noto Serif CJK JP" w:hAnsi="Liberation Sans;Noto Serif CJK JP" w:eastAsia="Noto Sans CJK SC Regular" w:cs="Noto Sans CJK SC Regula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paragraph" w:styleId="Style15">
    <w:name w:val="题注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2018-11-27T17:47:00Z</dcterms:created>
  <dc:creator>langchao</dc:creator>
  <dc:description/>
  <dc:language>en-US</dc:language>
  <cp:lastModifiedBy>langchao</cp:lastModifiedBy>
  <dcterms:modified xsi:type="dcterms:W3CDTF">2022-02-08T00:53:02Z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2052-11.8.2.10489</vt:lpwstr>
  </property>
</Properties>
</file>