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华文中宋" w:hAnsi="华文中宋" w:eastAsia="华文中宋" w:cs="华文中宋" w:hint="eastAsia"/>
        </w:rPr>
      </w:pPr>
      <w:r>
        <w:rPr>
          <w:rFonts w:eastAsia="华文中宋" w:cs="华文中宋" w:hint="eastAsia" w:ascii="华文中宋" w:hAnsi="华文中宋"/>
        </w:rPr>
      </w:r>
    </w:p>
    <w:p>
      <w:pPr>
        <w:pStyle w:val="Normal"/>
        <w:spacing w:lineRule="exact" w:line="600"/>
        <w:rPr>
          <w:rFonts w:ascii="华文中宋" w:hAnsi="华文中宋" w:eastAsia="华文中宋" w:cs="华文中宋" w:hint="eastAsia"/>
        </w:rPr>
      </w:pPr>
      <w:r>
        <w:rPr>
          <w:rFonts w:eastAsia="华文中宋" w:cs="华文中宋" w:hint="eastAsia" w:ascii="华文中宋" w:hAnsi="华文中宋"/>
        </w:rPr>
      </w:r>
    </w:p>
    <w:p>
      <w:pPr>
        <w:pStyle w:val="Normal"/>
        <w:spacing w:lineRule="exact" w:line="600"/>
        <w:jc w:val="center"/>
        <w:rPr>
          <w:rFonts w:ascii="华文中宋" w:hAnsi="华文中宋" w:eastAsia="华文中宋" w:cs="华文中宋" w:hint="eastAsia"/>
          <w:sz w:val="44"/>
          <w:szCs w:val="44"/>
        </w:rPr>
      </w:pPr>
      <w:r>
        <w:rPr>
          <w:rFonts w:ascii="华文中宋" w:hAnsi="华文中宋" w:cs="华文中宋" w:hint="eastAsia" w:eastAsia="华文中宋"/>
          <w:sz w:val="44"/>
          <w:szCs w:val="44"/>
        </w:rPr>
        <w:t>西安市会展业促进条例</w:t>
      </w:r>
    </w:p>
    <w:p>
      <w:pPr>
        <w:pStyle w:val="Normal"/>
        <w:spacing w:lineRule="exact" w:line="600"/>
        <w:rPr>
          <w:rFonts w:ascii="华文中宋" w:hAnsi="华文中宋" w:eastAsia="华文中宋" w:cs="华文中宋" w:hint="eastAsia"/>
          <w:sz w:val="44"/>
          <w:szCs w:val="44"/>
        </w:rPr>
      </w:pPr>
      <w:r>
        <w:rPr>
          <w:rFonts w:eastAsia="华文中宋" w:cs="华文中宋" w:hint="eastAsia" w:ascii="华文中宋" w:hAnsi="华文中宋"/>
          <w:sz w:val="44"/>
          <w:szCs w:val="44"/>
        </w:rPr>
      </w:r>
    </w:p>
    <w:p>
      <w:pPr>
        <w:pStyle w:val="Normal"/>
        <w:spacing w:lineRule="exact" w:line="600"/>
        <w:ind w:firstLineChars="200" w:startChars="200" w:endChars="200"/>
        <w:rPr>
          <w:rFonts w:ascii="楷体_GB2312" w:hAnsi="楷体_GB2312" w:eastAsia="楷体_GB2312" w:cs="宋体;SimSun" w:hint="eastAsia"/>
        </w:rPr>
      </w:pPr>
      <w:r>
        <w:rPr>
          <w:rFonts w:ascii="楷体_GB2312" w:hAnsi="楷体_GB2312" w:cs="宋体;SimSun" w:hint="eastAsia" w:eastAsia="楷体_GB2312"/>
        </w:rPr>
        <w:t>（</w:t>
      </w:r>
      <w:r>
        <w:rPr>
          <w:rFonts w:eastAsia="楷体_GB2312" w:cs="宋体;SimSun" w:hint="eastAsia" w:ascii="楷体_GB2312" w:hAnsi="楷体_GB2312"/>
        </w:rPr>
        <w:t>2013</w:t>
      </w:r>
      <w:r>
        <w:rPr>
          <w:rFonts w:ascii="楷体_GB2312" w:hAnsi="楷体_GB2312" w:cs="宋体;SimSun" w:hint="eastAsia" w:eastAsia="楷体_GB2312"/>
        </w:rPr>
        <w:t>年</w:t>
      </w:r>
      <w:r>
        <w:rPr>
          <w:rFonts w:eastAsia="楷体_GB2312" w:cs="宋体;SimSun" w:hint="eastAsia" w:ascii="楷体_GB2312" w:hAnsi="楷体_GB2312"/>
        </w:rPr>
        <w:t>10</w:t>
      </w:r>
      <w:r>
        <w:rPr>
          <w:rFonts w:ascii="楷体_GB2312" w:hAnsi="楷体_GB2312" w:cs="宋体;SimSun" w:hint="eastAsia" w:eastAsia="楷体_GB2312"/>
        </w:rPr>
        <w:t>月</w:t>
      </w:r>
      <w:r>
        <w:rPr>
          <w:rFonts w:eastAsia="楷体_GB2312" w:cs="宋体;SimSun" w:hint="eastAsia" w:ascii="楷体_GB2312" w:hAnsi="楷体_GB2312"/>
        </w:rPr>
        <w:t>29</w:t>
      </w:r>
      <w:r>
        <w:rPr>
          <w:rFonts w:ascii="楷体_GB2312" w:hAnsi="楷体_GB2312" w:cs="宋体;SimSun" w:hint="eastAsia" w:eastAsia="楷体_GB2312"/>
        </w:rPr>
        <w:t>日西安市第十五届人民代表大会常务委员会第十二次会议审议通过　</w:t>
      </w:r>
      <w:r>
        <w:rPr>
          <w:rFonts w:eastAsia="楷体_GB2312" w:cs="宋体;SimSun" w:hint="eastAsia" w:ascii="楷体_GB2312" w:hAnsi="楷体_GB2312"/>
        </w:rPr>
        <w:t>2013</w:t>
      </w:r>
      <w:r>
        <w:rPr>
          <w:rFonts w:ascii="楷体_GB2312" w:hAnsi="楷体_GB2312" w:cs="宋体;SimSun" w:hint="eastAsia" w:eastAsia="楷体_GB2312"/>
        </w:rPr>
        <w:t>年</w:t>
      </w:r>
      <w:r>
        <w:rPr>
          <w:rFonts w:eastAsia="楷体_GB2312" w:cs="宋体;SimSun" w:hint="eastAsia" w:ascii="楷体_GB2312" w:hAnsi="楷体_GB2312"/>
        </w:rPr>
        <w:t>11</w:t>
      </w:r>
      <w:r>
        <w:rPr>
          <w:rFonts w:ascii="楷体_GB2312" w:hAnsi="楷体_GB2312" w:cs="宋体;SimSun" w:hint="eastAsia" w:eastAsia="楷体_GB2312"/>
        </w:rPr>
        <w:t>月</w:t>
      </w:r>
      <w:r>
        <w:rPr>
          <w:rFonts w:eastAsia="楷体_GB2312" w:cs="宋体;SimSun" w:hint="eastAsia" w:ascii="楷体_GB2312" w:hAnsi="楷体_GB2312"/>
        </w:rPr>
        <w:t>29</w:t>
      </w:r>
      <w:r>
        <w:rPr>
          <w:rFonts w:ascii="楷体_GB2312" w:hAnsi="楷体_GB2312" w:cs="宋体;SimSun" w:hint="eastAsia" w:eastAsia="楷体_GB2312"/>
        </w:rPr>
        <w:t>日陕西省第十二届人民代表大会常务委员会第六次会议批准</w:t>
      </w:r>
    </w:p>
    <w:p>
      <w:pPr>
        <w:pStyle w:val="Normal"/>
        <w:spacing w:lineRule="exact" w:line="600"/>
        <w:ind w:firstLineChars="200" w:startChars="200" w:endChars="200"/>
        <w:rPr/>
      </w:pPr>
      <w:r>
        <w:rPr>
          <w:rFonts w:ascii="楷体_GB2312" w:hAnsi="楷体_GB2312" w:hint="eastAsia" w:eastAsia="楷体_GB2312"/>
        </w:rPr>
        <w:t>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21</w:t>
      </w:r>
      <w:r>
        <w:rPr>
          <w:rFonts w:ascii="楷体_GB2312" w:hAnsi="楷体_GB2312" w:cs="宋体;SimSun" w:hint="eastAsia" w:eastAsia="楷体_GB2312"/>
        </w:rPr>
        <w:t>日西安市第十六届人民代表大会常务委员会第三十七次会议通过　</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日陕西省第十三届人民代表大会常务委员会第二十三次会议批准的《西安市人民代表大会常务委员会关于修改〈西安市保护消费者合法权益条例〉等</w:t>
      </w:r>
      <w:r>
        <w:rPr>
          <w:rFonts w:eastAsia="楷体_GB2312" w:hint="eastAsia" w:ascii="楷体_GB2312" w:hAnsi="楷体_GB2312"/>
        </w:rPr>
        <w:t>65</w:t>
      </w:r>
      <w:r>
        <w:rPr>
          <w:rFonts w:ascii="楷体_GB2312" w:hAnsi="楷体_GB2312" w:hint="eastAsia" w:eastAsia="楷体_GB2312"/>
        </w:rPr>
        <w:t>部地方性法规的决定》修正</w:t>
      </w:r>
      <w:r>
        <w:rPr>
          <w:rFonts w:ascii="楷体_GB2312" w:hAnsi="楷体_GB2312" w:cs="宋体;SimSun" w:hint="eastAsia" w:eastAsia="楷体_GB2312"/>
        </w:rPr>
        <w:t>）</w:t>
      </w:r>
    </w:p>
    <w:p>
      <w:pPr>
        <w:pStyle w:val="Normal"/>
        <w:spacing w:lineRule="exact" w:line="600"/>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600"/>
        <w:jc w:val="center"/>
        <w:rPr/>
      </w:pPr>
      <w:r>
        <w:rPr>
          <w:rFonts w:ascii="楷体_GB2312" w:hAnsi="楷体_GB2312" w:hint="eastAsia" w:eastAsia="楷体_GB2312"/>
        </w:rPr>
        <w:t>目　　录</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第一章　总　则</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第二章　服务保障</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第三章　扶持培育</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第四章　规范管理</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第五章　法律责任</w:t>
      </w:r>
    </w:p>
    <w:p>
      <w:pPr>
        <w:pStyle w:val="Normal"/>
        <w:spacing w:lineRule="exact" w:line="600"/>
        <w:rPr/>
      </w:pPr>
      <w:r>
        <w:rPr>
          <w:rFonts w:ascii="宋体;SimSun" w:hAnsi="宋体;SimSun" w:cs="宋体;SimSun" w:hint="eastAsia" w:eastAsia="宋体;SimSun"/>
        </w:rPr>
        <w:t>　　</w:t>
      </w:r>
      <w:r>
        <w:rPr>
          <w:rFonts w:ascii="楷体_GB2312" w:hAnsi="楷体_GB2312" w:hint="eastAsia" w:eastAsia="楷体_GB2312"/>
        </w:rPr>
        <w:t>第六章　附　则</w:t>
      </w:r>
    </w:p>
    <w:p>
      <w:pPr>
        <w:pStyle w:val="Normal"/>
        <w:spacing w:lineRule="exact" w:line="600"/>
        <w:rPr>
          <w:rFonts w:ascii="楷体_GB2312" w:hAnsi="楷体_GB2312" w:eastAsia="楷体_GB2312" w:hint="eastAsia"/>
        </w:rPr>
      </w:pPr>
      <w:r>
        <w:rPr>
          <w:rFonts w:eastAsia="楷体_GB2312" w:hint="eastAsia" w:ascii="楷体_GB2312" w:hAnsi="楷体_GB2312"/>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第一章　总　则</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　第一条</w:t>
      </w:r>
      <w:r>
        <w:rPr>
          <w:rFonts w:hint="eastAsia"/>
        </w:rPr>
        <w:t>　为优化会展业市场环境，规范会展活动行为，促进经济和社会发展，根据有关法律、法规，结合本市实际，制定本条例。</w:t>
      </w:r>
    </w:p>
    <w:p>
      <w:pPr>
        <w:pStyle w:val="Normal"/>
        <w:spacing w:lineRule="exact" w:line="600"/>
        <w:rPr/>
      </w:pPr>
      <w:r>
        <w:rPr>
          <w:rFonts w:hint="eastAsia"/>
        </w:rPr>
        <w:t>　　</w:t>
      </w:r>
      <w:r>
        <w:rPr>
          <w:rFonts w:ascii="黑体;SimHei" w:hAnsi="黑体;SimHei" w:cs="黑体;SimHei" w:hint="eastAsia" w:eastAsia="黑体;SimHei"/>
        </w:rPr>
        <w:t>第二条</w:t>
      </w:r>
      <w:r>
        <w:rPr>
          <w:rFonts w:hint="eastAsia"/>
        </w:rPr>
        <w:t xml:space="preserve">　本条例所称会展，是指会展举办单位通过市场化运作，在固定场所和一定期限内举办的展览、展销、会议、地方特色节庆等活动。 </w:t>
      </w:r>
    </w:p>
    <w:p>
      <w:pPr>
        <w:pStyle w:val="Normal"/>
        <w:spacing w:lineRule="exact" w:line="600"/>
        <w:rPr/>
      </w:pPr>
      <w:r>
        <w:rPr>
          <w:rFonts w:hint="eastAsia"/>
        </w:rPr>
        <w:t>　　本条例所称举办单位包括主办单位和承办单位。主办单位是指负责制定会展方案和计划，对会展活动进行统筹、组织和安排，　　并承担主要责任的单位。承办单位是指按照与主办单位签订的会展协议，负责招展办会、宣传推广、安全保卫等具体活动的单位。</w:t>
      </w:r>
    </w:p>
    <w:p>
      <w:pPr>
        <w:pStyle w:val="Normal"/>
        <w:spacing w:lineRule="exact" w:line="600"/>
        <w:rPr/>
      </w:pPr>
      <w:r>
        <w:rPr>
          <w:rFonts w:hint="eastAsia"/>
        </w:rPr>
        <w:t>　　</w:t>
      </w:r>
      <w:r>
        <w:rPr>
          <w:rFonts w:ascii="黑体;SimHei" w:hAnsi="黑体;SimHei" w:cs="黑体;SimHei" w:hint="eastAsia" w:eastAsia="黑体;SimHei"/>
        </w:rPr>
        <w:t>第三条</w:t>
      </w:r>
      <w:r>
        <w:rPr>
          <w:rFonts w:hint="eastAsia"/>
        </w:rPr>
        <w:t>　本市行政区域内会展活动的经营、服务、管理适用本条例。</w:t>
      </w:r>
    </w:p>
    <w:p>
      <w:pPr>
        <w:pStyle w:val="Normal"/>
        <w:spacing w:lineRule="exact" w:line="600"/>
        <w:rPr/>
      </w:pPr>
      <w:r>
        <w:rPr>
          <w:rFonts w:hint="eastAsia"/>
        </w:rPr>
        <w:t>　　</w:t>
      </w:r>
      <w:r>
        <w:rPr>
          <w:rFonts w:ascii="黑体;SimHei" w:hAnsi="黑体;SimHei" w:cs="黑体;SimHei" w:hint="eastAsia" w:eastAsia="黑体;SimHei"/>
        </w:rPr>
        <w:t>第四条</w:t>
      </w:r>
      <w:r>
        <w:rPr>
          <w:rFonts w:hint="eastAsia"/>
        </w:rPr>
        <w:t>　会展活动应当坚持市场运作、公平竞争、政府引导、行业自律的原则。</w:t>
      </w:r>
    </w:p>
    <w:p>
      <w:pPr>
        <w:pStyle w:val="Normal"/>
        <w:spacing w:lineRule="exact" w:line="600"/>
        <w:rPr/>
      </w:pPr>
      <w:r>
        <w:rPr>
          <w:rFonts w:hint="eastAsia"/>
        </w:rPr>
        <w:t>　　</w:t>
      </w:r>
      <w:r>
        <w:rPr>
          <w:rFonts w:ascii="黑体;SimHei" w:hAnsi="黑体;SimHei" w:cs="黑体;SimHei" w:hint="eastAsia" w:eastAsia="黑体;SimHei"/>
        </w:rPr>
        <w:t>第五条</w:t>
      </w:r>
      <w:r>
        <w:rPr>
          <w:rFonts w:hint="eastAsia"/>
        </w:rPr>
        <w:t>　市人民政府应当将会展业发展纳入国民经济和社会发展规划，增强会展业与旅游、文化产业的融合，促进会展业健康发展。</w:t>
      </w:r>
    </w:p>
    <w:p>
      <w:pPr>
        <w:pStyle w:val="Normal"/>
        <w:spacing w:lineRule="exact" w:line="600"/>
        <w:rPr/>
      </w:pPr>
      <w:r>
        <w:rPr>
          <w:rFonts w:hint="eastAsia"/>
        </w:rPr>
        <w:t>　　区县人民政府及开发区管理委员会可以根据本辖区经济社会发展实际，采取措施，扶持引导会展业发展。</w:t>
      </w:r>
    </w:p>
    <w:p>
      <w:pPr>
        <w:pStyle w:val="Normal"/>
        <w:spacing w:lineRule="exact" w:line="600"/>
        <w:rPr/>
      </w:pPr>
      <w:r>
        <w:rPr>
          <w:rFonts w:hint="eastAsia"/>
        </w:rPr>
        <w:t>　　</w:t>
      </w:r>
      <w:r>
        <w:rPr>
          <w:rFonts w:ascii="黑体;SimHei" w:hAnsi="黑体;SimHei" w:cs="黑体;SimHei" w:hint="eastAsia" w:eastAsia="黑体;SimHei"/>
        </w:rPr>
        <w:t>第六条</w:t>
      </w:r>
      <w:r>
        <w:rPr>
          <w:rFonts w:hint="eastAsia"/>
        </w:rPr>
        <w:t>　市人民政府商务主管部门是本市会展业行政主管部门，负责组织实施本条例。</w:t>
      </w:r>
    </w:p>
    <w:p>
      <w:pPr>
        <w:pStyle w:val="Normal"/>
        <w:spacing w:lineRule="exact" w:line="600"/>
        <w:rPr/>
      </w:pPr>
      <w:r>
        <w:rPr>
          <w:rFonts w:hint="eastAsia"/>
        </w:rPr>
        <w:t>　　发改、财政、市场监管、公安、城管、科技、应急、资源规划、外事、侨务、文化旅游、住建、交通、教育等部门，按照各自职责，做好会展业发展的相关工作。</w:t>
      </w:r>
    </w:p>
    <w:p>
      <w:pPr>
        <w:pStyle w:val="Normal"/>
        <w:spacing w:lineRule="exact" w:line="600"/>
        <w:rPr/>
      </w:pPr>
      <w:r>
        <w:rPr>
          <w:rFonts w:hint="eastAsia"/>
        </w:rPr>
        <w:t>　　</w:t>
      </w:r>
      <w:r>
        <w:rPr>
          <w:rFonts w:ascii="黑体;SimHei" w:hAnsi="黑体;SimHei" w:cs="黑体;SimHei" w:hint="eastAsia" w:eastAsia="黑体;SimHei"/>
        </w:rPr>
        <w:t>第七条</w:t>
      </w:r>
      <w:r>
        <w:rPr>
          <w:rFonts w:hint="eastAsia"/>
        </w:rPr>
        <w:t>　市会展行业协会应当加强行业自律，制定行业规范，引导会员规范经营，维护会展企业合法权益。</w:t>
      </w:r>
    </w:p>
    <w:p>
      <w:pPr>
        <w:pStyle w:val="Normal"/>
        <w:spacing w:lineRule="exact" w:line="600"/>
        <w:rPr>
          <w:rFonts w:hint="eastAsia"/>
        </w:rPr>
      </w:pPr>
      <w:r>
        <w:rPr>
          <w:rFonts w:hint="eastAsia"/>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第二章　服务保障</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第八条</w:t>
      </w:r>
      <w:r>
        <w:rPr>
          <w:rFonts w:hint="eastAsia"/>
        </w:rPr>
        <w:t>　市人民政府应当建立协调机制，研究决策会展业发展的重大问题，协调重大会展活动的组织实施、服务保障等工作。</w:t>
      </w:r>
    </w:p>
    <w:p>
      <w:pPr>
        <w:pStyle w:val="Normal"/>
        <w:spacing w:lineRule="exact" w:line="600"/>
        <w:rPr/>
      </w:pPr>
      <w:r>
        <w:rPr>
          <w:rFonts w:hint="eastAsia"/>
        </w:rPr>
        <w:t>　　</w:t>
      </w:r>
      <w:r>
        <w:rPr>
          <w:rFonts w:ascii="黑体;SimHei" w:hAnsi="黑体;SimHei" w:cs="黑体;SimHei" w:hint="eastAsia" w:eastAsia="黑体;SimHei"/>
        </w:rPr>
        <w:t>第九条</w:t>
      </w:r>
      <w:r>
        <w:rPr>
          <w:rFonts w:hint="eastAsia"/>
        </w:rPr>
        <w:t>　会展业行政主管部门应当研究会展业发展动态、分析会展数据、进行市场预测，为政府决策提供科学依据。</w:t>
      </w:r>
    </w:p>
    <w:p>
      <w:pPr>
        <w:pStyle w:val="Normal"/>
        <w:spacing w:lineRule="exact" w:line="600"/>
        <w:rPr/>
      </w:pPr>
      <w:r>
        <w:rPr>
          <w:rFonts w:hint="eastAsia"/>
        </w:rPr>
        <w:t>　　</w:t>
      </w:r>
      <w:r>
        <w:rPr>
          <w:rFonts w:ascii="黑体;SimHei" w:hAnsi="黑体;SimHei" w:cs="黑体;SimHei" w:hint="eastAsia" w:eastAsia="黑体;SimHei"/>
        </w:rPr>
        <w:t>第十条</w:t>
      </w:r>
      <w:r>
        <w:rPr>
          <w:rFonts w:hint="eastAsia"/>
        </w:rPr>
        <w:t>　会展业行政主管部门应当组织区县人民政府、开发区管理委员会、市级有关部门和相关企业采取多种方式，推介宣传西安优势资源和经济社会发展成就。</w:t>
      </w:r>
    </w:p>
    <w:p>
      <w:pPr>
        <w:pStyle w:val="Normal"/>
        <w:spacing w:lineRule="exact" w:line="600"/>
        <w:rPr/>
      </w:pPr>
      <w:r>
        <w:rPr>
          <w:rFonts w:hint="eastAsia"/>
        </w:rPr>
        <w:t>　　</w:t>
      </w:r>
      <w:r>
        <w:rPr>
          <w:rFonts w:ascii="黑体;SimHei" w:hAnsi="黑体;SimHei" w:cs="黑体;SimHei" w:hint="eastAsia" w:eastAsia="黑体;SimHei"/>
        </w:rPr>
        <w:t>第十一条</w:t>
      </w:r>
      <w:r>
        <w:rPr>
          <w:rFonts w:hint="eastAsia"/>
        </w:rPr>
        <w:t>　会展活动期间，公安机关应当组织相应警力，维持活动现场及周边的治安、交通秩序，为会展活动提供安全保障。</w:t>
      </w:r>
    </w:p>
    <w:p>
      <w:pPr>
        <w:pStyle w:val="Normal"/>
        <w:spacing w:lineRule="exact" w:line="600"/>
        <w:rPr/>
      </w:pPr>
      <w:r>
        <w:rPr>
          <w:rFonts w:hint="eastAsia"/>
        </w:rPr>
        <w:t>　　</w:t>
      </w:r>
      <w:r>
        <w:rPr>
          <w:rFonts w:ascii="黑体;SimHei" w:hAnsi="黑体;SimHei" w:cs="黑体;SimHei" w:hint="eastAsia" w:eastAsia="黑体;SimHei"/>
        </w:rPr>
        <w:t>第十二条</w:t>
      </w:r>
      <w:r>
        <w:rPr>
          <w:rFonts w:hint="eastAsia"/>
        </w:rPr>
        <w:t>　会展活动期间，公安机关、城市管理综合执法主管部门应当在会展场馆周边合理设置临时停车泊位，停车泊位数量由公安机关、城市管理综合执法主管部门会同会展业行政主管部门商定。</w:t>
      </w:r>
    </w:p>
    <w:p>
      <w:pPr>
        <w:pStyle w:val="Normal"/>
        <w:spacing w:lineRule="exact" w:line="600"/>
        <w:ind w:firstLine="630" w:end="0"/>
        <w:rPr>
          <w:rFonts w:hint="eastAsia"/>
        </w:rPr>
      </w:pPr>
      <w:r>
        <w:rPr>
          <w:rFonts w:ascii="黑体;SimHei" w:hAnsi="黑体;SimHei" w:cs="黑体;SimHei" w:hint="eastAsia" w:eastAsia="黑体;SimHei"/>
        </w:rPr>
        <w:t>第十三条</w:t>
      </w:r>
      <w:r>
        <w:rPr>
          <w:rFonts w:hint="eastAsia"/>
        </w:rPr>
        <w:t>　会展活动期间，户外广告设置行政主管部门应当在市政设施和会展场所周边符合户外广告设置条件的公共场所划定一定数量的广告位，用于举办单位申请设置广告。</w:t>
      </w:r>
    </w:p>
    <w:p>
      <w:pPr>
        <w:pStyle w:val="Normal"/>
        <w:spacing w:lineRule="exact" w:line="600"/>
        <w:ind w:firstLine="630" w:end="0"/>
        <w:rPr/>
      </w:pPr>
      <w:r>
        <w:rPr>
          <w:rFonts w:hint="eastAsia"/>
        </w:rPr>
        <w:t>户外广告设置行政主管部门办理审批手续时，应当简化程序、优先办理。</w:t>
      </w:r>
    </w:p>
    <w:p>
      <w:pPr>
        <w:pStyle w:val="Normal"/>
        <w:spacing w:lineRule="exact" w:line="600"/>
        <w:rPr/>
      </w:pPr>
      <w:r>
        <w:rPr>
          <w:rFonts w:hint="eastAsia"/>
        </w:rPr>
        <w:t>　　</w:t>
      </w:r>
      <w:r>
        <w:rPr>
          <w:rFonts w:ascii="黑体;SimHei" w:hAnsi="黑体;SimHei" w:cs="黑体;SimHei" w:hint="eastAsia" w:eastAsia="黑体;SimHei"/>
        </w:rPr>
        <w:t>第十四条</w:t>
      </w:r>
      <w:r>
        <w:rPr>
          <w:rFonts w:hint="eastAsia"/>
        </w:rPr>
        <w:t>　会展活动期间，会展业行政主管部门可以根据会展规模与交通运输主管部门协商增加公交运营车辆，适当延长运营时间。</w:t>
      </w:r>
    </w:p>
    <w:p>
      <w:pPr>
        <w:pStyle w:val="Normal"/>
        <w:spacing w:lineRule="exact" w:line="600"/>
        <w:rPr/>
      </w:pPr>
      <w:r>
        <w:rPr>
          <w:rFonts w:hint="eastAsia"/>
        </w:rPr>
        <w:t>　　</w:t>
      </w:r>
      <w:r>
        <w:rPr>
          <w:rFonts w:ascii="黑体;SimHei" w:hAnsi="黑体;SimHei" w:cs="黑体;SimHei" w:hint="eastAsia" w:eastAsia="黑体;SimHei"/>
        </w:rPr>
        <w:t>第十五条</w:t>
      </w:r>
      <w:r>
        <w:rPr>
          <w:rFonts w:hint="eastAsia"/>
        </w:rPr>
        <w:t>　举办大型会展活动，商务、市场监管等部门应当派员进驻会展场馆提供服务。</w:t>
      </w:r>
    </w:p>
    <w:p>
      <w:pPr>
        <w:pStyle w:val="Normal"/>
        <w:spacing w:lineRule="exact" w:line="600"/>
        <w:rPr/>
      </w:pPr>
      <w:r>
        <w:rPr>
          <w:rFonts w:hint="eastAsia"/>
        </w:rPr>
        <w:t>　　</w:t>
      </w:r>
      <w:r>
        <w:rPr>
          <w:rFonts w:ascii="黑体;SimHei" w:hAnsi="黑体;SimHei" w:cs="黑体;SimHei" w:hint="eastAsia" w:eastAsia="黑体;SimHei"/>
        </w:rPr>
        <w:t>第十六条</w:t>
      </w:r>
      <w:r>
        <w:rPr>
          <w:rFonts w:hint="eastAsia"/>
        </w:rPr>
        <w:t>　本市广播、电视、报刊、网络等媒体应当对会展活动加强宣传，传播相关信息，营造会展氛围。</w:t>
      </w:r>
    </w:p>
    <w:p>
      <w:pPr>
        <w:pStyle w:val="Normal"/>
        <w:spacing w:lineRule="exact" w:line="600"/>
        <w:rPr/>
      </w:pPr>
      <w:r>
        <w:rPr>
          <w:rFonts w:hint="eastAsia"/>
        </w:rPr>
        <w:t>　　</w:t>
      </w:r>
      <w:r>
        <w:rPr>
          <w:rFonts w:ascii="黑体;SimHei" w:hAnsi="黑体;SimHei" w:cs="黑体;SimHei" w:hint="eastAsia" w:eastAsia="黑体;SimHei"/>
        </w:rPr>
        <w:t>第十七条</w:t>
      </w:r>
      <w:r>
        <w:rPr>
          <w:rFonts w:hint="eastAsia"/>
        </w:rPr>
        <w:t>　参与会展服务的部门、机构，应当树立服务意识，切实做好服务保障工作。不得违背企业意愿，采取或者变相采取行政干预手段要求企业参展；不得强行摊派或收取服务费用。</w:t>
      </w:r>
    </w:p>
    <w:p>
      <w:pPr>
        <w:pStyle w:val="Normal"/>
        <w:spacing w:lineRule="exact" w:line="600"/>
        <w:rPr>
          <w:rFonts w:hint="eastAsia"/>
        </w:rPr>
      </w:pPr>
      <w:r>
        <w:rPr>
          <w:rFonts w:hint="eastAsia"/>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第三章　扶持培育</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第十八条</w:t>
      </w:r>
      <w:r>
        <w:rPr>
          <w:rFonts w:hint="eastAsia"/>
        </w:rPr>
        <w:t>　市人民政府应当制定促进会展业发展的优惠政策，设立会展业发展专项资金，逐步加大对会展业发展的扶持培育力度。</w:t>
      </w:r>
    </w:p>
    <w:p>
      <w:pPr>
        <w:pStyle w:val="Normal"/>
        <w:spacing w:lineRule="exact" w:line="600"/>
        <w:rPr/>
      </w:pPr>
      <w:r>
        <w:rPr>
          <w:rFonts w:hint="eastAsia"/>
        </w:rPr>
        <w:t>　　专项资金主要用于下列事项的扶持补助：</w:t>
      </w:r>
    </w:p>
    <w:p>
      <w:pPr>
        <w:pStyle w:val="Normal"/>
        <w:spacing w:lineRule="exact" w:line="600"/>
        <w:rPr/>
      </w:pPr>
      <w:r>
        <w:rPr>
          <w:rFonts w:hint="eastAsia"/>
        </w:rPr>
        <w:t>　　（一）会展项目、企业和相关配套服务机构的发展；</w:t>
      </w:r>
    </w:p>
    <w:p>
      <w:pPr>
        <w:pStyle w:val="Normal"/>
        <w:spacing w:lineRule="exact" w:line="600"/>
        <w:rPr/>
      </w:pPr>
      <w:r>
        <w:rPr>
          <w:rFonts w:hint="eastAsia"/>
        </w:rPr>
        <w:t>　　（二）会展人才的培养和引进；</w:t>
      </w:r>
    </w:p>
    <w:p>
      <w:pPr>
        <w:pStyle w:val="Normal"/>
        <w:spacing w:lineRule="exact" w:line="600"/>
        <w:rPr/>
      </w:pPr>
      <w:r>
        <w:rPr>
          <w:rFonts w:hint="eastAsia"/>
        </w:rPr>
        <w:t>　　（三）会展宣传和招商推介。</w:t>
      </w:r>
    </w:p>
    <w:p>
      <w:pPr>
        <w:pStyle w:val="Normal"/>
        <w:spacing w:lineRule="exact" w:line="600"/>
        <w:rPr/>
      </w:pPr>
      <w:r>
        <w:rPr>
          <w:rFonts w:hint="eastAsia"/>
        </w:rPr>
        <w:t>　　对在本市举办的规模大、质量优、效益好、影响广、辐射带动作用强的品牌会展活动和符合本市产业发展方向、具有发展潜力的会展活动，予以重点扶持。</w:t>
      </w:r>
    </w:p>
    <w:p>
      <w:pPr>
        <w:pStyle w:val="Normal"/>
        <w:spacing w:lineRule="exact" w:line="600"/>
        <w:rPr/>
      </w:pPr>
      <w:r>
        <w:rPr>
          <w:rFonts w:hint="eastAsia"/>
        </w:rPr>
        <w:t>　　</w:t>
      </w:r>
      <w:r>
        <w:rPr>
          <w:rFonts w:ascii="黑体;SimHei" w:hAnsi="黑体;SimHei" w:cs="黑体;SimHei" w:hint="eastAsia" w:eastAsia="黑体;SimHei"/>
        </w:rPr>
        <w:t>第十九条</w:t>
      </w:r>
      <w:r>
        <w:rPr>
          <w:rFonts w:hint="eastAsia"/>
        </w:rPr>
        <w:t>　</w:t>
      </w:r>
      <w:r>
        <w:rPr/>
        <w:t>会展业</w:t>
      </w:r>
      <w:r>
        <w:rPr>
          <w:rFonts w:hint="eastAsia"/>
        </w:rPr>
        <w:t>行政主管部门</w:t>
      </w:r>
      <w:r>
        <w:rPr/>
        <w:t>应当每年发布会展业年度报告，编制会展活动指导目录，明确会展业发展重点和引导方向。</w:t>
      </w:r>
    </w:p>
    <w:p>
      <w:pPr>
        <w:pStyle w:val="Normal"/>
        <w:spacing w:lineRule="exact" w:line="600"/>
        <w:rPr/>
      </w:pPr>
      <w:r>
        <w:rPr>
          <w:rFonts w:hint="eastAsia"/>
        </w:rPr>
        <w:t>　　</w:t>
      </w:r>
      <w:r>
        <w:rPr/>
        <w:t>列入会展活动指导目录的项目，举办单位可以申请扶持补助。</w:t>
      </w:r>
    </w:p>
    <w:p>
      <w:pPr>
        <w:pStyle w:val="Normal"/>
        <w:spacing w:lineRule="exact" w:line="600"/>
        <w:rPr>
          <w:rFonts w:hint="eastAsia"/>
        </w:rPr>
      </w:pPr>
      <w:r>
        <w:rPr>
          <w:rFonts w:hint="eastAsia"/>
        </w:rPr>
        <w:t>　　</w:t>
      </w:r>
      <w:r>
        <w:rPr/>
        <w:t>按照</w:t>
      </w:r>
      <w:r>
        <w:rPr/>
        <w:t>3</w:t>
      </w:r>
      <w:r>
        <w:rPr/>
        <w:t>个月之内不重复举办题材、名称等相同或相近展会的原则，对重复办展的项目，会展业</w:t>
      </w:r>
      <w:r>
        <w:rPr>
          <w:rFonts w:hint="eastAsia"/>
        </w:rPr>
        <w:t>行政主管部门</w:t>
      </w:r>
      <w:r>
        <w:rPr/>
        <w:t>协调举办单位自行调整后纳入年度会展活动指导目录。</w:t>
      </w:r>
    </w:p>
    <w:p>
      <w:pPr>
        <w:pStyle w:val="Normal"/>
        <w:spacing w:lineRule="exact" w:line="600"/>
        <w:rPr/>
      </w:pPr>
      <w:r>
        <w:rPr>
          <w:rFonts w:hint="eastAsia"/>
        </w:rPr>
        <w:t>　　</w:t>
      </w:r>
      <w:r>
        <w:rPr>
          <w:rFonts w:ascii="黑体;SimHei" w:hAnsi="黑体;SimHei" w:cs="黑体;SimHei" w:hint="eastAsia" w:eastAsia="黑体;SimHei"/>
        </w:rPr>
        <w:t>第二十条</w:t>
      </w:r>
      <w:r>
        <w:rPr>
          <w:rFonts w:hint="eastAsia"/>
        </w:rPr>
        <w:t>　市、区县人民政府及开发区管理委员会应当引进品牌展会，提升展会、地方特色节庆活动的影响力。</w:t>
      </w:r>
    </w:p>
    <w:p>
      <w:pPr>
        <w:pStyle w:val="Normal"/>
        <w:spacing w:lineRule="exact" w:line="600"/>
        <w:rPr/>
      </w:pPr>
      <w:r>
        <w:rPr>
          <w:rFonts w:hint="eastAsia"/>
        </w:rPr>
        <w:t>　　对超大规模、有突出影响的会展活动的招徕、举办方，按照有关规定予以奖励。</w:t>
      </w:r>
    </w:p>
    <w:p>
      <w:pPr>
        <w:pStyle w:val="Normal"/>
        <w:spacing w:lineRule="exact" w:line="600"/>
        <w:rPr/>
      </w:pPr>
      <w:r>
        <w:rPr>
          <w:rFonts w:hint="eastAsia"/>
        </w:rPr>
        <w:t>　　</w:t>
      </w:r>
      <w:r>
        <w:rPr>
          <w:rFonts w:ascii="黑体;SimHei" w:hAnsi="黑体;SimHei" w:cs="黑体;SimHei" w:hint="eastAsia" w:eastAsia="黑体;SimHei"/>
        </w:rPr>
        <w:t>第二十一条</w:t>
      </w:r>
      <w:r>
        <w:rPr>
          <w:rFonts w:hint="eastAsia"/>
        </w:rPr>
        <w:t>　会展业行政主管部门应当根据本市会展业发展要求，会同相关部门编制会展场馆建设专项规划。资源规划主管部门应当将会展场馆建设专项规划有关内容纳入城市总体规划。</w:t>
      </w:r>
    </w:p>
    <w:p>
      <w:pPr>
        <w:pStyle w:val="Normal"/>
        <w:spacing w:lineRule="exact" w:line="600"/>
        <w:rPr/>
      </w:pPr>
      <w:r>
        <w:rPr>
          <w:rFonts w:hint="eastAsia"/>
        </w:rPr>
        <w:t>　　市、区县人民政府及相关部门应当完善会展场馆周边的交通、餐饮、住宿等配套设施。</w:t>
      </w:r>
    </w:p>
    <w:p>
      <w:pPr>
        <w:pStyle w:val="Normal"/>
        <w:spacing w:lineRule="exact" w:line="600"/>
        <w:rPr/>
      </w:pPr>
      <w:r>
        <w:rPr>
          <w:rFonts w:hint="eastAsia"/>
        </w:rPr>
        <w:t>　　资源规划、住建等部门在会展场馆建设项目的土地使用、施工建设等方面应当优先支持。</w:t>
      </w:r>
    </w:p>
    <w:p>
      <w:pPr>
        <w:pStyle w:val="Normal"/>
        <w:spacing w:lineRule="exact" w:line="600"/>
        <w:rPr/>
      </w:pPr>
      <w:r>
        <w:rPr>
          <w:rFonts w:hint="eastAsia"/>
        </w:rPr>
        <w:t>　　</w:t>
      </w:r>
      <w:r>
        <w:rPr>
          <w:rFonts w:ascii="黑体;SimHei" w:hAnsi="黑体;SimHei" w:cs="黑体;SimHei" w:hint="eastAsia" w:eastAsia="黑体;SimHei"/>
        </w:rPr>
        <w:t>第二十二条</w:t>
      </w:r>
      <w:r>
        <w:rPr>
          <w:rFonts w:hint="eastAsia"/>
        </w:rPr>
        <w:t>　鼓励社会资本和境外投资者参与会展业市场的开发、场馆建设和配套设施建设。</w:t>
      </w:r>
    </w:p>
    <w:p>
      <w:pPr>
        <w:pStyle w:val="Normal"/>
        <w:spacing w:lineRule="exact" w:line="600"/>
        <w:rPr/>
      </w:pPr>
      <w:r>
        <w:rPr>
          <w:rFonts w:hint="eastAsia"/>
        </w:rPr>
        <w:t>　　</w:t>
      </w:r>
      <w:r>
        <w:rPr>
          <w:rFonts w:ascii="黑体;SimHei" w:hAnsi="黑体;SimHei" w:cs="黑体;SimHei" w:hint="eastAsia" w:eastAsia="黑体;SimHei"/>
        </w:rPr>
        <w:t>第二十三条</w:t>
      </w:r>
      <w:r>
        <w:rPr>
          <w:rFonts w:hint="eastAsia"/>
        </w:rPr>
        <w:t>　鼓励会展企业通过兼并、收购、联营等形式组建大型会展产业集团，向专业化、品牌化、国际化发展。</w:t>
      </w:r>
    </w:p>
    <w:p>
      <w:pPr>
        <w:pStyle w:val="Normal"/>
        <w:spacing w:lineRule="exact" w:line="600"/>
        <w:rPr/>
      </w:pPr>
      <w:r>
        <w:rPr>
          <w:rFonts w:hint="eastAsia"/>
        </w:rPr>
        <w:t>　　</w:t>
      </w:r>
      <w:r>
        <w:rPr>
          <w:rFonts w:ascii="黑体;SimHei" w:hAnsi="黑体;SimHei" w:cs="黑体;SimHei" w:hint="eastAsia" w:eastAsia="黑体;SimHei"/>
        </w:rPr>
        <w:t>第二十四条</w:t>
      </w:r>
      <w:r>
        <w:rPr>
          <w:rFonts w:hint="eastAsia"/>
        </w:rPr>
        <w:t>　鼓励本市会展企业和会展项目加入国际展览业协会，取得国际认证。对取得国际展览业协会相关认证的会展企业和会展项目，按相关规定给予奖励。</w:t>
      </w:r>
    </w:p>
    <w:p>
      <w:pPr>
        <w:pStyle w:val="Normal"/>
        <w:spacing w:lineRule="exact" w:line="600"/>
        <w:rPr/>
      </w:pPr>
      <w:r>
        <w:rPr>
          <w:rFonts w:hint="eastAsia"/>
        </w:rPr>
        <w:t>　</w:t>
      </w:r>
      <w:r>
        <w:rPr>
          <w:rFonts w:ascii="黑体;SimHei" w:hAnsi="黑体;SimHei" w:cs="黑体;SimHei" w:hint="eastAsia" w:eastAsia="黑体;SimHei"/>
        </w:rPr>
        <w:t>　第二十五条</w:t>
      </w:r>
      <w:r>
        <w:rPr>
          <w:rFonts w:hint="eastAsia"/>
        </w:rPr>
        <w:t>　对国内外知名品牌会展公司落户我市、注册分公司或合资公司，按相关规定给予奖励。</w:t>
      </w:r>
    </w:p>
    <w:p>
      <w:pPr>
        <w:pStyle w:val="Normal"/>
        <w:spacing w:lineRule="exact" w:line="600"/>
        <w:rPr/>
      </w:pPr>
      <w:r>
        <w:rPr>
          <w:rFonts w:hint="eastAsia"/>
        </w:rPr>
        <w:t>　</w:t>
      </w:r>
      <w:r>
        <w:rPr>
          <w:rFonts w:ascii="黑体;SimHei" w:hAnsi="黑体;SimHei" w:cs="黑体;SimHei" w:hint="eastAsia" w:eastAsia="黑体;SimHei"/>
        </w:rPr>
        <w:t>　第二十六条</w:t>
      </w:r>
      <w:r>
        <w:rPr>
          <w:rFonts w:hint="eastAsia"/>
        </w:rPr>
        <w:t>　鼓励发展会展信息技术服务、展台搭建、策划等会展配套服务机构，对本市重点发展的会展配套服务机构给予支持。</w:t>
      </w:r>
    </w:p>
    <w:p>
      <w:pPr>
        <w:pStyle w:val="Normal"/>
        <w:spacing w:lineRule="exact" w:line="600"/>
        <w:rPr/>
      </w:pPr>
      <w:r>
        <w:rPr>
          <w:rFonts w:hint="eastAsia"/>
        </w:rPr>
        <w:t>　　</w:t>
      </w:r>
      <w:r>
        <w:rPr>
          <w:rFonts w:ascii="黑体;SimHei" w:hAnsi="黑体;SimHei" w:cs="黑体;SimHei" w:hint="eastAsia" w:eastAsia="黑体;SimHei"/>
        </w:rPr>
        <w:t>第二十七条</w:t>
      </w:r>
      <w:r>
        <w:rPr>
          <w:rFonts w:hint="eastAsia"/>
        </w:rPr>
        <w:t>　市、区县人民政府及开发区管理委员会应当培育地域特色鲜明、产业优势突出、群众参与性强的展销及地方特色节庆等会展活动。</w:t>
      </w:r>
    </w:p>
    <w:p>
      <w:pPr>
        <w:pStyle w:val="Normal"/>
        <w:spacing w:lineRule="exact" w:line="600"/>
        <w:rPr/>
      </w:pPr>
      <w:r>
        <w:rPr>
          <w:rFonts w:hint="eastAsia"/>
        </w:rPr>
        <w:t>　　</w:t>
      </w:r>
      <w:r>
        <w:rPr>
          <w:rFonts w:ascii="黑体;SimHei" w:hAnsi="黑体;SimHei" w:cs="黑体;SimHei" w:hint="eastAsia" w:eastAsia="黑体;SimHei"/>
        </w:rPr>
        <w:t>第二十八条</w:t>
      </w:r>
      <w:r>
        <w:rPr>
          <w:rFonts w:hint="eastAsia"/>
        </w:rPr>
        <w:t>　建立会展业人才引进和培养机制，把会展产业人才的培养和引进纳入市人才管理工作规划。</w:t>
      </w:r>
    </w:p>
    <w:p>
      <w:pPr>
        <w:pStyle w:val="Normal"/>
        <w:spacing w:lineRule="exact" w:line="600"/>
        <w:rPr/>
      </w:pPr>
      <w:r>
        <w:rPr>
          <w:rFonts w:hint="eastAsia"/>
        </w:rPr>
        <w:t>　　引进符合本市需求的高层次会展人才，所产生的住房补贴、安家费、科研启动经费等费用，会展企业可列入成本核算。</w:t>
      </w:r>
    </w:p>
    <w:p>
      <w:pPr>
        <w:pStyle w:val="Normal"/>
        <w:spacing w:lineRule="exact" w:line="600"/>
        <w:rPr/>
      </w:pPr>
      <w:r>
        <w:rPr>
          <w:rFonts w:hint="eastAsia"/>
        </w:rPr>
        <w:t>　　高层次会展人才户籍迁入、子女入学可按本市相关规定享受优惠政策。</w:t>
      </w:r>
    </w:p>
    <w:p>
      <w:pPr>
        <w:pStyle w:val="Normal"/>
        <w:spacing w:lineRule="exact" w:line="600"/>
        <w:rPr/>
      </w:pPr>
      <w:r>
        <w:rPr>
          <w:rFonts w:hint="eastAsia"/>
        </w:rPr>
        <w:t>　　</w:t>
      </w:r>
      <w:r>
        <w:rPr>
          <w:rFonts w:ascii="黑体;SimHei" w:hAnsi="黑体;SimHei" w:cs="黑体;SimHei" w:hint="eastAsia" w:eastAsia="黑体;SimHei"/>
        </w:rPr>
        <w:t>第二十九条</w:t>
      </w:r>
      <w:r>
        <w:rPr>
          <w:rFonts w:hint="eastAsia"/>
        </w:rPr>
        <w:t>　会展业行政主管部门应当组织从业人员培训。鼓励院校、科研机构、职业培训机构和会展企业建立会展产业教学、科研和培训基地。</w:t>
      </w:r>
    </w:p>
    <w:p>
      <w:pPr>
        <w:pStyle w:val="Normal"/>
        <w:spacing w:lineRule="exact" w:line="600"/>
        <w:rPr/>
      </w:pPr>
      <w:r>
        <w:rPr>
          <w:rFonts w:hint="eastAsia"/>
        </w:rPr>
        <w:t>　　</w:t>
      </w:r>
      <w:r>
        <w:rPr>
          <w:rFonts w:ascii="黑体;SimHei" w:hAnsi="黑体;SimHei" w:cs="黑体;SimHei" w:hint="eastAsia" w:eastAsia="黑体;SimHei"/>
        </w:rPr>
        <w:t>第三十条</w:t>
      </w:r>
      <w:r>
        <w:rPr>
          <w:rFonts w:hint="eastAsia"/>
        </w:rPr>
        <w:t>　会展业行政主管部门应当建立科学、合理的评价与激励机制，对为本市会展产业发展做出突出贡献的单位和个人给予表彰。</w:t>
      </w:r>
    </w:p>
    <w:p>
      <w:pPr>
        <w:pStyle w:val="Normal"/>
        <w:spacing w:lineRule="exact" w:line="600"/>
        <w:rPr/>
      </w:pPr>
      <w:r>
        <w:rPr>
          <w:rFonts w:hint="eastAsia"/>
        </w:rPr>
        <w:t>　　</w:t>
      </w:r>
      <w:r>
        <w:rPr>
          <w:rFonts w:ascii="黑体;SimHei" w:hAnsi="黑体;SimHei" w:cs="黑体;SimHei" w:hint="eastAsia" w:eastAsia="黑体;SimHei"/>
        </w:rPr>
        <w:t>第三十一条</w:t>
      </w:r>
      <w:r>
        <w:rPr>
          <w:rFonts w:hint="eastAsia"/>
        </w:rPr>
        <w:t>　鼓励品牌展会进行商标注册保护，申报驰名商标。</w:t>
      </w:r>
    </w:p>
    <w:p>
      <w:pPr>
        <w:pStyle w:val="Normal"/>
        <w:spacing w:lineRule="exact" w:line="600"/>
        <w:rPr/>
      </w:pPr>
      <w:r>
        <w:rPr>
          <w:rFonts w:hint="eastAsia"/>
        </w:rPr>
        <w:t>　　对会展企业首次获得驰名商标的，按相关规定进行奖励。</w:t>
      </w:r>
    </w:p>
    <w:p>
      <w:pPr>
        <w:pStyle w:val="Normal"/>
        <w:spacing w:lineRule="exact" w:line="600"/>
        <w:rPr>
          <w:rFonts w:hint="eastAsia"/>
        </w:rPr>
      </w:pPr>
      <w:r>
        <w:rPr>
          <w:rFonts w:hint="eastAsia"/>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第四章　规范管理</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第三十二条</w:t>
      </w:r>
      <w:r>
        <w:rPr>
          <w:rFonts w:hint="eastAsia"/>
        </w:rPr>
        <w:t>　实行年度会展计划申报制度。会展举办单位应当于每</w:t>
      </w:r>
      <w:r>
        <w:rPr/>
        <w:t>年</w:t>
      </w:r>
      <w:r>
        <w:rPr/>
        <w:t>11</w:t>
      </w:r>
      <w:r>
        <w:rPr/>
        <w:t>月</w:t>
      </w:r>
      <w:r>
        <w:rPr/>
        <w:t>15</w:t>
      </w:r>
      <w:r>
        <w:rPr/>
        <w:t>日前</w:t>
      </w:r>
      <w:r>
        <w:rPr>
          <w:rFonts w:hint="eastAsia"/>
        </w:rPr>
        <w:t>向会展业行政主管部门提交下一年度拟举办的展会计划，会展业行政主管部门依据所报计划开展会展项目推介、宣传、协调和信息咨询等工作。</w:t>
      </w:r>
    </w:p>
    <w:p>
      <w:pPr>
        <w:pStyle w:val="Normal"/>
        <w:spacing w:lineRule="exact" w:line="600"/>
        <w:rPr/>
      </w:pPr>
      <w:r>
        <w:rPr>
          <w:rFonts w:hint="eastAsia"/>
        </w:rPr>
        <w:t>　　</w:t>
      </w:r>
      <w:r>
        <w:rPr>
          <w:rFonts w:ascii="黑体;SimHei" w:hAnsi="黑体;SimHei" w:cs="黑体;SimHei" w:hint="eastAsia" w:eastAsia="黑体;SimHei"/>
        </w:rPr>
        <w:t>第三十三条</w:t>
      </w:r>
      <w:r>
        <w:rPr>
          <w:rFonts w:hint="eastAsia"/>
        </w:rPr>
        <w:t>　申请以市人民政府名义主办、承办的会展活动，申请人应当向会展业行政主管部门提出书面申请，会展业行政主管部门审查后提出意见，报市人民政府核准。</w:t>
      </w:r>
    </w:p>
    <w:p>
      <w:pPr>
        <w:pStyle w:val="Normal"/>
        <w:spacing w:lineRule="exact" w:line="600"/>
        <w:rPr/>
      </w:pPr>
      <w:r>
        <w:rPr>
          <w:rFonts w:hint="eastAsia"/>
        </w:rPr>
        <w:t>　　申请以区县人民政府、市级部门或者相关协会名义主办、承办的会展活动，区县人民政府、市级部门或者相关协会在核准前应当征求会展业行政主管部门意见。</w:t>
      </w:r>
    </w:p>
    <w:p>
      <w:pPr>
        <w:pStyle w:val="Normal"/>
        <w:spacing w:lineRule="exact" w:line="600"/>
        <w:rPr/>
      </w:pPr>
      <w:r>
        <w:rPr>
          <w:rFonts w:hint="eastAsia"/>
        </w:rPr>
        <w:t>　　以市、区县人民政府名义主办、承办的会展活动应当勤俭节约、反对铺张浪费。</w:t>
      </w:r>
    </w:p>
    <w:p>
      <w:pPr>
        <w:pStyle w:val="Normal"/>
        <w:spacing w:lineRule="exact" w:line="600"/>
        <w:rPr/>
      </w:pPr>
      <w:r>
        <w:rPr>
          <w:rFonts w:hint="eastAsia"/>
        </w:rPr>
        <w:t>　　</w:t>
      </w:r>
      <w:r>
        <w:rPr>
          <w:rFonts w:ascii="黑体;SimHei" w:hAnsi="黑体;SimHei" w:cs="黑体;SimHei" w:hint="eastAsia" w:eastAsia="黑体;SimHei"/>
        </w:rPr>
        <w:t>第三十四条</w:t>
      </w:r>
      <w:r>
        <w:rPr>
          <w:rFonts w:hint="eastAsia"/>
        </w:rPr>
        <w:t>　举办单位应当客观、准确、真实地发布会展活动的招商招展信息和宣传广告，不得随意变更展会名称、地点、时间和主题内容。</w:t>
      </w:r>
    </w:p>
    <w:p>
      <w:pPr>
        <w:pStyle w:val="Normal"/>
        <w:spacing w:lineRule="exact" w:line="600"/>
        <w:rPr/>
      </w:pPr>
      <w:r>
        <w:rPr>
          <w:rFonts w:hint="eastAsia"/>
        </w:rPr>
        <w:t>　　</w:t>
      </w:r>
      <w:r>
        <w:rPr>
          <w:rFonts w:ascii="黑体;SimHei" w:hAnsi="黑体;SimHei" w:cs="黑体;SimHei" w:hint="eastAsia" w:eastAsia="黑体;SimHei"/>
        </w:rPr>
        <w:t>第三十五条</w:t>
      </w:r>
      <w:r>
        <w:rPr>
          <w:rFonts w:hint="eastAsia"/>
        </w:rPr>
        <w:t>　举办单位应当与会展活动举办场所出租单位签订安全责任书，明确双方安全责任和义务，制定安保措施和应急预案。</w:t>
      </w:r>
    </w:p>
    <w:p>
      <w:pPr>
        <w:pStyle w:val="Normal"/>
        <w:spacing w:lineRule="exact" w:line="600"/>
        <w:rPr/>
      </w:pPr>
      <w:r>
        <w:rPr>
          <w:rFonts w:hint="eastAsia"/>
        </w:rPr>
        <w:t>　　</w:t>
      </w:r>
      <w:r>
        <w:rPr>
          <w:rFonts w:ascii="黑体;SimHei" w:hAnsi="黑体;SimHei" w:cs="黑体;SimHei" w:hint="eastAsia" w:eastAsia="黑体;SimHei"/>
        </w:rPr>
        <w:t>第三十六条</w:t>
      </w:r>
      <w:r>
        <w:rPr>
          <w:rFonts w:hint="eastAsia"/>
        </w:rPr>
        <w:t>　会展活动举办场所应当具备下列条件：</w:t>
      </w:r>
    </w:p>
    <w:p>
      <w:pPr>
        <w:pStyle w:val="Normal"/>
        <w:spacing w:lineRule="exact" w:line="600"/>
        <w:rPr/>
      </w:pPr>
      <w:r>
        <w:rPr>
          <w:rFonts w:hint="eastAsia"/>
        </w:rPr>
        <w:t>　　（一）符合国家安全标准和规定；</w:t>
      </w:r>
    </w:p>
    <w:p>
      <w:pPr>
        <w:pStyle w:val="Normal"/>
        <w:spacing w:lineRule="exact" w:line="600"/>
        <w:rPr/>
      </w:pPr>
      <w:r>
        <w:rPr>
          <w:rFonts w:hint="eastAsia"/>
        </w:rPr>
        <w:t>　　（二）疏散通道、安全出口、消防通道、应急广播、应急照明和疏散指示标志等应当符合有关法律法规、技术标准的规定；</w:t>
      </w:r>
    </w:p>
    <w:p>
      <w:pPr>
        <w:pStyle w:val="Normal"/>
        <w:spacing w:lineRule="exact" w:line="600"/>
        <w:rPr/>
      </w:pPr>
      <w:r>
        <w:rPr>
          <w:rFonts w:hint="eastAsia"/>
        </w:rPr>
        <w:t>　　（三）专业性场馆应当配置电视监控、防盗报警和出入安全检查系统。</w:t>
      </w:r>
    </w:p>
    <w:p>
      <w:pPr>
        <w:pStyle w:val="Normal"/>
        <w:spacing w:lineRule="exact" w:line="600"/>
        <w:rPr/>
      </w:pPr>
      <w:r>
        <w:rPr>
          <w:rFonts w:hint="eastAsia"/>
        </w:rPr>
        <w:t>　　</w:t>
      </w:r>
      <w:r>
        <w:rPr>
          <w:rFonts w:ascii="黑体;SimHei" w:hAnsi="黑体;SimHei" w:cs="黑体;SimHei" w:hint="eastAsia" w:eastAsia="黑体;SimHei"/>
        </w:rPr>
        <w:t>第三十七条</w:t>
      </w:r>
      <w:r>
        <w:rPr>
          <w:rFonts w:hint="eastAsia"/>
        </w:rPr>
        <w:t>　举办单位应当在会展活动现场设置投诉处理点，并在醒目位置公布商务、市场监管、公安等有关部门的投诉举报电话。</w:t>
      </w:r>
    </w:p>
    <w:p>
      <w:pPr>
        <w:pStyle w:val="Normal"/>
        <w:spacing w:lineRule="exact" w:line="600"/>
        <w:rPr/>
      </w:pPr>
      <w:r>
        <w:rPr>
          <w:rFonts w:hint="eastAsia"/>
        </w:rPr>
        <w:t>　　</w:t>
      </w:r>
      <w:r>
        <w:rPr>
          <w:rFonts w:ascii="黑体;SimHei" w:hAnsi="黑体;SimHei" w:cs="黑体;SimHei" w:hint="eastAsia" w:eastAsia="黑体;SimHei"/>
        </w:rPr>
        <w:t>第三十八条</w:t>
      </w:r>
      <w:r>
        <w:rPr>
          <w:rFonts w:hint="eastAsia"/>
        </w:rPr>
        <w:t>　举办单位应当加强对参展单位有关知识产权的保护，依法维护权利人合法权益。</w:t>
      </w:r>
    </w:p>
    <w:p>
      <w:pPr>
        <w:pStyle w:val="Normal"/>
        <w:spacing w:lineRule="exact" w:line="600"/>
        <w:rPr/>
      </w:pPr>
      <w:r>
        <w:rPr>
          <w:rFonts w:hint="eastAsia"/>
        </w:rPr>
        <w:t>　　参展单位应当配合举办单位进行参展项目知识产权状况审查，并提供相关权利证明。</w:t>
      </w:r>
    </w:p>
    <w:p>
      <w:pPr>
        <w:pStyle w:val="Normal"/>
        <w:spacing w:lineRule="exact" w:line="600"/>
        <w:rPr/>
      </w:pPr>
      <w:r>
        <w:rPr>
          <w:rFonts w:hint="eastAsia"/>
        </w:rPr>
        <w:t>　　对未能提供权利证明的，举办单位不得允许参展单位以相关知识产权名义进行展示、展销和宣传。</w:t>
      </w:r>
    </w:p>
    <w:p>
      <w:pPr>
        <w:pStyle w:val="Normal"/>
        <w:spacing w:lineRule="exact" w:line="600"/>
        <w:rPr/>
      </w:pPr>
      <w:r>
        <w:rPr>
          <w:rFonts w:hint="eastAsia"/>
        </w:rPr>
        <w:t>　　</w:t>
      </w:r>
      <w:r>
        <w:rPr>
          <w:rFonts w:ascii="黑体;SimHei" w:hAnsi="黑体;SimHei" w:cs="黑体;SimHei" w:hint="eastAsia" w:eastAsia="黑体;SimHei"/>
        </w:rPr>
        <w:t>第三十九条</w:t>
      </w:r>
      <w:r>
        <w:rPr>
          <w:rFonts w:hint="eastAsia"/>
        </w:rPr>
        <w:t>　举办单位负责对参展单位资质审查并与参展单位签订参展合同。</w:t>
      </w:r>
    </w:p>
    <w:p>
      <w:pPr>
        <w:pStyle w:val="Normal"/>
        <w:spacing w:lineRule="exact" w:line="600"/>
        <w:rPr/>
      </w:pPr>
      <w:r>
        <w:rPr>
          <w:rFonts w:hint="eastAsia"/>
        </w:rPr>
        <w:t>　　参展单位应当认真履行参展合同义务，不得转售、倒卖、转让或者转租展位。</w:t>
      </w:r>
    </w:p>
    <w:p>
      <w:pPr>
        <w:pStyle w:val="Normal"/>
        <w:spacing w:lineRule="exact" w:line="600"/>
        <w:rPr/>
      </w:pPr>
      <w:r>
        <w:rPr>
          <w:rFonts w:hint="eastAsia"/>
        </w:rPr>
        <w:t>　　参展合同示范文本由会展业行政主管部门会同市场监督管理部门联合制定。</w:t>
      </w:r>
    </w:p>
    <w:p>
      <w:pPr>
        <w:pStyle w:val="Normal"/>
        <w:spacing w:lineRule="exact" w:line="600"/>
        <w:rPr/>
      </w:pPr>
      <w:r>
        <w:rPr>
          <w:rFonts w:hint="eastAsia"/>
        </w:rPr>
        <w:t>　　</w:t>
      </w:r>
      <w:r>
        <w:rPr>
          <w:rFonts w:ascii="黑体;SimHei" w:hAnsi="黑体;SimHei" w:cs="黑体;SimHei" w:hint="eastAsia" w:eastAsia="黑体;SimHei"/>
        </w:rPr>
        <w:t>第四十条</w:t>
      </w:r>
      <w:r>
        <w:rPr>
          <w:rFonts w:hint="eastAsia"/>
        </w:rPr>
        <w:t>　会展活动期间，参展单位不得有下列行为：</w:t>
      </w:r>
    </w:p>
    <w:p>
      <w:pPr>
        <w:pStyle w:val="Normal"/>
        <w:spacing w:lineRule="exact" w:line="600"/>
        <w:rPr/>
      </w:pPr>
      <w:r>
        <w:rPr>
          <w:rFonts w:hint="eastAsia"/>
        </w:rPr>
        <w:t>　　（一）从事与展会名称、内容不符的活动；</w:t>
      </w:r>
    </w:p>
    <w:p>
      <w:pPr>
        <w:pStyle w:val="Normal"/>
        <w:spacing w:lineRule="exact" w:line="600"/>
        <w:rPr/>
      </w:pPr>
      <w:r>
        <w:rPr>
          <w:rFonts w:hint="eastAsia"/>
        </w:rPr>
        <w:t>　　（二）展示、展销伪劣、不符合节能标准、未取得强制性安全认证证书的产品及法律、法规禁止流通的商品；</w:t>
      </w:r>
    </w:p>
    <w:p>
      <w:pPr>
        <w:pStyle w:val="Normal"/>
        <w:spacing w:lineRule="exact" w:line="600"/>
        <w:rPr/>
      </w:pPr>
      <w:r>
        <w:rPr>
          <w:rFonts w:hint="eastAsia"/>
        </w:rPr>
        <w:t>　　（三）侵犯他人知识产权；</w:t>
      </w:r>
    </w:p>
    <w:p>
      <w:pPr>
        <w:pStyle w:val="Normal"/>
        <w:spacing w:lineRule="exact" w:line="600"/>
        <w:rPr/>
      </w:pPr>
      <w:r>
        <w:rPr>
          <w:rFonts w:hint="eastAsia"/>
        </w:rPr>
        <w:t>　　（四）进行虚假宣传的；</w:t>
      </w:r>
    </w:p>
    <w:p>
      <w:pPr>
        <w:pStyle w:val="Normal"/>
        <w:spacing w:lineRule="exact" w:line="600"/>
        <w:rPr/>
      </w:pPr>
      <w:r>
        <w:rPr>
          <w:rFonts w:hint="eastAsia"/>
        </w:rPr>
        <w:t>　　（五）法律、法规禁止的其他行为。</w:t>
      </w:r>
    </w:p>
    <w:p>
      <w:pPr>
        <w:pStyle w:val="Normal"/>
        <w:spacing w:lineRule="exact" w:line="600"/>
        <w:rPr/>
      </w:pPr>
      <w:r>
        <w:rPr>
          <w:rFonts w:hint="eastAsia"/>
        </w:rPr>
        <w:t>　　</w:t>
      </w:r>
      <w:r>
        <w:rPr>
          <w:rFonts w:ascii="黑体;SimHei" w:hAnsi="黑体;SimHei" w:cs="黑体;SimHei" w:hint="eastAsia" w:eastAsia="黑体;SimHei"/>
        </w:rPr>
        <w:t>第四十一条</w:t>
      </w:r>
      <w:r>
        <w:rPr>
          <w:rFonts w:hint="eastAsia"/>
        </w:rPr>
        <w:t>　举办单位、参展单位应当委托具有装饰装修工程资质的设计和施工单位布置会展活动现场。</w:t>
      </w:r>
    </w:p>
    <w:p>
      <w:pPr>
        <w:pStyle w:val="Normal"/>
        <w:spacing w:lineRule="exact" w:line="600"/>
        <w:rPr/>
      </w:pPr>
      <w:r>
        <w:rPr>
          <w:rFonts w:hint="eastAsia"/>
        </w:rPr>
        <w:t>　　</w:t>
      </w:r>
      <w:r>
        <w:rPr>
          <w:rFonts w:ascii="黑体;SimHei" w:hAnsi="黑体;SimHei" w:cs="黑体;SimHei" w:hint="eastAsia" w:eastAsia="黑体;SimHei"/>
        </w:rPr>
        <w:t>第四十二条</w:t>
      </w:r>
      <w:r>
        <w:rPr>
          <w:rFonts w:hint="eastAsia"/>
        </w:rPr>
        <w:t>　会展活动结束后，举办单位应当迅速清理现场，恢复正常的城市容貌秩序，并向会展业行政主管部门提供本次会展活动有关统计数据。</w:t>
      </w:r>
    </w:p>
    <w:p>
      <w:pPr>
        <w:pStyle w:val="Normal"/>
        <w:spacing w:lineRule="exact" w:line="600"/>
        <w:rPr>
          <w:rFonts w:hint="eastAsia"/>
        </w:rPr>
      </w:pPr>
      <w:r>
        <w:rPr>
          <w:rFonts w:hint="eastAsia"/>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第五章　法律责任</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第四十三条</w:t>
      </w:r>
      <w:r>
        <w:rPr>
          <w:rFonts w:hint="eastAsia"/>
        </w:rPr>
        <w:t>　举办单位提供虚假资料骗取扶持补助和奖励资金的，由会展业行政主管部门依法追回，取消申请扶持补助和奖励资金资格；构成犯罪的，依法追究刑事责任。</w:t>
      </w:r>
    </w:p>
    <w:p>
      <w:pPr>
        <w:pStyle w:val="Normal"/>
        <w:spacing w:lineRule="exact" w:line="600"/>
        <w:rPr/>
      </w:pPr>
      <w:r>
        <w:rPr>
          <w:rFonts w:hint="eastAsia"/>
        </w:rPr>
        <w:t>　　</w:t>
      </w:r>
      <w:r>
        <w:rPr>
          <w:rFonts w:ascii="黑体;SimHei" w:hAnsi="黑体;SimHei" w:cs="黑体;SimHei" w:hint="eastAsia" w:eastAsia="黑体;SimHei"/>
        </w:rPr>
        <w:t>第四十四条</w:t>
      </w:r>
      <w:r>
        <w:rPr>
          <w:rFonts w:hint="eastAsia"/>
        </w:rPr>
        <w:t>　违反本条例第三十四条规定，举办单位随意变更展会名称、地点、时间和主题内容的，由会展业行政主管部门责令改正；拒不改正的，处一万元以上三万元以下罚款。</w:t>
      </w:r>
    </w:p>
    <w:p>
      <w:pPr>
        <w:pStyle w:val="Normal"/>
        <w:spacing w:lineRule="exact" w:line="600"/>
        <w:rPr/>
      </w:pPr>
      <w:r>
        <w:rPr>
          <w:rFonts w:hint="eastAsia"/>
        </w:rPr>
        <w:t>　　</w:t>
      </w:r>
      <w:r>
        <w:rPr>
          <w:rFonts w:ascii="黑体;SimHei" w:hAnsi="黑体;SimHei" w:cs="黑体;SimHei" w:hint="eastAsia" w:eastAsia="黑体;SimHei"/>
        </w:rPr>
        <w:t>第四十五条</w:t>
      </w:r>
      <w:r>
        <w:rPr>
          <w:rFonts w:hint="eastAsia"/>
        </w:rPr>
        <w:t>　违反本条例第三十五条规定，举办单位未与会展活动举办场所出租单位签订安全责任书的，由会展业行政主管部门责令改正；拒不改正的，处五千元以上一万元以下罚款。</w:t>
      </w:r>
    </w:p>
    <w:p>
      <w:pPr>
        <w:pStyle w:val="Normal"/>
        <w:spacing w:lineRule="exact" w:line="600"/>
        <w:rPr/>
      </w:pPr>
      <w:r>
        <w:rPr>
          <w:rFonts w:hint="eastAsia"/>
        </w:rPr>
        <w:t>　　</w:t>
      </w:r>
      <w:r>
        <w:rPr>
          <w:rFonts w:ascii="黑体;SimHei" w:hAnsi="黑体;SimHei" w:cs="黑体;SimHei" w:hint="eastAsia" w:eastAsia="黑体;SimHei"/>
        </w:rPr>
        <w:t>第四十六条</w:t>
      </w:r>
      <w:r>
        <w:rPr>
          <w:rFonts w:hint="eastAsia"/>
        </w:rPr>
        <w:t>　违反本条例第三十七条规定，举办单位未在会展活动现场设置投诉处理点并公布投诉举报电话的，由会展业行政主管部门责令改正；拒不改正的，处一千元以上五千元以下罚款。</w:t>
      </w:r>
    </w:p>
    <w:p>
      <w:pPr>
        <w:pStyle w:val="Normal"/>
        <w:spacing w:lineRule="exact" w:line="600"/>
        <w:rPr/>
      </w:pPr>
      <w:r>
        <w:rPr>
          <w:rFonts w:hint="eastAsia"/>
        </w:rPr>
        <w:t>　　</w:t>
      </w:r>
      <w:r>
        <w:rPr>
          <w:rFonts w:ascii="黑体;SimHei" w:hAnsi="黑体;SimHei" w:cs="黑体;SimHei" w:hint="eastAsia" w:eastAsia="黑体;SimHei"/>
        </w:rPr>
        <w:t>第四十七条</w:t>
      </w:r>
      <w:r>
        <w:rPr>
          <w:rFonts w:hint="eastAsia"/>
        </w:rPr>
        <w:t>　违反本条例第三十九条第二款规定，参展单位转售、倒卖、转让或者转租展位的，由会展业行政主管部门没收违法所得并处展位费一倍罚款。</w:t>
      </w:r>
    </w:p>
    <w:p>
      <w:pPr>
        <w:pStyle w:val="Normal"/>
        <w:spacing w:lineRule="exact" w:line="600"/>
        <w:rPr/>
      </w:pPr>
      <w:r>
        <w:rPr>
          <w:rFonts w:hint="eastAsia"/>
        </w:rPr>
        <w:t>　　</w:t>
      </w:r>
      <w:r>
        <w:rPr>
          <w:rFonts w:ascii="黑体;SimHei" w:hAnsi="黑体;SimHei" w:cs="黑体;SimHei" w:hint="eastAsia" w:eastAsia="黑体;SimHei"/>
        </w:rPr>
        <w:t>第四十八条</w:t>
      </w:r>
      <w:r>
        <w:rPr>
          <w:rFonts w:hint="eastAsia"/>
        </w:rPr>
        <w:t>　违反本条例第四十条规定，参展单位实施相关禁止行为的，会展业行政主管部门应当先行制止，责令改正；拒不改正的，通知有关部门依法处理。</w:t>
      </w:r>
    </w:p>
    <w:p>
      <w:pPr>
        <w:pStyle w:val="Normal"/>
        <w:spacing w:lineRule="exact" w:line="600"/>
        <w:rPr/>
      </w:pPr>
      <w:r>
        <w:rPr>
          <w:rFonts w:hint="eastAsia"/>
        </w:rPr>
        <w:t>　　</w:t>
      </w:r>
      <w:r>
        <w:rPr>
          <w:rFonts w:ascii="黑体;SimHei" w:hAnsi="黑体;SimHei" w:cs="黑体;SimHei" w:hint="eastAsia" w:eastAsia="黑体;SimHei"/>
        </w:rPr>
        <w:t>第四十九条</w:t>
      </w:r>
      <w:r>
        <w:rPr>
          <w:rFonts w:hint="eastAsia"/>
        </w:rPr>
        <w:t>　违反本条例规定的其他行为，法律、法规有法律责任规定的，适用其规定。</w:t>
      </w:r>
    </w:p>
    <w:p>
      <w:pPr>
        <w:pStyle w:val="Normal"/>
        <w:spacing w:lineRule="exact" w:line="600"/>
        <w:rPr/>
      </w:pPr>
      <w:r>
        <w:rPr>
          <w:rFonts w:hint="eastAsia"/>
        </w:rPr>
        <w:t>　　</w:t>
      </w:r>
      <w:r>
        <w:rPr>
          <w:rFonts w:ascii="黑体;SimHei" w:hAnsi="黑体;SimHei" w:cs="黑体;SimHei" w:hint="eastAsia" w:eastAsia="黑体;SimHei"/>
        </w:rPr>
        <w:t>第五十条</w:t>
      </w:r>
      <w:r>
        <w:rPr>
          <w:rFonts w:hint="eastAsia"/>
        </w:rPr>
        <w:t>　会展业行政主管部门及其他相关部门工作人员玩忽职守、滥用职权、徇私舞弊的，依法给予处分；构成犯罪的，依法追究刑事责任。</w:t>
      </w:r>
    </w:p>
    <w:p>
      <w:pPr>
        <w:pStyle w:val="Normal"/>
        <w:spacing w:lineRule="exact" w:line="600"/>
        <w:rPr>
          <w:rFonts w:hint="eastAsia"/>
        </w:rPr>
      </w:pPr>
      <w:r>
        <w:rPr>
          <w:rFonts w:hint="eastAsia"/>
        </w:rPr>
      </w:r>
    </w:p>
    <w:p>
      <w:pPr>
        <w:pStyle w:val="Normal"/>
        <w:spacing w:lineRule="exact" w:line="600"/>
        <w:jc w:val="center"/>
        <w:rPr>
          <w:rFonts w:ascii="黑体;SimHei" w:hAnsi="黑体;SimHei" w:eastAsia="黑体;SimHei" w:cs="黑体;SimHei"/>
        </w:rPr>
      </w:pPr>
      <w:r>
        <w:rPr>
          <w:rFonts w:ascii="黑体;SimHei" w:hAnsi="黑体;SimHei" w:cs="黑体;SimHei" w:hint="eastAsia" w:eastAsia="黑体;SimHei"/>
        </w:rPr>
        <w:t>第六章　附　则</w:t>
      </w:r>
    </w:p>
    <w:p>
      <w:pPr>
        <w:pStyle w:val="Normal"/>
        <w:spacing w:lineRule="exact" w:line="600"/>
        <w:rPr>
          <w:rFonts w:ascii="黑体;SimHei" w:hAnsi="黑体;SimHei" w:eastAsia="黑体;SimHei" w:cs="黑体;SimHei" w:hint="eastAsia"/>
        </w:rPr>
      </w:pPr>
      <w:r>
        <w:rPr>
          <w:rFonts w:eastAsia="黑体;SimHei" w:cs="黑体;SimHei" w:hint="eastAsia" w:ascii="黑体;SimHei" w:hAnsi="黑体;SimHei"/>
        </w:rPr>
      </w:r>
    </w:p>
    <w:p>
      <w:pPr>
        <w:pStyle w:val="Normal"/>
        <w:spacing w:lineRule="exact" w:line="600"/>
        <w:rPr/>
      </w:pPr>
      <w:r>
        <w:rPr>
          <w:rFonts w:hint="eastAsia"/>
        </w:rPr>
        <w:t>　　</w:t>
      </w:r>
      <w:r>
        <w:rPr>
          <w:rFonts w:ascii="黑体;SimHei" w:hAnsi="黑体;SimHei" w:cs="黑体;SimHei" w:hint="eastAsia" w:eastAsia="黑体;SimHei"/>
        </w:rPr>
        <w:t>第五十一条</w:t>
      </w:r>
      <w:r>
        <w:rPr>
          <w:rFonts w:hint="eastAsia"/>
        </w:rPr>
        <w:t>　本条例自</w:t>
      </w:r>
      <w:r>
        <w:rPr>
          <w:rFonts w:hint="eastAsia"/>
        </w:rPr>
        <w:t>2014</w:t>
      </w:r>
      <w:r>
        <w:rPr>
          <w:rFonts w:hint="eastAsia"/>
        </w:rPr>
        <w:t>年</w:t>
      </w:r>
      <w:r>
        <w:rPr>
          <w:rFonts w:hint="eastAsia"/>
        </w:rPr>
        <w:t>3</w:t>
      </w:r>
      <w:r>
        <w:rPr>
          <w:rFonts w:hint="eastAsia"/>
        </w:rPr>
        <w:t>月</w:t>
      </w:r>
      <w:r>
        <w:rPr>
          <w:rFonts w:hint="eastAsia"/>
        </w:rPr>
        <w:t>1</w:t>
      </w:r>
      <w:r>
        <w:rPr>
          <w:rFonts w:hint="eastAsia"/>
        </w:rPr>
        <w:t>日起施行。</w:t>
      </w:r>
    </w:p>
    <w:p>
      <w:pPr>
        <w:pStyle w:val="Normal"/>
        <w:spacing w:lineRule="exact" w:line="600"/>
        <w:rPr>
          <w:rFonts w:hint="eastAsia"/>
        </w:rPr>
      </w:pPr>
      <w:r>
        <w:rPr>
          <w:rFonts w:hint="eastAsia"/>
        </w:rPr>
      </w:r>
    </w:p>
    <w:p>
      <w:pPr>
        <w:pStyle w:val="Normal"/>
        <w:spacing w:lineRule="exact" w:line="600"/>
        <w:rPr>
          <w:rFonts w:hint="eastAsia"/>
        </w:rPr>
      </w:pPr>
      <w:r>
        <w:rPr>
          <w:rFonts w:hint="eastAsia"/>
        </w:rPr>
      </w:r>
    </w:p>
    <w:sectPr>
      <w:headerReference w:type="default" r:id="rId2"/>
      <w:footerReference w:type="default" r:id="rId3"/>
      <w:type w:val="nextPage"/>
      <w:pgSz w:w="11906" w:h="16838"/>
      <w:pgMar w:left="1531" w:right="1531" w:gutter="0" w:header="851" w:top="2041" w:footer="1361" w:bottom="1588"/>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altName w:val="SimSun"/>
    <w:charset w:val="86"/>
    <w:family w:val="auto"/>
    <w:pitch w:val="variable"/>
  </w:font>
  <w:font w:name="华文中宋">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2017-02-06T09:03:00Z</dcterms:created>
  <dc:creator>微软用户</dc:creator>
  <dc:description/>
  <cp:keywords/>
  <dc:language>en-US</dc:language>
  <cp:lastModifiedBy>Administrator</cp:lastModifiedBy>
  <cp:lastPrinted>2014-01-08T14:42:00Z</cp:lastPrinted>
  <dcterms:modified xsi:type="dcterms:W3CDTF">2020-11-25T16:49:00Z</dcterms:modified>
  <cp:revision>52</cp:revision>
  <dc:subject/>
  <dc:title>西安市人民代表大会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