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exact" w:line="600"/>
        <w:rPr>
          <w:rFonts w:ascii="华文中宋" w:hAnsi="华文中宋" w:eastAsia="华文中宋" w:cs="华文中宋" w:hint="eastAsia"/>
          <w:kern w:val="2"/>
        </w:rPr>
      </w:pPr>
      <w:r>
        <w:rPr>
          <w:rFonts w:eastAsia="华文中宋" w:cs="华文中宋" w:hint="eastAsia" w:ascii="华文中宋" w:hAnsi="华文中宋"/>
          <w:kern w:val="2"/>
        </w:rPr>
      </w:r>
    </w:p>
    <w:p>
      <w:pPr>
        <w:pStyle w:val="Normal"/>
        <w:widowControl w:val="false"/>
        <w:spacing w:lineRule="exact" w:line="600"/>
        <w:rPr>
          <w:rFonts w:ascii="华文中宋" w:hAnsi="华文中宋" w:eastAsia="华文中宋" w:cs="华文中宋" w:hint="eastAsia"/>
          <w:kern w:val="2"/>
        </w:rPr>
      </w:pPr>
      <w:r>
        <w:rPr>
          <w:rFonts w:eastAsia="华文中宋" w:cs="华文中宋" w:hint="eastAsia" w:ascii="华文中宋" w:hAnsi="华文中宋"/>
          <w:kern w:val="2"/>
        </w:rPr>
      </w:r>
    </w:p>
    <w:p>
      <w:pPr>
        <w:pStyle w:val="Normal"/>
        <w:widowControl w:val="false"/>
        <w:spacing w:lineRule="exact" w:line="600"/>
        <w:jc w:val="center"/>
        <w:rPr>
          <w:rFonts w:ascii="华文中宋" w:hAnsi="华文中宋" w:eastAsia="华文中宋" w:cs="华文中宋"/>
          <w:kern w:val="2"/>
          <w:sz w:val="44"/>
          <w:szCs w:val="44"/>
        </w:rPr>
      </w:pPr>
      <w:r>
        <w:rPr>
          <w:rFonts w:ascii="华文中宋" w:hAnsi="华文中宋" w:cs="华文中宋" w:eastAsia="华文中宋"/>
          <w:kern w:val="2"/>
          <w:sz w:val="44"/>
          <w:szCs w:val="44"/>
        </w:rPr>
        <w:t>西安市城市管理综合行政执法条例</w:t>
      </w:r>
    </w:p>
    <w:p>
      <w:pPr>
        <w:pStyle w:val="Normal"/>
        <w:widowControl w:val="false"/>
        <w:spacing w:lineRule="exact" w:line="600"/>
        <w:rPr>
          <w:rFonts w:ascii="华文中宋" w:hAnsi="华文中宋" w:eastAsia="华文中宋" w:cs="华文中宋"/>
          <w:kern w:val="2"/>
          <w:sz w:val="44"/>
          <w:szCs w:val="44"/>
        </w:rPr>
      </w:pPr>
      <w:r>
        <w:rPr>
          <w:rFonts w:eastAsia="华文中宋" w:cs="华文中宋" w:ascii="华文中宋" w:hAnsi="华文中宋"/>
          <w:kern w:val="2"/>
          <w:sz w:val="44"/>
          <w:szCs w:val="44"/>
        </w:rPr>
      </w:r>
    </w:p>
    <w:p>
      <w:pPr>
        <w:pStyle w:val="Normal"/>
        <w:widowControl w:val="false"/>
        <w:spacing w:lineRule="exact" w:line="600"/>
        <w:ind w:firstLineChars="200" w:startChars="200" w:endChars="200"/>
        <w:jc w:val="both"/>
        <w:rPr/>
      </w:pPr>
      <w:r>
        <w:rPr>
          <w:rFonts w:ascii="楷体_GB2312" w:hAnsi="楷体_GB2312" w:cs="宋体;SimSun" w:hint="eastAsia" w:eastAsia="楷体_GB2312"/>
          <w:kern w:val="2"/>
        </w:rPr>
        <w:t>（</w:t>
      </w:r>
      <w:r>
        <w:rPr>
          <w:rFonts w:eastAsia="楷体_GB2312" w:cs="宋体;SimSun" w:hint="eastAsia" w:ascii="楷体_GB2312" w:hAnsi="楷体_GB2312"/>
          <w:kern w:val="2"/>
        </w:rPr>
        <w:t>2008</w:t>
      </w:r>
      <w:r>
        <w:rPr>
          <w:rFonts w:ascii="楷体_GB2312" w:hAnsi="楷体_GB2312" w:cs="宋体;SimSun" w:hint="eastAsia" w:eastAsia="楷体_GB2312"/>
          <w:kern w:val="2"/>
        </w:rPr>
        <w:t>年</w:t>
      </w:r>
      <w:r>
        <w:rPr>
          <w:rFonts w:eastAsia="楷体_GB2312" w:cs="宋体;SimSun" w:hint="eastAsia" w:ascii="楷体_GB2312" w:hAnsi="楷体_GB2312"/>
          <w:kern w:val="2"/>
        </w:rPr>
        <w:t>6</w:t>
      </w:r>
      <w:r>
        <w:rPr>
          <w:rFonts w:ascii="楷体_GB2312" w:hAnsi="楷体_GB2312" w:cs="宋体;SimSun" w:hint="eastAsia" w:eastAsia="楷体_GB2312"/>
          <w:kern w:val="2"/>
        </w:rPr>
        <w:t>月</w:t>
      </w:r>
      <w:r>
        <w:rPr>
          <w:rFonts w:eastAsia="楷体_GB2312" w:cs="宋体;SimSun" w:hint="eastAsia" w:ascii="楷体_GB2312" w:hAnsi="楷体_GB2312"/>
          <w:kern w:val="2"/>
        </w:rPr>
        <w:t>18</w:t>
      </w:r>
      <w:r>
        <w:rPr>
          <w:rFonts w:ascii="楷体_GB2312" w:hAnsi="楷体_GB2312" w:cs="宋体;SimSun" w:hint="eastAsia" w:eastAsia="楷体_GB2312"/>
          <w:kern w:val="2"/>
        </w:rPr>
        <w:t>日西安市第十四届人民代表大会常务委员会第十次会议通过　</w:t>
      </w:r>
      <w:r>
        <w:rPr>
          <w:rFonts w:eastAsia="楷体_GB2312" w:cs="宋体;SimSun" w:hint="eastAsia" w:ascii="楷体_GB2312" w:hAnsi="楷体_GB2312"/>
          <w:kern w:val="2"/>
        </w:rPr>
        <w:t>2008</w:t>
      </w:r>
      <w:r>
        <w:rPr>
          <w:rFonts w:ascii="楷体_GB2312" w:hAnsi="楷体_GB2312" w:cs="宋体;SimSun" w:hint="eastAsia" w:eastAsia="楷体_GB2312"/>
          <w:kern w:val="2"/>
        </w:rPr>
        <w:t>年</w:t>
      </w:r>
      <w:r>
        <w:rPr>
          <w:rFonts w:eastAsia="楷体_GB2312" w:cs="宋体;SimSun" w:hint="eastAsia" w:ascii="楷体_GB2312" w:hAnsi="楷体_GB2312"/>
          <w:kern w:val="2"/>
        </w:rPr>
        <w:t>12</w:t>
      </w:r>
      <w:r>
        <w:rPr>
          <w:rFonts w:ascii="楷体_GB2312" w:hAnsi="楷体_GB2312" w:cs="宋体;SimSun" w:hint="eastAsia" w:eastAsia="楷体_GB2312"/>
          <w:kern w:val="2"/>
        </w:rPr>
        <w:t>月</w:t>
      </w:r>
      <w:r>
        <w:rPr>
          <w:rFonts w:eastAsia="楷体_GB2312" w:cs="宋体;SimSun" w:hint="eastAsia" w:ascii="楷体_GB2312" w:hAnsi="楷体_GB2312"/>
          <w:kern w:val="2"/>
        </w:rPr>
        <w:t>12</w:t>
      </w:r>
      <w:r>
        <w:rPr>
          <w:rFonts w:ascii="楷体_GB2312" w:hAnsi="楷体_GB2312" w:cs="宋体;SimSun" w:hint="eastAsia" w:eastAsia="楷体_GB2312"/>
          <w:kern w:val="2"/>
        </w:rPr>
        <w:t>日陕西省第十一届人民代表大会常务委员会第五次会议批准</w:t>
      </w:r>
    </w:p>
    <w:p>
      <w:pPr>
        <w:pStyle w:val="Normal"/>
        <w:widowControl w:val="false"/>
        <w:spacing w:lineRule="exact" w:line="600"/>
        <w:ind w:firstLineChars="200" w:startChars="200" w:endChars="200"/>
        <w:jc w:val="both"/>
        <w:rPr>
          <w:rFonts w:ascii="楷体_GB2312" w:hAnsi="楷体_GB2312" w:eastAsia="楷体_GB2312" w:cs="宋体;SimSun" w:hint="eastAsia"/>
          <w:kern w:val="2"/>
        </w:rPr>
      </w:pPr>
      <w:r>
        <w:rPr>
          <w:rFonts w:ascii="楷体_GB2312" w:hAnsi="楷体_GB2312" w:cs="宋体;SimSun" w:hint="eastAsia" w:eastAsia="楷体_GB2312"/>
          <w:kern w:val="2"/>
        </w:rPr>
        <w:t>根据</w:t>
      </w:r>
      <w:r>
        <w:rPr>
          <w:rFonts w:eastAsia="楷体_GB2312" w:cs="宋体;SimSun" w:hint="eastAsia" w:ascii="楷体_GB2312" w:hAnsi="楷体_GB2312"/>
          <w:kern w:val="2"/>
        </w:rPr>
        <w:t>2010</w:t>
      </w:r>
      <w:r>
        <w:rPr>
          <w:rFonts w:ascii="楷体_GB2312" w:hAnsi="楷体_GB2312" w:cs="宋体;SimSun" w:hint="eastAsia" w:eastAsia="楷体_GB2312"/>
          <w:kern w:val="2"/>
        </w:rPr>
        <w:t>年</w:t>
      </w:r>
      <w:r>
        <w:rPr>
          <w:rFonts w:eastAsia="楷体_GB2312" w:cs="宋体;SimSun" w:hint="eastAsia" w:ascii="楷体_GB2312" w:hAnsi="楷体_GB2312"/>
          <w:kern w:val="2"/>
        </w:rPr>
        <w:t>7</w:t>
      </w:r>
      <w:r>
        <w:rPr>
          <w:rFonts w:ascii="楷体_GB2312" w:hAnsi="楷体_GB2312" w:cs="宋体;SimSun" w:hint="eastAsia" w:eastAsia="楷体_GB2312"/>
          <w:kern w:val="2"/>
        </w:rPr>
        <w:t>月</w:t>
      </w:r>
      <w:r>
        <w:rPr>
          <w:rFonts w:eastAsia="楷体_GB2312" w:cs="宋体;SimSun" w:hint="eastAsia" w:ascii="楷体_GB2312" w:hAnsi="楷体_GB2312"/>
          <w:kern w:val="2"/>
        </w:rPr>
        <w:t>15</w:t>
      </w:r>
      <w:r>
        <w:rPr>
          <w:rFonts w:ascii="楷体_GB2312" w:hAnsi="楷体_GB2312" w:cs="宋体;SimSun" w:hint="eastAsia" w:eastAsia="楷体_GB2312"/>
          <w:kern w:val="2"/>
        </w:rPr>
        <w:t>日西安市第十四届人民代表大会常务委员会第二十三次会议通过　</w:t>
      </w:r>
      <w:r>
        <w:rPr>
          <w:rFonts w:eastAsia="楷体_GB2312" w:cs="宋体;SimSun" w:hint="eastAsia" w:ascii="楷体_GB2312" w:hAnsi="楷体_GB2312"/>
          <w:kern w:val="2"/>
        </w:rPr>
        <w:t>2010</w:t>
      </w:r>
      <w:r>
        <w:rPr>
          <w:rFonts w:ascii="楷体_GB2312" w:hAnsi="楷体_GB2312" w:cs="宋体;SimSun" w:hint="eastAsia" w:eastAsia="楷体_GB2312"/>
          <w:kern w:val="2"/>
        </w:rPr>
        <w:t>年</w:t>
      </w:r>
      <w:r>
        <w:rPr>
          <w:rFonts w:eastAsia="楷体_GB2312" w:cs="宋体;SimSun" w:hint="eastAsia" w:ascii="楷体_GB2312" w:hAnsi="楷体_GB2312"/>
          <w:kern w:val="2"/>
        </w:rPr>
        <w:t>9</w:t>
      </w:r>
      <w:r>
        <w:rPr>
          <w:rFonts w:ascii="楷体_GB2312" w:hAnsi="楷体_GB2312" w:cs="宋体;SimSun" w:hint="eastAsia" w:eastAsia="楷体_GB2312"/>
          <w:kern w:val="2"/>
        </w:rPr>
        <w:t>月</w:t>
      </w:r>
      <w:r>
        <w:rPr>
          <w:rFonts w:eastAsia="楷体_GB2312" w:cs="宋体;SimSun" w:hint="eastAsia" w:ascii="楷体_GB2312" w:hAnsi="楷体_GB2312"/>
          <w:kern w:val="2"/>
        </w:rPr>
        <w:t>29</w:t>
      </w:r>
      <w:r>
        <w:rPr>
          <w:rFonts w:ascii="楷体_GB2312" w:hAnsi="楷体_GB2312" w:cs="宋体;SimSun" w:hint="eastAsia" w:eastAsia="楷体_GB2312"/>
          <w:kern w:val="2"/>
        </w:rPr>
        <w:t>日陕西省第十一届人民代表大会常务委员会第十八次会议批准的《西安市人民代表大会常务委员会关于修改部分地方性法规的决定》第一次修正</w:t>
      </w:r>
    </w:p>
    <w:p>
      <w:pPr>
        <w:pStyle w:val="Normal"/>
        <w:widowControl w:val="false"/>
        <w:spacing w:lineRule="exact" w:line="600"/>
        <w:ind w:firstLineChars="200" w:startChars="200" w:endChars="200"/>
        <w:jc w:val="both"/>
        <w:rPr/>
      </w:pPr>
      <w:r>
        <w:rPr>
          <w:rFonts w:ascii="楷体_GB2312" w:hAnsi="楷体_GB2312" w:cs="宋体;SimSun" w:hint="eastAsia" w:eastAsia="楷体_GB2312"/>
          <w:kern w:val="2"/>
        </w:rPr>
        <w:t>根据</w:t>
      </w:r>
      <w:r>
        <w:rPr>
          <w:rFonts w:eastAsia="楷体_GB2312" w:cs="宋体;SimSun" w:hint="eastAsia" w:ascii="楷体_GB2312" w:hAnsi="楷体_GB2312"/>
          <w:kern w:val="2"/>
        </w:rPr>
        <w:t>2020</w:t>
      </w:r>
      <w:r>
        <w:rPr>
          <w:rFonts w:ascii="楷体_GB2312" w:hAnsi="楷体_GB2312" w:cs="宋体;SimSun" w:hint="eastAsia" w:eastAsia="楷体_GB2312"/>
          <w:kern w:val="2"/>
        </w:rPr>
        <w:t>年</w:t>
      </w:r>
      <w:r>
        <w:rPr>
          <w:rFonts w:eastAsia="楷体_GB2312" w:cs="宋体;SimSun" w:hint="eastAsia" w:ascii="楷体_GB2312" w:hAnsi="楷体_GB2312"/>
          <w:kern w:val="2"/>
        </w:rPr>
        <w:t>10</w:t>
      </w:r>
      <w:r>
        <w:rPr>
          <w:rFonts w:ascii="楷体_GB2312" w:hAnsi="楷体_GB2312" w:cs="宋体;SimSun" w:hint="eastAsia" w:eastAsia="楷体_GB2312"/>
          <w:kern w:val="2"/>
        </w:rPr>
        <w:t>月</w:t>
      </w:r>
      <w:r>
        <w:rPr>
          <w:rFonts w:eastAsia="楷体_GB2312" w:cs="宋体;SimSun" w:hint="eastAsia" w:ascii="楷体_GB2312" w:hAnsi="楷体_GB2312"/>
          <w:kern w:val="2"/>
        </w:rPr>
        <w:t>21</w:t>
      </w:r>
      <w:r>
        <w:rPr>
          <w:rFonts w:ascii="楷体_GB2312" w:hAnsi="楷体_GB2312" w:cs="宋体;SimSun" w:hint="eastAsia" w:eastAsia="楷体_GB2312"/>
          <w:kern w:val="2"/>
        </w:rPr>
        <w:t>日西安市第十六届人民代表大会常务委员会第三十七次会议通过　</w:t>
      </w:r>
      <w:r>
        <w:rPr>
          <w:rFonts w:eastAsia="楷体_GB2312" w:cs="宋体;SimSun" w:hint="eastAsia" w:ascii="楷体_GB2312" w:hAnsi="楷体_GB2312"/>
          <w:kern w:val="2"/>
        </w:rPr>
        <w:t>2020</w:t>
      </w:r>
      <w:r>
        <w:rPr>
          <w:rFonts w:ascii="楷体_GB2312" w:hAnsi="楷体_GB2312" w:cs="宋体;SimSun" w:hint="eastAsia" w:eastAsia="楷体_GB2312"/>
          <w:kern w:val="2"/>
        </w:rPr>
        <w:t>年</w:t>
      </w:r>
      <w:r>
        <w:rPr>
          <w:rFonts w:eastAsia="楷体_GB2312" w:cs="宋体;SimSun" w:hint="eastAsia" w:ascii="楷体_GB2312" w:hAnsi="楷体_GB2312"/>
          <w:kern w:val="2"/>
        </w:rPr>
        <w:t>11</w:t>
      </w:r>
      <w:r>
        <w:rPr>
          <w:rFonts w:ascii="楷体_GB2312" w:hAnsi="楷体_GB2312" w:cs="宋体;SimSun" w:hint="eastAsia" w:eastAsia="楷体_GB2312"/>
          <w:kern w:val="2"/>
        </w:rPr>
        <w:t>月</w:t>
      </w:r>
      <w:r>
        <w:rPr>
          <w:rFonts w:eastAsia="楷体_GB2312" w:cs="宋体;SimSun" w:hint="eastAsia" w:ascii="楷体_GB2312" w:hAnsi="楷体_GB2312"/>
          <w:kern w:val="2"/>
        </w:rPr>
        <w:t>26</w:t>
      </w:r>
      <w:r>
        <w:rPr>
          <w:rFonts w:ascii="楷体_GB2312" w:hAnsi="楷体_GB2312" w:cs="宋体;SimSun" w:hint="eastAsia" w:eastAsia="楷体_GB2312"/>
          <w:kern w:val="2"/>
        </w:rPr>
        <w:t>日陕西省第十三届人民代表大会常务委员会第二十三次会议批准的《西安市人民代表大会常务委员会关于修改〈西安市保护消费者合法权益条例〉等</w:t>
      </w:r>
      <w:r>
        <w:rPr>
          <w:rFonts w:eastAsia="楷体_GB2312" w:cs="宋体;SimSun" w:hint="eastAsia" w:ascii="楷体_GB2312" w:hAnsi="楷体_GB2312"/>
          <w:kern w:val="2"/>
        </w:rPr>
        <w:t>65</w:t>
      </w:r>
      <w:r>
        <w:rPr>
          <w:rFonts w:ascii="楷体_GB2312" w:hAnsi="楷体_GB2312" w:cs="宋体;SimSun" w:hint="eastAsia" w:eastAsia="楷体_GB2312"/>
          <w:kern w:val="2"/>
        </w:rPr>
        <w:t>部地方性法规的决定》第二次修正）</w:t>
      </w:r>
    </w:p>
    <w:p>
      <w:pPr>
        <w:pStyle w:val="Normal"/>
        <w:widowControl w:val="false"/>
        <w:spacing w:lineRule="exact" w:line="600"/>
        <w:ind w:firstLineChars="200" w:startChars="200" w:endChars="200"/>
        <w:jc w:val="both"/>
        <w:rPr>
          <w:rFonts w:ascii="楷体_GB2312" w:hAnsi="楷体_GB2312" w:eastAsia="楷体_GB2312" w:cs="宋体;SimSun" w:hint="eastAsia"/>
          <w:kern w:val="2"/>
        </w:rPr>
      </w:pPr>
      <w:r>
        <w:rPr>
          <w:rFonts w:eastAsia="楷体_GB2312" w:cs="宋体;SimSun" w:hint="eastAsia" w:ascii="楷体_GB2312" w:hAnsi="楷体_GB2312"/>
          <w:kern w:val="2"/>
        </w:rPr>
      </w:r>
    </w:p>
    <w:p>
      <w:pPr>
        <w:pStyle w:val="Normal"/>
        <w:widowControl w:val="false"/>
        <w:spacing w:lineRule="exact" w:line="600"/>
        <w:jc w:val="center"/>
        <w:rPr>
          <w:rFonts w:ascii="楷体_GB2312" w:hAnsi="楷体_GB2312" w:eastAsia="楷体_GB2312" w:hint="eastAsia"/>
          <w:kern w:val="2"/>
        </w:rPr>
      </w:pPr>
      <w:r>
        <w:rPr>
          <w:rFonts w:ascii="楷体_GB2312" w:hAnsi="楷体_GB2312" w:hint="eastAsia" w:eastAsia="楷体_GB2312"/>
          <w:kern w:val="2"/>
        </w:rPr>
        <w:t>目　　录</w:t>
      </w:r>
    </w:p>
    <w:p>
      <w:pPr>
        <w:pStyle w:val="Normal"/>
        <w:widowControl w:val="false"/>
        <w:spacing w:lineRule="exact" w:line="600"/>
        <w:rPr/>
      </w:pPr>
      <w:r>
        <w:rPr>
          <w:rFonts w:ascii="宋体;SimSun" w:hAnsi="宋体;SimSun" w:cs="宋体;SimSun" w:hint="eastAsia" w:eastAsia="宋体;SimSun"/>
          <w:kern w:val="2"/>
        </w:rPr>
        <w:t>　　</w:t>
      </w:r>
      <w:r>
        <w:rPr>
          <w:rFonts w:ascii="楷体_GB2312" w:hAnsi="楷体_GB2312" w:hint="eastAsia" w:eastAsia="楷体_GB2312"/>
          <w:kern w:val="2"/>
        </w:rPr>
        <w:t>第一章　总  则</w:t>
      </w:r>
    </w:p>
    <w:p>
      <w:pPr>
        <w:pStyle w:val="Normal"/>
        <w:widowControl w:val="false"/>
        <w:spacing w:lineRule="exact" w:line="600"/>
        <w:rPr/>
      </w:pPr>
      <w:r>
        <w:rPr>
          <w:rFonts w:ascii="宋体;SimSun" w:hAnsi="宋体;SimSun" w:cs="宋体;SimSun" w:hint="eastAsia" w:eastAsia="宋体;SimSun"/>
          <w:kern w:val="2"/>
        </w:rPr>
        <w:t>　　</w:t>
      </w:r>
      <w:r>
        <w:rPr>
          <w:rFonts w:ascii="楷体_GB2312" w:hAnsi="楷体_GB2312" w:hint="eastAsia" w:eastAsia="楷体_GB2312"/>
          <w:kern w:val="2"/>
        </w:rPr>
        <w:t>第二章　执法职责</w:t>
      </w:r>
    </w:p>
    <w:p>
      <w:pPr>
        <w:pStyle w:val="Normal"/>
        <w:widowControl w:val="false"/>
        <w:spacing w:lineRule="exact" w:line="600"/>
        <w:rPr/>
      </w:pPr>
      <w:r>
        <w:rPr>
          <w:rFonts w:ascii="宋体;SimSun" w:hAnsi="宋体;SimSun" w:cs="宋体;SimSun" w:hint="eastAsia" w:eastAsia="宋体;SimSun"/>
          <w:kern w:val="2"/>
        </w:rPr>
        <w:t>　　</w:t>
      </w:r>
      <w:r>
        <w:rPr>
          <w:rFonts w:ascii="楷体_GB2312" w:hAnsi="楷体_GB2312" w:hint="eastAsia" w:eastAsia="楷体_GB2312"/>
          <w:kern w:val="2"/>
        </w:rPr>
        <w:t>第三章　执法规范</w:t>
      </w:r>
    </w:p>
    <w:p>
      <w:pPr>
        <w:pStyle w:val="Normal"/>
        <w:widowControl w:val="false"/>
        <w:spacing w:lineRule="exact" w:line="600"/>
        <w:rPr/>
      </w:pPr>
      <w:r>
        <w:rPr>
          <w:rFonts w:ascii="宋体;SimSun" w:hAnsi="宋体;SimSun" w:cs="宋体;SimSun" w:hint="eastAsia" w:eastAsia="宋体;SimSun"/>
          <w:kern w:val="2"/>
        </w:rPr>
        <w:t>　　</w:t>
      </w:r>
      <w:r>
        <w:rPr>
          <w:rFonts w:ascii="楷体_GB2312" w:hAnsi="楷体_GB2312" w:hint="eastAsia" w:eastAsia="楷体_GB2312"/>
          <w:kern w:val="2"/>
        </w:rPr>
        <w:t>第四章　执法配合</w:t>
      </w:r>
    </w:p>
    <w:p>
      <w:pPr>
        <w:pStyle w:val="Normal"/>
        <w:widowControl w:val="false"/>
        <w:spacing w:lineRule="exact" w:line="600"/>
        <w:rPr/>
      </w:pPr>
      <w:r>
        <w:rPr>
          <w:rFonts w:ascii="宋体;SimSun" w:hAnsi="宋体;SimSun" w:cs="宋体;SimSun" w:hint="eastAsia" w:eastAsia="宋体;SimSun"/>
          <w:kern w:val="2"/>
        </w:rPr>
        <w:t>　　</w:t>
      </w:r>
      <w:r>
        <w:rPr>
          <w:rFonts w:ascii="楷体_GB2312" w:hAnsi="楷体_GB2312" w:hint="eastAsia" w:eastAsia="楷体_GB2312"/>
          <w:kern w:val="2"/>
        </w:rPr>
        <w:t>第五章　执法监督</w:t>
      </w:r>
    </w:p>
    <w:p>
      <w:pPr>
        <w:pStyle w:val="Normal"/>
        <w:widowControl w:val="false"/>
        <w:spacing w:lineRule="exact" w:line="600"/>
        <w:rPr/>
      </w:pPr>
      <w:r>
        <w:rPr>
          <w:rFonts w:ascii="宋体;SimSun" w:hAnsi="宋体;SimSun" w:cs="宋体;SimSun" w:hint="eastAsia" w:eastAsia="宋体;SimSun"/>
          <w:kern w:val="2"/>
        </w:rPr>
        <w:t>　　</w:t>
      </w:r>
      <w:r>
        <w:rPr>
          <w:rFonts w:ascii="楷体_GB2312" w:hAnsi="楷体_GB2312" w:hint="eastAsia" w:eastAsia="楷体_GB2312"/>
          <w:kern w:val="2"/>
        </w:rPr>
        <w:t>第六章　法律责任</w:t>
      </w:r>
    </w:p>
    <w:p>
      <w:pPr>
        <w:pStyle w:val="Normal"/>
        <w:widowControl w:val="false"/>
        <w:spacing w:lineRule="exact" w:line="600"/>
        <w:ind w:firstLine="630" w:end="0"/>
        <w:rPr/>
      </w:pPr>
      <w:r>
        <w:rPr>
          <w:rFonts w:ascii="楷体_GB2312" w:hAnsi="楷体_GB2312" w:hint="eastAsia" w:eastAsia="楷体_GB2312"/>
          <w:kern w:val="2"/>
        </w:rPr>
        <w:t>第七章　附  则</w:t>
      </w:r>
    </w:p>
    <w:p>
      <w:pPr>
        <w:pStyle w:val="Normal"/>
        <w:widowControl w:val="false"/>
        <w:spacing w:lineRule="exact" w:line="600"/>
        <w:ind w:firstLine="630" w:end="0"/>
        <w:rPr>
          <w:rFonts w:ascii="楷体_GB2312" w:hAnsi="楷体_GB2312" w:eastAsia="楷体_GB2312" w:hint="eastAsia"/>
          <w:kern w:val="2"/>
        </w:rPr>
      </w:pPr>
      <w:r>
        <w:rPr>
          <w:rFonts w:eastAsia="楷体_GB2312" w:hint="eastAsia" w:ascii="楷体_GB2312" w:hAnsi="楷体_GB2312"/>
          <w:kern w:val="2"/>
        </w:rPr>
      </w:r>
    </w:p>
    <w:p>
      <w:pPr>
        <w:pStyle w:val="Normal"/>
        <w:widowControl w:val="false"/>
        <w:spacing w:lineRule="exact" w:line="600"/>
        <w:jc w:val="center"/>
        <w:rPr/>
      </w:pPr>
      <w:r>
        <w:rPr>
          <w:rFonts w:ascii="黑体;SimHei" w:hAnsi="黑体;SimHei" w:cs="黑体;SimHei" w:eastAsia="黑体;SimHei"/>
          <w:kern w:val="2"/>
        </w:rPr>
        <w:t>第一章</w:t>
      </w:r>
      <w:r>
        <w:rPr>
          <w:rFonts w:ascii="黑体;SimHei" w:hAnsi="黑体;SimHei" w:cs="黑体;SimHei" w:hint="eastAsia" w:eastAsia="黑体;SimHei"/>
          <w:kern w:val="2"/>
        </w:rPr>
        <w:t>　</w:t>
      </w:r>
      <w:r>
        <w:rPr>
          <w:rFonts w:ascii="黑体;SimHei" w:hAnsi="黑体;SimHei" w:cs="黑体;SimHei" w:eastAsia="黑体;SimHei"/>
          <w:kern w:val="2"/>
        </w:rPr>
        <w:t>总</w:t>
      </w:r>
      <w:r>
        <w:rPr>
          <w:rFonts w:ascii="黑体;SimHei" w:hAnsi="黑体;SimHei" w:cs="黑体;SimHei" w:hint="eastAsia" w:eastAsia="黑体;SimHei"/>
          <w:kern w:val="2"/>
        </w:rPr>
        <w:t xml:space="preserve">  </w:t>
      </w:r>
      <w:r>
        <w:rPr>
          <w:rFonts w:ascii="黑体;SimHei" w:hAnsi="黑体;SimHei" w:cs="黑体;SimHei" w:eastAsia="黑体;SimHei"/>
          <w:kern w:val="2"/>
        </w:rPr>
        <w:t>则</w:t>
      </w:r>
    </w:p>
    <w:p>
      <w:pPr>
        <w:pStyle w:val="Normal"/>
        <w:widowControl w:val="false"/>
        <w:spacing w:lineRule="exact" w:line="600"/>
        <w:rPr>
          <w:rFonts w:ascii="黑体;SimHei" w:hAnsi="黑体;SimHei" w:eastAsia="黑体;SimHei" w:cs="黑体;SimHei"/>
          <w:kern w:val="2"/>
        </w:rPr>
      </w:pPr>
      <w:r>
        <w:rPr>
          <w:rFonts w:eastAsia="黑体;SimHei" w:cs="黑体;SimHei" w:ascii="黑体;SimHei" w:hAnsi="黑体;SimHei"/>
          <w:kern w:val="2"/>
        </w:rPr>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第一条</w:t>
      </w:r>
      <w:r>
        <w:rPr>
          <w:rFonts w:hint="eastAsia"/>
          <w:kern w:val="2"/>
        </w:rPr>
        <w:t>　</w:t>
      </w:r>
      <w:r>
        <w:rPr>
          <w:kern w:val="2"/>
        </w:rPr>
        <w:t>为了相对集中行使行政处罚权，规范城市管理综合行政执法，提高城市管理水平和效率，促进依法行政，保护公民、法人和其他组织的合法权益，根据《中华人民共和国行政处罚法》和有关法律、法规的规定，结合本市实际，制定本条例。</w:t>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第二条</w:t>
      </w:r>
      <w:r>
        <w:rPr>
          <w:rFonts w:hint="eastAsia"/>
          <w:kern w:val="2"/>
        </w:rPr>
        <w:t>　</w:t>
      </w:r>
      <w:r>
        <w:rPr>
          <w:kern w:val="2"/>
        </w:rPr>
        <w:t>本条例适用于本市的城市管理综合行政执法（以下简称城管执法）工作。</w:t>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第三条</w:t>
      </w:r>
      <w:r>
        <w:rPr>
          <w:rFonts w:hint="eastAsia"/>
          <w:kern w:val="2"/>
        </w:rPr>
        <w:t>　</w:t>
      </w:r>
      <w:r>
        <w:rPr>
          <w:rFonts w:cs="宋体;SimSun" w:hint="eastAsia"/>
          <w:kern w:val="2"/>
        </w:rPr>
        <w:t>城管执法</w:t>
      </w:r>
      <w:r>
        <w:rPr>
          <w:kern w:val="2"/>
        </w:rPr>
        <w:t>遵循合法、公正、公开、及时的原则，突出以人为本，坚持教育与处罚、疏导与治理相结合，增强服务意识，秉公执法，文明执法。</w:t>
      </w:r>
    </w:p>
    <w:p>
      <w:pPr>
        <w:pStyle w:val="Normal"/>
        <w:widowControl w:val="false"/>
        <w:spacing w:lineRule="exact" w:line="600"/>
        <w:jc w:val="both"/>
        <w:rPr/>
      </w:pPr>
      <w:r>
        <w:rPr>
          <w:rFonts w:hint="eastAsia"/>
          <w:kern w:val="2"/>
        </w:rPr>
        <w:t>　　</w:t>
      </w:r>
      <w:r>
        <w:rPr>
          <w:kern w:val="2"/>
        </w:rPr>
        <w:t>城管执法</w:t>
      </w:r>
      <w:r>
        <w:rPr>
          <w:rFonts w:hint="eastAsia"/>
          <w:kern w:val="2"/>
        </w:rPr>
        <w:t>工作</w:t>
      </w:r>
      <w:r>
        <w:rPr>
          <w:kern w:val="2"/>
        </w:rPr>
        <w:t>经费纳入财政预算。城管执法部门不得以罚款作为经费来源和创收途径，不得以罚款指标作为考核依据。</w:t>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第四条</w:t>
      </w:r>
      <w:r>
        <w:rPr>
          <w:rFonts w:hint="eastAsia"/>
          <w:kern w:val="2"/>
        </w:rPr>
        <w:t>　</w:t>
      </w:r>
      <w:r>
        <w:rPr>
          <w:rFonts w:cs="宋体;SimSun" w:hint="eastAsia"/>
          <w:kern w:val="2"/>
        </w:rPr>
        <w:t>城管执法</w:t>
      </w:r>
      <w:r>
        <w:rPr>
          <w:kern w:val="2"/>
        </w:rPr>
        <w:t>实行市人民政府统一领导、分级负责的体制。</w:t>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第五条</w:t>
      </w:r>
      <w:r>
        <w:rPr>
          <w:rFonts w:hint="eastAsia"/>
          <w:kern w:val="2"/>
        </w:rPr>
        <w:t>　</w:t>
      </w:r>
      <w:r>
        <w:rPr>
          <w:kern w:val="2"/>
        </w:rPr>
        <w:t>市城管执法部门负责本市城管执法工作，指导和协调区</w:t>
      </w:r>
      <w:r>
        <w:rPr>
          <w:rFonts w:hint="eastAsia"/>
          <w:kern w:val="2"/>
        </w:rPr>
        <w:t>县</w:t>
      </w:r>
      <w:r>
        <w:rPr>
          <w:kern w:val="2"/>
        </w:rPr>
        <w:t>城管执法工作。</w:t>
      </w:r>
    </w:p>
    <w:p>
      <w:pPr>
        <w:pStyle w:val="Normal"/>
        <w:widowControl w:val="false"/>
        <w:spacing w:lineRule="exact" w:line="600"/>
        <w:jc w:val="both"/>
        <w:rPr/>
      </w:pPr>
      <w:r>
        <w:rPr>
          <w:rFonts w:hint="eastAsia"/>
          <w:kern w:val="2"/>
        </w:rPr>
        <w:t>　　区县</w:t>
      </w:r>
      <w:r>
        <w:rPr>
          <w:kern w:val="2"/>
        </w:rPr>
        <w:t>城管执法部门，按照职责分工，负责管辖范围内的城管执法工作。</w:t>
      </w:r>
    </w:p>
    <w:p>
      <w:pPr>
        <w:pStyle w:val="Normal"/>
        <w:widowControl w:val="false"/>
        <w:spacing w:lineRule="exact" w:line="600"/>
        <w:jc w:val="both"/>
        <w:rPr/>
      </w:pPr>
      <w:r>
        <w:rPr>
          <w:rFonts w:hint="eastAsia"/>
          <w:kern w:val="2"/>
        </w:rPr>
        <w:t>　　</w:t>
      </w:r>
      <w:r>
        <w:rPr>
          <w:rFonts w:cs="宋体;SimSun" w:hint="eastAsia"/>
          <w:kern w:val="2"/>
        </w:rPr>
        <w:t>住建、资源规划、生态环境、市场监管、民政、公安等有关部门</w:t>
      </w:r>
      <w:r>
        <w:rPr>
          <w:kern w:val="2"/>
        </w:rPr>
        <w:t>，应当按照各自职责分工，共同做好城管执法有关工作。</w:t>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第六条</w:t>
      </w:r>
      <w:r>
        <w:rPr>
          <w:rFonts w:hint="eastAsia"/>
          <w:kern w:val="2"/>
        </w:rPr>
        <w:t>　</w:t>
      </w:r>
      <w:r>
        <w:rPr>
          <w:kern w:val="2"/>
        </w:rPr>
        <w:t>市、区</w:t>
      </w:r>
      <w:r>
        <w:rPr>
          <w:rFonts w:hint="eastAsia"/>
          <w:kern w:val="2"/>
        </w:rPr>
        <w:t>县</w:t>
      </w:r>
      <w:r>
        <w:rPr>
          <w:kern w:val="2"/>
        </w:rPr>
        <w:t>人民政府应当加强对城管执法工作的领导和监督，协调城管执法部门与相关部门工作，提高城管执法水平，改善城管执法装备条件，实现执法手段现代化。</w:t>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第七条</w:t>
      </w:r>
      <w:r>
        <w:rPr>
          <w:rFonts w:hint="eastAsia"/>
          <w:kern w:val="2"/>
        </w:rPr>
        <w:t>　</w:t>
      </w:r>
      <w:r>
        <w:rPr>
          <w:kern w:val="2"/>
        </w:rPr>
        <w:t>城管执法人员执行公务时，应当主动宣传法律法规，恪守职业道德，自觉接受社会公众的监督。</w:t>
      </w:r>
    </w:p>
    <w:p>
      <w:pPr>
        <w:pStyle w:val="Normal"/>
        <w:widowControl w:val="false"/>
        <w:spacing w:lineRule="exact" w:line="600"/>
        <w:jc w:val="both"/>
        <w:rPr/>
      </w:pPr>
      <w:r>
        <w:rPr>
          <w:rFonts w:hint="eastAsia"/>
          <w:kern w:val="2"/>
        </w:rPr>
        <w:t>　　</w:t>
      </w:r>
      <w:r>
        <w:rPr>
          <w:kern w:val="2"/>
        </w:rPr>
        <w:t>公民、法人和其他组织应当支持、配合城管执法，协助城管执法人员依法行使职权。</w:t>
      </w:r>
    </w:p>
    <w:p>
      <w:pPr>
        <w:pStyle w:val="Normal"/>
        <w:widowControl w:val="false"/>
        <w:spacing w:lineRule="exact" w:line="600"/>
        <w:rPr>
          <w:kern w:val="2"/>
        </w:rPr>
      </w:pPr>
      <w:r>
        <w:rPr>
          <w:kern w:val="2"/>
        </w:rPr>
      </w:r>
    </w:p>
    <w:p>
      <w:pPr>
        <w:pStyle w:val="Normal"/>
        <w:widowControl w:val="false"/>
        <w:spacing w:lineRule="exact" w:line="600"/>
        <w:jc w:val="center"/>
        <w:rPr/>
      </w:pPr>
      <w:r>
        <w:rPr>
          <w:rFonts w:ascii="黑体;SimHei" w:hAnsi="黑体;SimHei" w:cs="黑体;SimHei" w:eastAsia="黑体;SimHei"/>
          <w:kern w:val="2"/>
        </w:rPr>
        <w:t>第二章</w:t>
      </w:r>
      <w:r>
        <w:rPr>
          <w:rFonts w:ascii="黑体;SimHei" w:hAnsi="黑体;SimHei" w:cs="黑体;SimHei" w:hint="eastAsia" w:eastAsia="黑体;SimHei"/>
          <w:kern w:val="2"/>
        </w:rPr>
        <w:t>　</w:t>
      </w:r>
      <w:r>
        <w:rPr>
          <w:rFonts w:ascii="黑体;SimHei" w:hAnsi="黑体;SimHei" w:cs="黑体;SimHei" w:eastAsia="黑体;SimHei"/>
          <w:kern w:val="2"/>
        </w:rPr>
        <w:t>执法职责</w:t>
      </w:r>
    </w:p>
    <w:p>
      <w:pPr>
        <w:pStyle w:val="Normal"/>
        <w:widowControl w:val="false"/>
        <w:spacing w:lineRule="exact" w:line="600"/>
        <w:rPr>
          <w:rFonts w:ascii="黑体;SimHei" w:hAnsi="黑体;SimHei" w:eastAsia="黑体;SimHei" w:cs="黑体;SimHei"/>
          <w:kern w:val="2"/>
        </w:rPr>
      </w:pPr>
      <w:r>
        <w:rPr>
          <w:rFonts w:eastAsia="黑体;SimHei" w:cs="黑体;SimHei" w:ascii="黑体;SimHei" w:hAnsi="黑体;SimHei"/>
          <w:kern w:val="2"/>
        </w:rPr>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第八条</w:t>
      </w:r>
      <w:r>
        <w:rPr>
          <w:rFonts w:hint="eastAsia"/>
          <w:kern w:val="2"/>
        </w:rPr>
        <w:t>　</w:t>
      </w:r>
      <w:r>
        <w:rPr>
          <w:kern w:val="2"/>
        </w:rPr>
        <w:t>城管执法部门依照本条例规定</w:t>
      </w:r>
      <w:r>
        <w:rPr>
          <w:rFonts w:cs="宋体;SimSun" w:hint="eastAsia"/>
          <w:kern w:val="2"/>
        </w:rPr>
        <w:t>相对集中行使行政处罚权，并实施</w:t>
      </w:r>
      <w:r>
        <w:rPr>
          <w:rFonts w:cs="宋体;SimSun"/>
          <w:kern w:val="2"/>
        </w:rPr>
        <w:t>与行政处罚权</w:t>
      </w:r>
      <w:r>
        <w:rPr>
          <w:rFonts w:cs="宋体;SimSun" w:hint="eastAsia"/>
          <w:kern w:val="2"/>
        </w:rPr>
        <w:t>有</w:t>
      </w:r>
      <w:r>
        <w:rPr>
          <w:rFonts w:cs="宋体;SimSun"/>
          <w:kern w:val="2"/>
        </w:rPr>
        <w:t>关的行政强制</w:t>
      </w:r>
      <w:r>
        <w:rPr>
          <w:kern w:val="2"/>
        </w:rPr>
        <w:t>。经国务院或者省人民政府决定，新确定和调整的行政处罚职责，由市人民政府向社会公布。</w:t>
      </w:r>
    </w:p>
    <w:p>
      <w:pPr>
        <w:pStyle w:val="Normal"/>
        <w:widowControl w:val="false"/>
        <w:spacing w:lineRule="exact" w:line="600"/>
        <w:jc w:val="both"/>
        <w:rPr>
          <w:rFonts w:hint="eastAsia"/>
          <w:kern w:val="2"/>
        </w:rPr>
      </w:pPr>
      <w:r>
        <w:rPr>
          <w:rFonts w:hint="eastAsia"/>
          <w:kern w:val="2"/>
        </w:rPr>
        <w:t>　　</w:t>
      </w:r>
      <w:r>
        <w:rPr>
          <w:rFonts w:ascii="黑体;SimHei" w:hAnsi="黑体;SimHei" w:cs="黑体;SimHei" w:eastAsia="黑体;SimHei"/>
          <w:kern w:val="2"/>
        </w:rPr>
        <w:t>第九条</w:t>
      </w:r>
      <w:r>
        <w:rPr>
          <w:rFonts w:hint="eastAsia"/>
          <w:kern w:val="2"/>
        </w:rPr>
        <w:t>　</w:t>
      </w:r>
      <w:r>
        <w:rPr>
          <w:kern w:val="2"/>
        </w:rPr>
        <w:t>城管执法实行属地管理，违法行为由发生地的城管执法部门管辖。对流动状态的违法行为，由相邻区域的城管执法部门约定管辖。管辖权发生异议的，报市城管执法部门指定管辖。</w:t>
      </w:r>
    </w:p>
    <w:p>
      <w:pPr>
        <w:pStyle w:val="Normal"/>
        <w:widowControl w:val="false"/>
        <w:spacing w:lineRule="exact" w:line="600"/>
        <w:jc w:val="both"/>
        <w:rPr>
          <w:rFonts w:hint="eastAsia"/>
          <w:kern w:val="2"/>
        </w:rPr>
      </w:pPr>
      <w:r>
        <w:rPr>
          <w:rFonts w:hint="eastAsia"/>
          <w:kern w:val="2"/>
        </w:rPr>
        <w:t>　　</w:t>
      </w:r>
      <w:r>
        <w:rPr>
          <w:kern w:val="2"/>
        </w:rPr>
        <w:t>市城管执法部门对有重大影响的违法案件可以直接管辖，也可以组织</w:t>
      </w:r>
      <w:r>
        <w:rPr>
          <w:rFonts w:cs="宋体;SimSun" w:hint="eastAsia"/>
          <w:kern w:val="2"/>
        </w:rPr>
        <w:t>区县城管执法部门</w:t>
      </w:r>
      <w:r>
        <w:rPr>
          <w:kern w:val="2"/>
        </w:rPr>
        <w:t>联合执法。</w:t>
      </w:r>
    </w:p>
    <w:p>
      <w:pPr>
        <w:pStyle w:val="Normal"/>
        <w:widowControl w:val="false"/>
        <w:spacing w:lineRule="exact" w:line="600"/>
        <w:jc w:val="both"/>
        <w:rPr/>
      </w:pPr>
      <w:r>
        <w:rPr>
          <w:rFonts w:hint="eastAsia"/>
          <w:kern w:val="2"/>
        </w:rPr>
        <w:t>　　</w:t>
      </w:r>
      <w:r>
        <w:rPr>
          <w:kern w:val="2"/>
        </w:rPr>
        <w:t>市、区</w:t>
      </w:r>
      <w:r>
        <w:rPr>
          <w:rFonts w:hint="eastAsia"/>
          <w:kern w:val="2"/>
        </w:rPr>
        <w:t>县</w:t>
      </w:r>
      <w:r>
        <w:rPr>
          <w:kern w:val="2"/>
        </w:rPr>
        <w:t>城管执法部门对其执法行为承担责任。</w:t>
      </w:r>
    </w:p>
    <w:p>
      <w:pPr>
        <w:pStyle w:val="Normal"/>
        <w:widowControl w:val="false"/>
        <w:spacing w:lineRule="exact" w:line="600"/>
        <w:jc w:val="both"/>
        <w:rPr>
          <w:rFonts w:hint="eastAsia"/>
          <w:kern w:val="2"/>
        </w:rPr>
      </w:pPr>
      <w:r>
        <w:rPr>
          <w:rFonts w:hint="eastAsia"/>
          <w:kern w:val="2"/>
        </w:rPr>
        <w:t>　　</w:t>
      </w:r>
      <w:r>
        <w:rPr>
          <w:rFonts w:ascii="黑体;SimHei" w:hAnsi="黑体;SimHei" w:cs="黑体;SimHei" w:eastAsia="黑体;SimHei"/>
          <w:kern w:val="2"/>
        </w:rPr>
        <w:t>第十条</w:t>
      </w:r>
      <w:r>
        <w:rPr>
          <w:rFonts w:hint="eastAsia"/>
          <w:kern w:val="2"/>
        </w:rPr>
        <w:t>　</w:t>
      </w:r>
      <w:r>
        <w:rPr>
          <w:kern w:val="2"/>
        </w:rPr>
        <w:t>城管执法部门具有下列执法职责：</w:t>
      </w:r>
    </w:p>
    <w:p>
      <w:pPr>
        <w:pStyle w:val="Normal"/>
        <w:widowControl w:val="false"/>
        <w:spacing w:lineRule="exact" w:line="600"/>
        <w:ind w:firstLine="630" w:end="0"/>
        <w:jc w:val="both"/>
        <w:rPr>
          <w:kern w:val="2"/>
        </w:rPr>
      </w:pPr>
      <w:r>
        <w:rPr>
          <w:kern w:val="2"/>
        </w:rPr>
        <w:t>（一）依据城市市容和环境卫生管理方面法律、法规、规章的规定，查处违反城市市容和环境卫生管理规定的行为；</w:t>
      </w:r>
    </w:p>
    <w:p>
      <w:pPr>
        <w:pStyle w:val="Normal"/>
        <w:widowControl w:val="false"/>
        <w:spacing w:lineRule="exact" w:line="600"/>
        <w:jc w:val="both"/>
        <w:rPr/>
      </w:pPr>
      <w:r>
        <w:rPr>
          <w:rFonts w:hint="eastAsia"/>
          <w:kern w:val="2"/>
        </w:rPr>
        <w:t>　　</w:t>
      </w:r>
      <w:r>
        <w:rPr>
          <w:kern w:val="2"/>
        </w:rPr>
        <w:t>（二）依据城乡规划和建筑市场管理方面法律、法规、规章的规定，查处未经批准擅自修建临街建筑物、构筑物等行为及建筑施工中影响市容环境的行为，配合</w:t>
      </w:r>
      <w:r>
        <w:rPr>
          <w:rFonts w:cs="宋体;SimSun" w:hint="eastAsia"/>
          <w:kern w:val="2"/>
        </w:rPr>
        <w:t>资源规划主管部门</w:t>
      </w:r>
      <w:r>
        <w:rPr>
          <w:kern w:val="2"/>
        </w:rPr>
        <w:t>拆除违法建筑；</w:t>
      </w:r>
    </w:p>
    <w:p>
      <w:pPr>
        <w:pStyle w:val="Normal"/>
        <w:widowControl w:val="false"/>
        <w:spacing w:lineRule="exact" w:line="600"/>
        <w:jc w:val="both"/>
        <w:rPr/>
      </w:pPr>
      <w:r>
        <w:rPr>
          <w:rFonts w:hint="eastAsia"/>
          <w:kern w:val="2"/>
        </w:rPr>
        <w:t>　　</w:t>
      </w:r>
      <w:r>
        <w:rPr>
          <w:kern w:val="2"/>
        </w:rPr>
        <w:t>（三）依据园林绿化管理方面法律、法规、规章的规定，查处违反城市园林绿化管理规定的行为；</w:t>
      </w:r>
    </w:p>
    <w:p>
      <w:pPr>
        <w:pStyle w:val="Normal"/>
        <w:widowControl w:val="false"/>
        <w:spacing w:lineRule="exact" w:line="600"/>
        <w:jc w:val="both"/>
        <w:rPr/>
      </w:pPr>
      <w:r>
        <w:rPr>
          <w:rFonts w:hint="eastAsia"/>
          <w:kern w:val="2"/>
        </w:rPr>
        <w:t>　　</w:t>
      </w:r>
      <w:r>
        <w:rPr>
          <w:kern w:val="2"/>
        </w:rPr>
        <w:t>（四）依据环境保护管理方面法律、法规、规章的规定，查处临街商业门点产生的音响噪声污染、社会生活噪声污染、城市饮食服务业超标排污、排烟及烧烤摊点未使用清洁燃料以及清运建筑垃圾造成污染的行为；</w:t>
      </w:r>
    </w:p>
    <w:p>
      <w:pPr>
        <w:pStyle w:val="Normal"/>
        <w:widowControl w:val="false"/>
        <w:spacing w:lineRule="exact" w:line="600"/>
        <w:jc w:val="both"/>
        <w:rPr/>
      </w:pPr>
      <w:r>
        <w:rPr>
          <w:rFonts w:hint="eastAsia"/>
          <w:kern w:val="2"/>
        </w:rPr>
        <w:t>　　</w:t>
      </w:r>
      <w:r>
        <w:rPr>
          <w:kern w:val="2"/>
        </w:rPr>
        <w:t>（五）依据工商行政管理方面法律、法规、规章的规定，查处无证商贩摆摊设点、非法占道经营的行为；</w:t>
      </w:r>
    </w:p>
    <w:p>
      <w:pPr>
        <w:pStyle w:val="Normal"/>
        <w:widowControl w:val="false"/>
        <w:spacing w:lineRule="exact" w:line="600"/>
        <w:jc w:val="both"/>
        <w:rPr/>
      </w:pPr>
      <w:r>
        <w:rPr>
          <w:rFonts w:hint="eastAsia"/>
          <w:kern w:val="2"/>
        </w:rPr>
        <w:t>　　</w:t>
      </w:r>
      <w:r>
        <w:rPr>
          <w:kern w:val="2"/>
        </w:rPr>
        <w:t>（六）依据公安交通管理方面法律、法规、规章的规定，查处擅自在人行道违法停放机动车辆的行为；</w:t>
      </w:r>
    </w:p>
    <w:p>
      <w:pPr>
        <w:pStyle w:val="Normal"/>
        <w:widowControl w:val="false"/>
        <w:spacing w:lineRule="exact" w:line="600"/>
        <w:ind w:firstLine="630" w:end="0"/>
        <w:jc w:val="both"/>
        <w:rPr>
          <w:kern w:val="2"/>
        </w:rPr>
      </w:pPr>
      <w:r>
        <w:rPr>
          <w:kern w:val="2"/>
        </w:rPr>
        <w:t>（七）依据户外广告设置管理方面法律、法规、规章的规定，查处违反城市户外广告设置管理规定的行为；</w:t>
      </w:r>
    </w:p>
    <w:p>
      <w:pPr>
        <w:pStyle w:val="Normal"/>
        <w:widowControl w:val="false"/>
        <w:spacing w:lineRule="exact" w:line="600"/>
        <w:jc w:val="both"/>
        <w:rPr/>
      </w:pPr>
      <w:r>
        <w:rPr>
          <w:rFonts w:hint="eastAsia"/>
          <w:kern w:val="2"/>
        </w:rPr>
        <w:t>　　</w:t>
      </w:r>
      <w:r>
        <w:rPr>
          <w:kern w:val="2"/>
        </w:rPr>
        <w:t>（八）法律、法规规定和国务院或者省人民政府决定由城管执法部门集中行使的其他行政执法职责。</w:t>
      </w:r>
    </w:p>
    <w:p>
      <w:pPr>
        <w:pStyle w:val="Normal"/>
        <w:widowControl w:val="false"/>
        <w:spacing w:lineRule="exact" w:line="600"/>
        <w:jc w:val="both"/>
        <w:rPr>
          <w:rFonts w:hint="eastAsia"/>
          <w:kern w:val="2"/>
        </w:rPr>
      </w:pPr>
      <w:r>
        <w:rPr>
          <w:rFonts w:hint="eastAsia"/>
          <w:kern w:val="2"/>
        </w:rPr>
        <w:t>　　</w:t>
      </w:r>
      <w:r>
        <w:rPr>
          <w:rFonts w:ascii="黑体;SimHei" w:hAnsi="黑体;SimHei" w:cs="黑体;SimHei" w:eastAsia="黑体;SimHei"/>
          <w:kern w:val="2"/>
        </w:rPr>
        <w:t>第十一条</w:t>
      </w:r>
      <w:r>
        <w:rPr>
          <w:rFonts w:hint="eastAsia"/>
          <w:kern w:val="2"/>
        </w:rPr>
        <w:t>　</w:t>
      </w:r>
      <w:r>
        <w:rPr>
          <w:kern w:val="2"/>
        </w:rPr>
        <w:t>已相对集中行使的行政处罚权，原行政管理部门不再行使；仍行使已相对集中的行政处罚权的，作出的行政处罚决定无效。</w:t>
      </w:r>
    </w:p>
    <w:p>
      <w:pPr>
        <w:pStyle w:val="Normal"/>
        <w:widowControl w:val="false"/>
        <w:spacing w:lineRule="exact" w:line="600"/>
        <w:ind w:firstLine="630" w:end="0"/>
        <w:jc w:val="both"/>
        <w:rPr>
          <w:kern w:val="2"/>
        </w:rPr>
      </w:pPr>
      <w:r>
        <w:rPr>
          <w:kern w:val="2"/>
        </w:rPr>
        <w:t>行政管理部门不因行政处罚权的相对集中而改变其他行政管理及监督职责。</w:t>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第十二条</w:t>
      </w:r>
      <w:r>
        <w:rPr>
          <w:rFonts w:hint="eastAsia"/>
          <w:kern w:val="2"/>
        </w:rPr>
        <w:t>　</w:t>
      </w:r>
      <w:r>
        <w:rPr>
          <w:kern w:val="2"/>
        </w:rPr>
        <w:t>因</w:t>
      </w:r>
      <w:r>
        <w:rPr>
          <w:rFonts w:cs="宋体;SimSun" w:hint="eastAsia"/>
          <w:kern w:val="2"/>
        </w:rPr>
        <w:t>城管执法</w:t>
      </w:r>
      <w:r>
        <w:rPr>
          <w:kern w:val="2"/>
        </w:rPr>
        <w:t>需要制定、修改或者废止本市地方性法规、政府规章的，市城管执法部门应当书面建议有关机关按照法定程序进行。</w:t>
      </w:r>
    </w:p>
    <w:p>
      <w:pPr>
        <w:pStyle w:val="Normal"/>
        <w:widowControl w:val="false"/>
        <w:spacing w:lineRule="exact" w:line="600"/>
        <w:rPr>
          <w:kern w:val="2"/>
        </w:rPr>
      </w:pPr>
      <w:r>
        <w:rPr>
          <w:kern w:val="2"/>
        </w:rPr>
      </w:r>
    </w:p>
    <w:p>
      <w:pPr>
        <w:pStyle w:val="Normal"/>
        <w:widowControl w:val="false"/>
        <w:spacing w:lineRule="exact" w:line="600"/>
        <w:jc w:val="center"/>
        <w:rPr/>
      </w:pPr>
      <w:r>
        <w:rPr>
          <w:rFonts w:ascii="黑体;SimHei" w:hAnsi="黑体;SimHei" w:cs="黑体;SimHei" w:eastAsia="黑体;SimHei"/>
          <w:kern w:val="2"/>
        </w:rPr>
        <w:t>第三章</w:t>
      </w:r>
      <w:r>
        <w:rPr>
          <w:rFonts w:ascii="黑体;SimHei" w:hAnsi="黑体;SimHei" w:cs="黑体;SimHei" w:hint="eastAsia" w:eastAsia="黑体;SimHei"/>
          <w:kern w:val="2"/>
        </w:rPr>
        <w:t>　</w:t>
      </w:r>
      <w:r>
        <w:rPr>
          <w:rFonts w:ascii="黑体;SimHei" w:hAnsi="黑体;SimHei" w:cs="黑体;SimHei" w:eastAsia="黑体;SimHei"/>
          <w:kern w:val="2"/>
        </w:rPr>
        <w:t>执法规范</w:t>
      </w:r>
    </w:p>
    <w:p>
      <w:pPr>
        <w:pStyle w:val="Normal"/>
        <w:widowControl w:val="false"/>
        <w:spacing w:lineRule="exact" w:line="600"/>
        <w:rPr>
          <w:rFonts w:ascii="黑体;SimHei" w:hAnsi="黑体;SimHei" w:eastAsia="黑体;SimHei" w:cs="黑体;SimHei"/>
          <w:kern w:val="2"/>
        </w:rPr>
      </w:pPr>
      <w:r>
        <w:rPr>
          <w:rFonts w:eastAsia="黑体;SimHei" w:cs="黑体;SimHei" w:ascii="黑体;SimHei" w:hAnsi="黑体;SimHei"/>
          <w:kern w:val="2"/>
        </w:rPr>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第十三条</w:t>
      </w:r>
      <w:r>
        <w:rPr>
          <w:rFonts w:hint="eastAsia"/>
          <w:kern w:val="2"/>
        </w:rPr>
        <w:t>　</w:t>
      </w:r>
      <w:r>
        <w:rPr>
          <w:kern w:val="2"/>
        </w:rPr>
        <w:t>城管执法部门应当按照《中华人民共和国公务员法》的规定，建立完善录用、考核、培训、交流与回避等制度，加强执法队伍建设和管理。从事行政执法的工作人员，经培训考核合格，取得执法资格，方可上岗。</w:t>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第十四条</w:t>
      </w:r>
      <w:r>
        <w:rPr>
          <w:rFonts w:hint="eastAsia"/>
          <w:kern w:val="2"/>
        </w:rPr>
        <w:t>　</w:t>
      </w:r>
      <w:r>
        <w:rPr>
          <w:kern w:val="2"/>
        </w:rPr>
        <w:t>城管执法部门应当建立和完善日常巡查制度，及时制止和查处违反城市管理法律、法规、规章规定的行为。</w:t>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第十五条</w:t>
      </w:r>
      <w:r>
        <w:rPr>
          <w:rFonts w:hint="eastAsia"/>
          <w:kern w:val="2"/>
        </w:rPr>
        <w:t>　</w:t>
      </w:r>
      <w:r>
        <w:rPr>
          <w:kern w:val="2"/>
        </w:rPr>
        <w:t>城管执法人员应当具备行政处罚执法资格，在查处违法行为时，不得少于两人，并应当统一着装，佩戴标志，出示执法证件，保持仪容严整、举止端庄、语言文明、行为规范、程序合法。</w:t>
      </w:r>
    </w:p>
    <w:p>
      <w:pPr>
        <w:pStyle w:val="Normal"/>
        <w:widowControl w:val="false"/>
        <w:spacing w:lineRule="exact" w:line="600"/>
        <w:ind w:firstLine="630" w:end="0"/>
        <w:jc w:val="both"/>
        <w:rPr>
          <w:rFonts w:hint="eastAsia"/>
          <w:kern w:val="2"/>
        </w:rPr>
      </w:pPr>
      <w:r>
        <w:rPr>
          <w:rFonts w:ascii="黑体;SimHei" w:hAnsi="黑体;SimHei" w:cs="黑体;SimHei" w:eastAsia="黑体;SimHei"/>
          <w:kern w:val="2"/>
        </w:rPr>
        <w:t>第十六条</w:t>
      </w:r>
      <w:r>
        <w:rPr>
          <w:rFonts w:hint="eastAsia"/>
          <w:kern w:val="2"/>
        </w:rPr>
        <w:t>　</w:t>
      </w:r>
      <w:r>
        <w:rPr>
          <w:kern w:val="2"/>
        </w:rPr>
        <w:t>城管执法部门在查处违法行为时，可以采取以下措施：</w:t>
      </w:r>
    </w:p>
    <w:p>
      <w:pPr>
        <w:pStyle w:val="Normal"/>
        <w:widowControl w:val="false"/>
        <w:spacing w:lineRule="exact" w:line="600"/>
        <w:ind w:firstLine="630" w:end="0"/>
        <w:jc w:val="both"/>
        <w:rPr>
          <w:rFonts w:hint="eastAsia"/>
          <w:kern w:val="2"/>
        </w:rPr>
      </w:pPr>
      <w:r>
        <w:rPr>
          <w:kern w:val="2"/>
        </w:rPr>
        <w:t>（一）询问案件当事人、证人，制作询问笔录或者调查笔录；</w:t>
      </w:r>
    </w:p>
    <w:p>
      <w:pPr>
        <w:pStyle w:val="Normal"/>
        <w:widowControl w:val="false"/>
        <w:spacing w:lineRule="exact" w:line="600"/>
        <w:ind w:firstLine="630" w:end="0"/>
        <w:jc w:val="both"/>
        <w:rPr>
          <w:rFonts w:hint="eastAsia"/>
          <w:kern w:val="2"/>
        </w:rPr>
      </w:pPr>
      <w:r>
        <w:rPr>
          <w:kern w:val="2"/>
        </w:rPr>
        <w:t>（二）进入正在发生违法行为的场所实施现场检查，收集违法证据，制止违法行为；</w:t>
      </w:r>
    </w:p>
    <w:p>
      <w:pPr>
        <w:pStyle w:val="Normal"/>
        <w:widowControl w:val="false"/>
        <w:spacing w:lineRule="exact" w:line="600"/>
        <w:jc w:val="both"/>
        <w:rPr/>
      </w:pPr>
      <w:r>
        <w:rPr>
          <w:rFonts w:hint="eastAsia"/>
          <w:kern w:val="2"/>
        </w:rPr>
        <w:t>　　</w:t>
      </w:r>
      <w:r>
        <w:rPr>
          <w:kern w:val="2"/>
        </w:rPr>
        <w:t>（三）查阅、调取、复印与违法行为有关的文件资料；</w:t>
      </w:r>
    </w:p>
    <w:p>
      <w:pPr>
        <w:pStyle w:val="Normal"/>
        <w:widowControl w:val="false"/>
        <w:spacing w:lineRule="exact" w:line="600"/>
        <w:ind w:firstLine="630" w:end="0"/>
        <w:jc w:val="both"/>
        <w:rPr>
          <w:rFonts w:hint="eastAsia"/>
          <w:kern w:val="2"/>
        </w:rPr>
      </w:pPr>
      <w:r>
        <w:rPr>
          <w:kern w:val="2"/>
        </w:rPr>
        <w:t>（四）对违法行为采用录音、拍照、摄像等方式，现场调查取证；</w:t>
      </w:r>
    </w:p>
    <w:p>
      <w:pPr>
        <w:pStyle w:val="Normal"/>
        <w:widowControl w:val="false"/>
        <w:spacing w:lineRule="exact" w:line="600"/>
        <w:ind w:firstLine="630" w:end="0"/>
        <w:jc w:val="both"/>
        <w:rPr>
          <w:kern w:val="2"/>
        </w:rPr>
      </w:pPr>
      <w:r>
        <w:rPr>
          <w:kern w:val="2"/>
        </w:rPr>
        <w:t>（五）法律、法规、规章规定的其他措施。</w:t>
      </w:r>
    </w:p>
    <w:p>
      <w:pPr>
        <w:pStyle w:val="Normal"/>
        <w:widowControl w:val="false"/>
        <w:spacing w:lineRule="exact" w:line="600"/>
        <w:ind w:firstLine="630" w:end="0"/>
        <w:jc w:val="both"/>
        <w:rPr>
          <w:rFonts w:hint="eastAsia"/>
          <w:kern w:val="2"/>
        </w:rPr>
      </w:pPr>
      <w:r>
        <w:rPr>
          <w:rFonts w:ascii="黑体;SimHei" w:hAnsi="黑体;SimHei" w:cs="黑体;SimHei" w:eastAsia="黑体;SimHei"/>
          <w:kern w:val="2"/>
        </w:rPr>
        <w:t>第十七条</w:t>
      </w:r>
      <w:r>
        <w:rPr>
          <w:rFonts w:hint="eastAsia"/>
          <w:kern w:val="2"/>
        </w:rPr>
        <w:t>　</w:t>
      </w:r>
      <w:r>
        <w:rPr>
          <w:kern w:val="2"/>
        </w:rPr>
        <w:t>执法人员在证据可能灭失或者以后难以取得的情况下，经城管执法部门负责人批准，可以将证据先行登记保存。</w:t>
      </w:r>
    </w:p>
    <w:p>
      <w:pPr>
        <w:pStyle w:val="Normal"/>
        <w:widowControl w:val="false"/>
        <w:spacing w:lineRule="exact" w:line="600"/>
        <w:ind w:firstLine="630" w:end="0"/>
        <w:jc w:val="both"/>
        <w:rPr>
          <w:kern w:val="2"/>
        </w:rPr>
      </w:pPr>
      <w:r>
        <w:rPr>
          <w:kern w:val="2"/>
        </w:rPr>
        <w:t>对先行登记保存的证据，应当在七日内作出处理决定。</w:t>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第十八条</w:t>
      </w:r>
      <w:r>
        <w:rPr>
          <w:rFonts w:hint="eastAsia"/>
          <w:kern w:val="2"/>
        </w:rPr>
        <w:t>　</w:t>
      </w:r>
      <w:r>
        <w:rPr>
          <w:kern w:val="2"/>
        </w:rPr>
        <w:t>对证据先行登记保存时，应当会同证据的持有人或者见证人对证据的名称、数量、特征等进行登记，开具先行登记保存证据清单。</w:t>
      </w:r>
    </w:p>
    <w:p>
      <w:pPr>
        <w:pStyle w:val="Normal"/>
        <w:widowControl w:val="false"/>
        <w:spacing w:lineRule="exact" w:line="600"/>
        <w:jc w:val="both"/>
        <w:rPr/>
      </w:pPr>
      <w:r>
        <w:rPr>
          <w:rFonts w:hint="eastAsia"/>
          <w:kern w:val="2"/>
        </w:rPr>
        <w:t>　　</w:t>
      </w:r>
      <w:r>
        <w:rPr>
          <w:kern w:val="2"/>
        </w:rPr>
        <w:t>先行登记保存证据清单由执法人员和证据持有人签名，并各执一份。证据持有人拒绝签名或者接收的，执法人员应当在先行登记保存证据清单上注明。</w:t>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第十九条</w:t>
      </w:r>
      <w:r>
        <w:rPr>
          <w:rFonts w:hint="eastAsia"/>
          <w:kern w:val="2"/>
        </w:rPr>
        <w:t>　</w:t>
      </w:r>
      <w:r>
        <w:rPr>
          <w:kern w:val="2"/>
        </w:rPr>
        <w:t>有下列情形之一的，经城管执法部门负责人批准，可以查封、扣押涉嫌违法的工具、物品：</w:t>
      </w:r>
    </w:p>
    <w:p>
      <w:pPr>
        <w:pStyle w:val="Normal"/>
        <w:widowControl w:val="false"/>
        <w:spacing w:lineRule="exact" w:line="600"/>
        <w:ind w:firstLine="630" w:end="0"/>
        <w:jc w:val="both"/>
        <w:rPr>
          <w:rFonts w:hint="eastAsia"/>
          <w:kern w:val="2"/>
        </w:rPr>
      </w:pPr>
      <w:r>
        <w:rPr>
          <w:kern w:val="2"/>
        </w:rPr>
        <w:t>（一）适用先行登记保存不足以防止当事人销毁或者转移证据的；</w:t>
      </w:r>
    </w:p>
    <w:p>
      <w:pPr>
        <w:pStyle w:val="Normal"/>
        <w:widowControl w:val="false"/>
        <w:spacing w:lineRule="exact" w:line="600"/>
        <w:ind w:firstLine="630" w:end="0"/>
        <w:jc w:val="both"/>
        <w:rPr>
          <w:rFonts w:hint="eastAsia"/>
          <w:kern w:val="2"/>
        </w:rPr>
      </w:pPr>
      <w:r>
        <w:rPr>
          <w:kern w:val="2"/>
        </w:rPr>
        <w:t>（二）当事人拒不改正或者有证据证明其转移财产逃避义务的；</w:t>
      </w:r>
    </w:p>
    <w:p>
      <w:pPr>
        <w:pStyle w:val="Normal"/>
        <w:widowControl w:val="false"/>
        <w:spacing w:lineRule="exact" w:line="600"/>
        <w:ind w:firstLine="630" w:end="0"/>
        <w:jc w:val="both"/>
        <w:rPr>
          <w:rFonts w:hint="eastAsia"/>
          <w:kern w:val="2"/>
        </w:rPr>
      </w:pPr>
      <w:r>
        <w:rPr>
          <w:kern w:val="2"/>
        </w:rPr>
        <w:t>（三）有可能危害人身健康、威胁公共安全、破坏环境资源的物品；</w:t>
      </w:r>
    </w:p>
    <w:p>
      <w:pPr>
        <w:pStyle w:val="Normal"/>
        <w:widowControl w:val="false"/>
        <w:spacing w:lineRule="exact" w:line="600"/>
        <w:ind w:firstLine="630" w:end="0"/>
        <w:jc w:val="both"/>
        <w:rPr>
          <w:kern w:val="2"/>
        </w:rPr>
      </w:pPr>
      <w:r>
        <w:rPr>
          <w:kern w:val="2"/>
        </w:rPr>
        <w:t>（四）有法律、法规规定的其他情形的。</w:t>
      </w:r>
    </w:p>
    <w:p>
      <w:pPr>
        <w:pStyle w:val="Normal"/>
        <w:widowControl w:val="false"/>
        <w:spacing w:lineRule="exact" w:line="600"/>
        <w:jc w:val="both"/>
        <w:rPr/>
      </w:pPr>
      <w:r>
        <w:rPr>
          <w:rFonts w:hint="eastAsia"/>
          <w:kern w:val="2"/>
        </w:rPr>
        <w:t>　　</w:t>
      </w:r>
      <w:r>
        <w:rPr>
          <w:kern w:val="2"/>
        </w:rPr>
        <w:t>城管执法部门实施查封、扣押措施的，应当依照法律法规规定的条件、程序和期限执行。不及时实施查封、扣押，可能影响公共利益或者案件查处的，经城管执法部门负责人同意，可以先行查封、扣押，但应当在二十四小时内补办查封、扣押的批准手续。</w:t>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第二十条</w:t>
      </w:r>
      <w:r>
        <w:rPr>
          <w:rFonts w:hint="eastAsia"/>
          <w:kern w:val="2"/>
        </w:rPr>
        <w:t>　</w:t>
      </w:r>
      <w:r>
        <w:rPr>
          <w:kern w:val="2"/>
        </w:rPr>
        <w:t>城管执法人员对查封、扣押的工具、物品，应当会同持有人对被查封、扣押工具、物品的名称、规格、数量、特征查点清楚，开具查封、扣押清单。</w:t>
      </w:r>
    </w:p>
    <w:p>
      <w:pPr>
        <w:pStyle w:val="Normal"/>
        <w:widowControl w:val="false"/>
        <w:spacing w:lineRule="exact" w:line="600"/>
        <w:jc w:val="both"/>
        <w:rPr/>
      </w:pPr>
      <w:r>
        <w:rPr>
          <w:rFonts w:hint="eastAsia"/>
          <w:kern w:val="2"/>
        </w:rPr>
        <w:t>　　</w:t>
      </w:r>
      <w:r>
        <w:rPr>
          <w:kern w:val="2"/>
        </w:rPr>
        <w:t>查封、扣押清单由执法人员和持有人签名，各执一份。持有人拒绝签名或者接收的，执法人员应当在查封、扣押清单上注明。</w:t>
      </w:r>
    </w:p>
    <w:p>
      <w:pPr>
        <w:pStyle w:val="Normal"/>
        <w:widowControl w:val="false"/>
        <w:spacing w:lineRule="exact" w:line="600"/>
        <w:jc w:val="both"/>
        <w:rPr/>
      </w:pPr>
      <w:r>
        <w:rPr>
          <w:rFonts w:hint="eastAsia"/>
          <w:kern w:val="2"/>
        </w:rPr>
        <w:t>　　</w:t>
      </w:r>
      <w:r>
        <w:rPr>
          <w:kern w:val="2"/>
        </w:rPr>
        <w:t>查封、扣押的工具、物品，不得使用或者损毁。查封、扣押的物品易腐烂、易灭损或者不易保存的，城管执法部门应当妥善处理。</w:t>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第二十一条</w:t>
      </w:r>
      <w:r>
        <w:rPr>
          <w:rFonts w:hint="eastAsia"/>
          <w:kern w:val="2"/>
        </w:rPr>
        <w:t>　</w:t>
      </w:r>
      <w:r>
        <w:rPr>
          <w:kern w:val="2"/>
        </w:rPr>
        <w:t>城管执法部门实施查封、扣押措施后，应当在三十日内对违法行为作出处理决定；情况复杂的，经城管执法部门负责人批准，可以延长三十日。逾期未作出处理决定的，应当将查封、扣押的工具、物品退还给当事人。</w:t>
      </w:r>
    </w:p>
    <w:p>
      <w:pPr>
        <w:pStyle w:val="Normal"/>
        <w:widowControl w:val="false"/>
        <w:spacing w:lineRule="exact" w:line="600"/>
        <w:jc w:val="both"/>
        <w:rPr>
          <w:rFonts w:hint="eastAsia"/>
          <w:kern w:val="2"/>
        </w:rPr>
      </w:pPr>
      <w:r>
        <w:rPr>
          <w:rFonts w:hint="eastAsia"/>
          <w:kern w:val="2"/>
        </w:rPr>
        <w:t>　　</w:t>
      </w:r>
      <w:r>
        <w:rPr>
          <w:kern w:val="2"/>
        </w:rPr>
        <w:t>城管执法部门对查封、扣押的工具、物品，不得收取保管费。</w:t>
      </w:r>
    </w:p>
    <w:p>
      <w:pPr>
        <w:pStyle w:val="Normal"/>
        <w:widowControl w:val="false"/>
        <w:spacing w:lineRule="exact" w:line="600"/>
        <w:ind w:firstLine="630" w:end="0"/>
        <w:jc w:val="both"/>
        <w:rPr/>
      </w:pPr>
      <w:r>
        <w:rPr>
          <w:kern w:val="2"/>
        </w:rPr>
        <w:t>城管执法部门决定解除查封、扣押的，应当及时通知当事人领取工具、物品，无法通知当事人的，应当发布公告通知。当事人应当在通知和公告规定的期限内领取，超过规定的期限延迟领取的，</w:t>
      </w:r>
      <w:r>
        <w:rPr>
          <w:rFonts w:cs="宋体;SimSun" w:hint="eastAsia"/>
          <w:kern w:val="2"/>
        </w:rPr>
        <w:t>依法处理</w:t>
      </w:r>
      <w:r>
        <w:rPr>
          <w:kern w:val="2"/>
        </w:rPr>
        <w:t>。</w:t>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第二十二条</w:t>
      </w:r>
      <w:r>
        <w:rPr>
          <w:rFonts w:hint="eastAsia"/>
          <w:kern w:val="2"/>
        </w:rPr>
        <w:t>　</w:t>
      </w:r>
      <w:r>
        <w:rPr>
          <w:kern w:val="2"/>
        </w:rPr>
        <w:t>调查取证中，需要进行技术鉴定的，城管执法部门应当委托具有鉴定资格的单位进行鉴定，出具鉴定结论。需要鉴定的证据数量较大时，可以采取抽样取证的方式进行。</w:t>
      </w:r>
    </w:p>
    <w:p>
      <w:pPr>
        <w:pStyle w:val="Normal"/>
        <w:widowControl w:val="false"/>
        <w:spacing w:lineRule="exact" w:line="600"/>
        <w:jc w:val="both"/>
        <w:rPr/>
      </w:pPr>
      <w:r>
        <w:rPr>
          <w:rFonts w:hint="eastAsia"/>
          <w:kern w:val="2"/>
        </w:rPr>
        <w:t>　　</w:t>
      </w:r>
      <w:r>
        <w:rPr>
          <w:kern w:val="2"/>
        </w:rPr>
        <w:t>抽样取证应当采取随机的方式，抽取样品的数量以能够认定本品的品质特征为限。</w:t>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第二十三条</w:t>
      </w:r>
      <w:r>
        <w:rPr>
          <w:rFonts w:hint="eastAsia"/>
          <w:kern w:val="2"/>
        </w:rPr>
        <w:t>　</w:t>
      </w:r>
      <w:r>
        <w:rPr>
          <w:kern w:val="2"/>
        </w:rPr>
        <w:t>城管执法部门作出行政处罚决定之前，应当依法告知当事人作出行政处罚决定的事实、理由、依据以及当事人依法享有的权利，听取当事人的陈述、申辩。当事人提出的事实、理由或者证据成立的，城管执法部门应当采纳。</w:t>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第二十四条</w:t>
      </w:r>
      <w:r>
        <w:rPr>
          <w:rFonts w:hint="eastAsia"/>
          <w:kern w:val="2"/>
        </w:rPr>
        <w:t>　</w:t>
      </w:r>
      <w:r>
        <w:rPr>
          <w:kern w:val="2"/>
        </w:rPr>
        <w:t>城管执法部门作出法律、法规规定要求听证的行政处罚决定之前，应当告知当事人有要求举行听证的权利；当事人要求听证的，城管执法部门应当组织听证。</w:t>
      </w:r>
    </w:p>
    <w:p>
      <w:pPr>
        <w:pStyle w:val="Normal"/>
        <w:widowControl w:val="false"/>
        <w:spacing w:lineRule="exact" w:line="600"/>
        <w:jc w:val="both"/>
        <w:rPr>
          <w:rFonts w:hint="eastAsia"/>
          <w:kern w:val="2"/>
        </w:rPr>
      </w:pPr>
      <w:r>
        <w:rPr>
          <w:rFonts w:hint="eastAsia"/>
          <w:kern w:val="2"/>
        </w:rPr>
        <w:t>　　</w:t>
      </w:r>
      <w:r>
        <w:rPr>
          <w:rFonts w:ascii="黑体;SimHei" w:hAnsi="黑体;SimHei" w:cs="黑体;SimHei" w:eastAsia="黑体;SimHei"/>
          <w:kern w:val="2"/>
        </w:rPr>
        <w:t>第二十五条</w:t>
      </w:r>
      <w:r>
        <w:rPr>
          <w:rFonts w:hint="eastAsia"/>
          <w:kern w:val="2"/>
        </w:rPr>
        <w:t>　</w:t>
      </w:r>
      <w:r>
        <w:rPr>
          <w:kern w:val="2"/>
        </w:rPr>
        <w:t>城管执法部门查处违法案件时，依照《中华人民共和国行政处罚法》规定，适用简易程序进行处罚的，可以当场作出处罚决定；适用一般程序进行处罚的，应当自立案之日起三十日内作出处罚决定。因特殊情况需要延长办案期限的，经城管执法部门负责人批准，可以延长三十日。</w:t>
      </w:r>
    </w:p>
    <w:p>
      <w:pPr>
        <w:pStyle w:val="Normal"/>
        <w:widowControl w:val="false"/>
        <w:spacing w:lineRule="exact" w:line="600"/>
        <w:ind w:firstLine="630" w:end="0"/>
        <w:jc w:val="both"/>
        <w:rPr/>
      </w:pPr>
      <w:r>
        <w:rPr>
          <w:rFonts w:ascii="黑体;SimHei" w:hAnsi="黑体;SimHei" w:cs="黑体;SimHei" w:eastAsia="黑体;SimHei"/>
          <w:kern w:val="2"/>
        </w:rPr>
        <w:t>第二十六条</w:t>
      </w:r>
      <w:r>
        <w:rPr>
          <w:rFonts w:hint="eastAsia"/>
          <w:kern w:val="2"/>
        </w:rPr>
        <w:t>　</w:t>
      </w:r>
      <w:r>
        <w:rPr>
          <w:kern w:val="2"/>
        </w:rPr>
        <w:t>城管执法部门应当根据违法行为造成的危害后果及违法行为人主观过错，在法定幅度内实施行政处罚；对违法情节轻微，未造成危害后果，并及时纠正的，不予行政处罚。</w:t>
      </w:r>
    </w:p>
    <w:p>
      <w:pPr>
        <w:pStyle w:val="Normal"/>
        <w:widowControl w:val="false"/>
        <w:spacing w:lineRule="exact" w:line="600"/>
        <w:jc w:val="both"/>
        <w:rPr/>
      </w:pPr>
      <w:r>
        <w:rPr>
          <w:rFonts w:hint="eastAsia"/>
          <w:kern w:val="2"/>
        </w:rPr>
        <w:t>　　</w:t>
      </w:r>
      <w:r>
        <w:rPr>
          <w:kern w:val="2"/>
        </w:rPr>
        <w:t>城管执法部门采取行政强制措施的，应当正确适用法律法规，选择适当的方式，最大限度的减少当事人的损失。采取其他方式可以达到行政管理目的的，不应实施行政强制措施。</w:t>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第二十七条</w:t>
      </w:r>
      <w:r>
        <w:rPr>
          <w:rFonts w:hint="eastAsia"/>
          <w:kern w:val="2"/>
        </w:rPr>
        <w:t>　</w:t>
      </w:r>
      <w:r>
        <w:rPr>
          <w:kern w:val="2"/>
        </w:rPr>
        <w:t>当事人逾期不履行行政处罚决定的，城管执法部门可依法强制执行或者申请人民法院强制执行。</w:t>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第二十八条</w:t>
      </w:r>
      <w:r>
        <w:rPr>
          <w:rFonts w:hint="eastAsia"/>
          <w:kern w:val="2"/>
        </w:rPr>
        <w:t>　</w:t>
      </w:r>
      <w:r>
        <w:rPr>
          <w:kern w:val="2"/>
        </w:rPr>
        <w:t>城管执法部门履行城市管理职责时，应当听取社会公众的意见，改进执法工作，为行政管理相对人提供帮助和便利。</w:t>
      </w:r>
    </w:p>
    <w:p>
      <w:pPr>
        <w:pStyle w:val="Normal"/>
        <w:widowControl w:val="false"/>
        <w:spacing w:lineRule="exact" w:line="600"/>
        <w:rPr>
          <w:kern w:val="2"/>
        </w:rPr>
      </w:pPr>
      <w:r>
        <w:rPr>
          <w:kern w:val="2"/>
        </w:rPr>
      </w:r>
    </w:p>
    <w:p>
      <w:pPr>
        <w:pStyle w:val="Normal"/>
        <w:widowControl w:val="false"/>
        <w:spacing w:lineRule="exact" w:line="600"/>
        <w:jc w:val="center"/>
        <w:rPr/>
      </w:pPr>
      <w:r>
        <w:rPr>
          <w:rFonts w:ascii="黑体;SimHei" w:hAnsi="黑体;SimHei" w:cs="黑体;SimHei" w:eastAsia="黑体;SimHei"/>
          <w:kern w:val="2"/>
        </w:rPr>
        <w:t>第四章</w:t>
      </w:r>
      <w:r>
        <w:rPr>
          <w:rFonts w:ascii="黑体;SimHei" w:hAnsi="黑体;SimHei" w:cs="黑体;SimHei" w:hint="eastAsia" w:eastAsia="黑体;SimHei"/>
          <w:kern w:val="2"/>
        </w:rPr>
        <w:t>　</w:t>
      </w:r>
      <w:r>
        <w:rPr>
          <w:rFonts w:ascii="黑体;SimHei" w:hAnsi="黑体;SimHei" w:cs="黑体;SimHei" w:eastAsia="黑体;SimHei"/>
          <w:kern w:val="2"/>
        </w:rPr>
        <w:t>执法配合</w:t>
      </w:r>
    </w:p>
    <w:p>
      <w:pPr>
        <w:pStyle w:val="Normal"/>
        <w:widowControl w:val="false"/>
        <w:spacing w:lineRule="exact" w:line="600"/>
        <w:rPr>
          <w:rFonts w:ascii="黑体;SimHei" w:hAnsi="黑体;SimHei" w:eastAsia="黑体;SimHei" w:cs="黑体;SimHei"/>
          <w:kern w:val="2"/>
        </w:rPr>
      </w:pPr>
      <w:r>
        <w:rPr>
          <w:rFonts w:eastAsia="黑体;SimHei" w:cs="黑体;SimHei" w:ascii="黑体;SimHei" w:hAnsi="黑体;SimHei"/>
          <w:kern w:val="2"/>
        </w:rPr>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第二十九条</w:t>
      </w:r>
      <w:r>
        <w:rPr>
          <w:rFonts w:hint="eastAsia"/>
          <w:kern w:val="2"/>
        </w:rPr>
        <w:t>　</w:t>
      </w:r>
      <w:r>
        <w:rPr>
          <w:kern w:val="2"/>
        </w:rPr>
        <w:t>市、区</w:t>
      </w:r>
      <w:r>
        <w:rPr>
          <w:rFonts w:hint="eastAsia"/>
          <w:kern w:val="2"/>
        </w:rPr>
        <w:t>县</w:t>
      </w:r>
      <w:r>
        <w:rPr>
          <w:kern w:val="2"/>
        </w:rPr>
        <w:t>人民政府应当建立健全城管执法协调机制，协调解决城管执法工作中的重大事项。</w:t>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第三十条</w:t>
      </w:r>
      <w:r>
        <w:rPr>
          <w:rFonts w:hint="eastAsia"/>
          <w:kern w:val="2"/>
        </w:rPr>
        <w:t>　</w:t>
      </w:r>
      <w:r>
        <w:rPr>
          <w:kern w:val="2"/>
        </w:rPr>
        <w:t>城管执法部门应当与有关行政管理部门建立城市管理信息共享平台，及时通报有关城市管理信息。</w:t>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第三十一条</w:t>
      </w:r>
      <w:r>
        <w:rPr>
          <w:rFonts w:hint="eastAsia"/>
          <w:kern w:val="2"/>
        </w:rPr>
        <w:t>　</w:t>
      </w:r>
      <w:r>
        <w:rPr>
          <w:kern w:val="2"/>
        </w:rPr>
        <w:t>城管执法部门与有关行政管理部门对城市管理工作中的重大或者专项整治活动，可以联合执法。</w:t>
      </w:r>
    </w:p>
    <w:p>
      <w:pPr>
        <w:pStyle w:val="Normal"/>
        <w:widowControl w:val="false"/>
        <w:spacing w:lineRule="exact" w:line="600"/>
        <w:jc w:val="both"/>
        <w:rPr>
          <w:rFonts w:hint="eastAsia"/>
          <w:kern w:val="2"/>
        </w:rPr>
      </w:pPr>
      <w:r>
        <w:rPr>
          <w:rFonts w:hint="eastAsia"/>
          <w:kern w:val="2"/>
        </w:rPr>
        <w:t>　　</w:t>
      </w:r>
      <w:r>
        <w:rPr>
          <w:rFonts w:ascii="黑体;SimHei" w:hAnsi="黑体;SimHei" w:cs="黑体;SimHei" w:eastAsia="黑体;SimHei"/>
          <w:kern w:val="2"/>
        </w:rPr>
        <w:t>第三十二条</w:t>
      </w:r>
      <w:r>
        <w:rPr>
          <w:rFonts w:hint="eastAsia"/>
          <w:kern w:val="2"/>
        </w:rPr>
        <w:t>　</w:t>
      </w:r>
      <w:r>
        <w:rPr>
          <w:kern w:val="2"/>
        </w:rPr>
        <w:t>城管执法部门在调查取证过程中，需要有关行政管理部门提供有关资料的，有关行政管理部门应当积极配合。</w:t>
      </w:r>
    </w:p>
    <w:p>
      <w:pPr>
        <w:pStyle w:val="Normal"/>
        <w:widowControl w:val="false"/>
        <w:spacing w:lineRule="exact" w:line="600"/>
        <w:ind w:firstLine="630" w:end="0"/>
        <w:jc w:val="both"/>
        <w:rPr/>
      </w:pPr>
      <w:r>
        <w:rPr>
          <w:rFonts w:ascii="黑体;SimHei" w:hAnsi="黑体;SimHei" w:cs="黑体;SimHei" w:eastAsia="黑体;SimHei"/>
          <w:kern w:val="2"/>
        </w:rPr>
        <w:t>第三十三条</w:t>
      </w:r>
      <w:r>
        <w:rPr>
          <w:rFonts w:hint="eastAsia"/>
          <w:kern w:val="2"/>
        </w:rPr>
        <w:t>　审</w:t>
      </w:r>
      <w:r>
        <w:rPr>
          <w:kern w:val="2"/>
        </w:rPr>
        <w:t>批与城管执法有关的事项，有关行政管理部门应当自作出行政许可决定之日起三日内，将行政许可决定和相关资料告知或者抄送同级城管执法部门。</w:t>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第三十四条</w:t>
      </w:r>
      <w:r>
        <w:rPr>
          <w:rFonts w:hint="eastAsia"/>
          <w:kern w:val="2"/>
        </w:rPr>
        <w:t>　</w:t>
      </w:r>
      <w:r>
        <w:rPr>
          <w:kern w:val="2"/>
        </w:rPr>
        <w:t>城管执法部门和有关行政管理部门在执法过程中，发现违法行为不属于本部门管辖范围内的，应当告知或者移送有管辖权的部门处理。</w:t>
      </w:r>
    </w:p>
    <w:p>
      <w:pPr>
        <w:pStyle w:val="Normal"/>
        <w:widowControl w:val="false"/>
        <w:spacing w:lineRule="exact" w:line="600"/>
        <w:rPr>
          <w:kern w:val="2"/>
        </w:rPr>
      </w:pPr>
      <w:r>
        <w:rPr>
          <w:kern w:val="2"/>
        </w:rPr>
      </w:r>
    </w:p>
    <w:p>
      <w:pPr>
        <w:pStyle w:val="Normal"/>
        <w:widowControl w:val="false"/>
        <w:spacing w:lineRule="exact" w:line="600"/>
        <w:jc w:val="center"/>
        <w:rPr/>
      </w:pPr>
      <w:r>
        <w:rPr>
          <w:rFonts w:ascii="黑体;SimHei" w:hAnsi="黑体;SimHei" w:cs="黑体;SimHei" w:eastAsia="黑体;SimHei"/>
          <w:kern w:val="2"/>
        </w:rPr>
        <w:t>第五章</w:t>
      </w:r>
      <w:r>
        <w:rPr>
          <w:rFonts w:ascii="黑体;SimHei" w:hAnsi="黑体;SimHei" w:cs="黑体;SimHei" w:hint="eastAsia" w:eastAsia="黑体;SimHei"/>
          <w:kern w:val="2"/>
        </w:rPr>
        <w:t>　</w:t>
      </w:r>
      <w:r>
        <w:rPr>
          <w:rFonts w:ascii="黑体;SimHei" w:hAnsi="黑体;SimHei" w:cs="黑体;SimHei" w:eastAsia="黑体;SimHei"/>
          <w:kern w:val="2"/>
        </w:rPr>
        <w:t>执法监督</w:t>
      </w:r>
    </w:p>
    <w:p>
      <w:pPr>
        <w:pStyle w:val="Normal"/>
        <w:widowControl w:val="false"/>
        <w:spacing w:lineRule="exact" w:line="600"/>
        <w:rPr>
          <w:rFonts w:ascii="黑体;SimHei" w:hAnsi="黑体;SimHei" w:eastAsia="黑体;SimHei" w:cs="黑体;SimHei"/>
          <w:kern w:val="2"/>
        </w:rPr>
      </w:pPr>
      <w:r>
        <w:rPr>
          <w:rFonts w:eastAsia="黑体;SimHei" w:cs="黑体;SimHei" w:ascii="黑体;SimHei" w:hAnsi="黑体;SimHei"/>
          <w:kern w:val="2"/>
        </w:rPr>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第三十五条</w:t>
      </w:r>
      <w:r>
        <w:rPr>
          <w:rFonts w:hint="eastAsia"/>
          <w:kern w:val="2"/>
        </w:rPr>
        <w:t>　</w:t>
      </w:r>
      <w:r>
        <w:rPr>
          <w:kern w:val="2"/>
        </w:rPr>
        <w:t>上级城管执法部门发现下级城管执法部门行政行为不当或者违法的，应当责令改正。上级城管执法部门发现下级城管执法部门不查处有关违法行为的，应当责令其查处或者直接查处。</w:t>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第三十六条</w:t>
      </w:r>
      <w:r>
        <w:rPr>
          <w:rFonts w:hint="eastAsia"/>
          <w:kern w:val="2"/>
        </w:rPr>
        <w:t>　</w:t>
      </w:r>
      <w:r>
        <w:rPr>
          <w:kern w:val="2"/>
        </w:rPr>
        <w:t>城管执法部门应当将职责范围、执法依据、处罚标准、执法程序等予以公开，接受社会公众监督。</w:t>
      </w:r>
    </w:p>
    <w:p>
      <w:pPr>
        <w:pStyle w:val="Normal"/>
        <w:widowControl w:val="false"/>
        <w:spacing w:lineRule="exact" w:line="600"/>
        <w:jc w:val="both"/>
        <w:rPr/>
      </w:pPr>
      <w:r>
        <w:rPr>
          <w:rFonts w:hint="eastAsia"/>
          <w:kern w:val="2"/>
        </w:rPr>
        <w:t>　　</w:t>
      </w:r>
      <w:r>
        <w:rPr>
          <w:kern w:val="2"/>
        </w:rPr>
        <w:t>公民、法人和其他组织发现城管执法部门不严格执法或者有违法违纪行为的，有权向有关机关检举、控告。</w:t>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第三十七条</w:t>
      </w:r>
      <w:r>
        <w:rPr>
          <w:rFonts w:hint="eastAsia"/>
          <w:kern w:val="2"/>
        </w:rPr>
        <w:t>　</w:t>
      </w:r>
      <w:r>
        <w:rPr>
          <w:kern w:val="2"/>
        </w:rPr>
        <w:t>城管执法部门应当建立和完善内部行政执法监督机制，实行行政执法监督检查、评议考核、督办督察、责任追究等监督制度，保证和监督城管执法人员依法履行职责。</w:t>
      </w:r>
    </w:p>
    <w:p>
      <w:pPr>
        <w:pStyle w:val="Normal"/>
        <w:widowControl w:val="false"/>
        <w:spacing w:lineRule="exact" w:line="600"/>
        <w:jc w:val="both"/>
        <w:rPr>
          <w:rFonts w:hint="eastAsia"/>
          <w:kern w:val="2"/>
        </w:rPr>
      </w:pPr>
      <w:r>
        <w:rPr>
          <w:rFonts w:hint="eastAsia"/>
          <w:kern w:val="2"/>
        </w:rPr>
        <w:t>　　</w:t>
      </w:r>
      <w:r>
        <w:rPr>
          <w:kern w:val="2"/>
        </w:rPr>
        <w:t>城管执法部门对其职责范围内的检举、控告，应当及时核实处理，并反馈处理结果。</w:t>
      </w:r>
    </w:p>
    <w:p>
      <w:pPr>
        <w:pStyle w:val="Normal"/>
        <w:widowControl w:val="false"/>
        <w:spacing w:lineRule="exact" w:line="600"/>
        <w:rPr>
          <w:rFonts w:hint="eastAsia"/>
          <w:kern w:val="2"/>
        </w:rPr>
      </w:pPr>
      <w:r>
        <w:rPr>
          <w:rFonts w:hint="eastAsia"/>
          <w:kern w:val="2"/>
        </w:rPr>
      </w:r>
    </w:p>
    <w:p>
      <w:pPr>
        <w:pStyle w:val="Normal"/>
        <w:widowControl w:val="false"/>
        <w:spacing w:lineRule="exact" w:line="600"/>
        <w:jc w:val="center"/>
        <w:rPr/>
      </w:pPr>
      <w:r>
        <w:rPr>
          <w:rFonts w:ascii="黑体;SimHei" w:hAnsi="黑体;SimHei" w:cs="黑体;SimHei" w:eastAsia="黑体;SimHei"/>
          <w:kern w:val="2"/>
        </w:rPr>
        <w:t>第六章</w:t>
      </w:r>
      <w:r>
        <w:rPr>
          <w:rFonts w:ascii="黑体;SimHei" w:hAnsi="黑体;SimHei" w:cs="黑体;SimHei" w:hint="eastAsia" w:eastAsia="黑体;SimHei"/>
          <w:kern w:val="2"/>
        </w:rPr>
        <w:t>　</w:t>
      </w:r>
      <w:r>
        <w:rPr>
          <w:rFonts w:ascii="黑体;SimHei" w:hAnsi="黑体;SimHei" w:cs="黑体;SimHei" w:eastAsia="黑体;SimHei"/>
          <w:kern w:val="2"/>
        </w:rPr>
        <w:t>法律责任</w:t>
      </w:r>
    </w:p>
    <w:p>
      <w:pPr>
        <w:pStyle w:val="Normal"/>
        <w:widowControl w:val="false"/>
        <w:spacing w:lineRule="exact" w:line="600"/>
        <w:rPr>
          <w:rFonts w:ascii="黑体;SimHei" w:hAnsi="黑体;SimHei" w:eastAsia="黑体;SimHei" w:cs="黑体;SimHei"/>
          <w:kern w:val="2"/>
        </w:rPr>
      </w:pPr>
      <w:r>
        <w:rPr>
          <w:rFonts w:eastAsia="黑体;SimHei" w:cs="黑体;SimHei" w:ascii="黑体;SimHei" w:hAnsi="黑体;SimHei"/>
          <w:kern w:val="2"/>
        </w:rPr>
      </w:r>
    </w:p>
    <w:p>
      <w:pPr>
        <w:pStyle w:val="Normal"/>
        <w:widowControl w:val="false"/>
        <w:spacing w:lineRule="exact" w:line="600"/>
        <w:jc w:val="both"/>
        <w:rPr>
          <w:kern w:val="2"/>
        </w:rPr>
      </w:pPr>
      <w:r>
        <w:rPr>
          <w:rFonts w:hint="eastAsia"/>
          <w:kern w:val="2"/>
        </w:rPr>
        <w:t>　　</w:t>
      </w:r>
      <w:r>
        <w:rPr>
          <w:rFonts w:ascii="黑体;SimHei" w:hAnsi="黑体;SimHei" w:cs="黑体;SimHei" w:eastAsia="黑体;SimHei"/>
          <w:kern w:val="2"/>
        </w:rPr>
        <w:t>第三十</w:t>
      </w:r>
      <w:r>
        <w:rPr>
          <w:rFonts w:ascii="黑体;SimHei" w:hAnsi="黑体;SimHei" w:cs="黑体;SimHei" w:hint="eastAsia" w:eastAsia="黑体;SimHei"/>
          <w:kern w:val="2"/>
        </w:rPr>
        <w:t>八</w:t>
      </w:r>
      <w:r>
        <w:rPr>
          <w:rFonts w:ascii="黑体;SimHei" w:hAnsi="黑体;SimHei" w:cs="黑体;SimHei" w:eastAsia="黑体;SimHei"/>
          <w:kern w:val="2"/>
        </w:rPr>
        <w:t>条</w:t>
      </w:r>
      <w:r>
        <w:rPr>
          <w:rFonts w:hint="eastAsia"/>
          <w:kern w:val="2"/>
        </w:rPr>
        <w:t>　</w:t>
      </w:r>
      <w:r>
        <w:rPr>
          <w:kern w:val="2"/>
        </w:rPr>
        <w:t>城管执法部门及其工作人员滥用职权、玩忽职守、徇私舞弊，有下列情形之一的，对直接负责的主管人员和其他直接责任人员依法给予处分；构成犯罪的，依法追究刑事责任</w:t>
      </w:r>
      <w:r>
        <w:rPr>
          <w:rFonts w:hint="eastAsia"/>
          <w:kern w:val="2"/>
        </w:rPr>
        <w:t>：</w:t>
      </w:r>
    </w:p>
    <w:p>
      <w:pPr>
        <w:pStyle w:val="Normal"/>
        <w:widowControl w:val="false"/>
        <w:spacing w:lineRule="exact" w:line="600"/>
        <w:ind w:firstLine="630" w:end="0"/>
        <w:jc w:val="both"/>
        <w:rPr>
          <w:rFonts w:hint="eastAsia"/>
          <w:kern w:val="2"/>
        </w:rPr>
      </w:pPr>
      <w:r>
        <w:rPr>
          <w:kern w:val="2"/>
        </w:rPr>
        <w:t>（一）无法定依据或者不遵守法定程序实施行政处罚的；</w:t>
      </w:r>
    </w:p>
    <w:p>
      <w:pPr>
        <w:pStyle w:val="Normal"/>
        <w:widowControl w:val="false"/>
        <w:spacing w:lineRule="exact" w:line="600"/>
        <w:ind w:firstLine="630" w:end="0"/>
        <w:jc w:val="both"/>
        <w:rPr>
          <w:rFonts w:hint="eastAsia"/>
          <w:kern w:val="2"/>
        </w:rPr>
      </w:pPr>
      <w:r>
        <w:rPr>
          <w:kern w:val="2"/>
        </w:rPr>
        <w:t>（二）无法定事由或者违反法定程序擅自改变已作出的行政处罚决定的；</w:t>
      </w:r>
    </w:p>
    <w:p>
      <w:pPr>
        <w:pStyle w:val="Normal"/>
        <w:widowControl w:val="false"/>
        <w:spacing w:lineRule="exact" w:line="600"/>
        <w:ind w:firstLine="630" w:end="0"/>
        <w:jc w:val="both"/>
        <w:rPr>
          <w:kern w:val="2"/>
        </w:rPr>
      </w:pPr>
      <w:r>
        <w:rPr>
          <w:kern w:val="2"/>
        </w:rPr>
        <w:t>（三）刁难、侮辱、殴打或者唆使他人殴打当事人的；</w:t>
      </w:r>
    </w:p>
    <w:p>
      <w:pPr>
        <w:pStyle w:val="Normal"/>
        <w:widowControl w:val="false"/>
        <w:spacing w:lineRule="exact" w:line="600"/>
        <w:ind w:firstLine="630" w:end="0"/>
        <w:jc w:val="both"/>
        <w:rPr>
          <w:rFonts w:hint="eastAsia"/>
          <w:kern w:val="2"/>
        </w:rPr>
      </w:pPr>
      <w:r>
        <w:rPr>
          <w:kern w:val="2"/>
        </w:rPr>
        <w:t>（四）故意损毁当事人财物的；</w:t>
      </w:r>
    </w:p>
    <w:p>
      <w:pPr>
        <w:pStyle w:val="Normal"/>
        <w:widowControl w:val="false"/>
        <w:spacing w:lineRule="exact" w:line="600"/>
        <w:ind w:firstLine="630" w:end="0"/>
        <w:jc w:val="both"/>
        <w:rPr>
          <w:rFonts w:hint="eastAsia"/>
          <w:kern w:val="2"/>
        </w:rPr>
      </w:pPr>
      <w:r>
        <w:rPr>
          <w:kern w:val="2"/>
        </w:rPr>
        <w:t>（五）截留、挪用、私分罚款或者扣押、没收财物的；</w:t>
      </w:r>
    </w:p>
    <w:p>
      <w:pPr>
        <w:pStyle w:val="Normal"/>
        <w:widowControl w:val="false"/>
        <w:spacing w:lineRule="exact" w:line="600"/>
        <w:ind w:firstLine="630" w:end="0"/>
        <w:jc w:val="both"/>
        <w:rPr>
          <w:kern w:val="2"/>
        </w:rPr>
      </w:pPr>
      <w:r>
        <w:rPr>
          <w:kern w:val="2"/>
        </w:rPr>
        <w:t>（六）索要、收受他人财物的；</w:t>
      </w:r>
    </w:p>
    <w:p>
      <w:pPr>
        <w:pStyle w:val="Normal"/>
        <w:widowControl w:val="false"/>
        <w:spacing w:lineRule="exact" w:line="600"/>
        <w:ind w:firstLine="630" w:end="0"/>
        <w:jc w:val="both"/>
        <w:rPr>
          <w:rFonts w:hint="eastAsia"/>
          <w:kern w:val="2"/>
        </w:rPr>
      </w:pPr>
      <w:r>
        <w:rPr>
          <w:kern w:val="2"/>
        </w:rPr>
        <w:t>（七）要求当事人承担非法定义务的；</w:t>
      </w:r>
    </w:p>
    <w:p>
      <w:pPr>
        <w:pStyle w:val="Normal"/>
        <w:widowControl w:val="false"/>
        <w:spacing w:lineRule="exact" w:line="600"/>
        <w:ind w:firstLine="630" w:end="0"/>
        <w:jc w:val="both"/>
        <w:rPr>
          <w:rFonts w:hint="eastAsia"/>
          <w:kern w:val="2"/>
        </w:rPr>
      </w:pPr>
      <w:r>
        <w:rPr>
          <w:kern w:val="2"/>
        </w:rPr>
        <w:t>（八）有其他违法执法行为的。</w:t>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w:t>
      </w:r>
      <w:r>
        <w:rPr>
          <w:rFonts w:ascii="黑体;SimHei" w:hAnsi="黑体;SimHei" w:cs="黑体;SimHei" w:hint="eastAsia" w:eastAsia="黑体;SimHei"/>
          <w:kern w:val="2"/>
        </w:rPr>
        <w:t>三十九</w:t>
      </w:r>
      <w:r>
        <w:rPr>
          <w:rFonts w:ascii="黑体;SimHei" w:hAnsi="黑体;SimHei" w:cs="黑体;SimHei" w:eastAsia="黑体;SimHei"/>
          <w:kern w:val="2"/>
        </w:rPr>
        <w:t>条</w:t>
      </w:r>
      <w:r>
        <w:rPr>
          <w:rFonts w:hint="eastAsia"/>
          <w:kern w:val="2"/>
        </w:rPr>
        <w:t>　</w:t>
      </w:r>
      <w:r>
        <w:rPr>
          <w:kern w:val="2"/>
        </w:rPr>
        <w:t>城管执法部门及其执法人员违法行使职权，损害公民、法人或者其他组织合法权益的，应当依法赔偿。</w:t>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第四十条</w:t>
      </w:r>
      <w:r>
        <w:rPr>
          <w:rFonts w:hint="eastAsia"/>
          <w:kern w:val="2"/>
        </w:rPr>
        <w:t>　</w:t>
      </w:r>
      <w:r>
        <w:rPr>
          <w:kern w:val="2"/>
        </w:rPr>
        <w:t>行政管理部门违反本条例规定，仍行使已交由城管执法部门集中行使的行政处罚权的，对直接负责的主管人员和其他直接责任人员依法给予处分。</w:t>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第四十一条</w:t>
      </w:r>
      <w:r>
        <w:rPr>
          <w:rFonts w:hint="eastAsia"/>
          <w:kern w:val="2"/>
        </w:rPr>
        <w:t>　</w:t>
      </w:r>
      <w:r>
        <w:rPr>
          <w:kern w:val="2"/>
        </w:rPr>
        <w:t>拒绝、阻碍城管执法人员执行公务的，由公安机关依据《中华人民共和国治安管理处罚法》予以处罚；构成犯罪的，依法追究刑事责任。</w:t>
      </w:r>
    </w:p>
    <w:p>
      <w:pPr>
        <w:pStyle w:val="Normal"/>
        <w:widowControl w:val="false"/>
        <w:spacing w:lineRule="exact" w:line="600"/>
        <w:rPr>
          <w:kern w:val="2"/>
        </w:rPr>
      </w:pPr>
      <w:r>
        <w:rPr>
          <w:kern w:val="2"/>
        </w:rPr>
      </w:r>
    </w:p>
    <w:p>
      <w:pPr>
        <w:pStyle w:val="Normal"/>
        <w:widowControl w:val="false"/>
        <w:spacing w:lineRule="exact" w:line="600"/>
        <w:jc w:val="center"/>
        <w:rPr/>
      </w:pPr>
      <w:r>
        <w:rPr>
          <w:rFonts w:ascii="黑体;SimHei" w:hAnsi="黑体;SimHei" w:cs="黑体;SimHei" w:eastAsia="黑体;SimHei"/>
          <w:kern w:val="2"/>
        </w:rPr>
        <w:t>第七章</w:t>
      </w:r>
      <w:r>
        <w:rPr>
          <w:rFonts w:ascii="黑体;SimHei" w:hAnsi="黑体;SimHei" w:cs="黑体;SimHei" w:hint="eastAsia" w:eastAsia="黑体;SimHei"/>
          <w:kern w:val="2"/>
        </w:rPr>
        <w:t>　</w:t>
      </w:r>
      <w:r>
        <w:rPr>
          <w:rFonts w:ascii="黑体;SimHei" w:hAnsi="黑体;SimHei" w:cs="黑体;SimHei" w:eastAsia="黑体;SimHei"/>
          <w:kern w:val="2"/>
        </w:rPr>
        <w:t>附</w:t>
      </w:r>
      <w:r>
        <w:rPr>
          <w:rFonts w:ascii="黑体;SimHei" w:hAnsi="黑体;SimHei" w:cs="黑体;SimHei" w:hint="eastAsia" w:eastAsia="黑体;SimHei"/>
          <w:kern w:val="2"/>
        </w:rPr>
        <w:t xml:space="preserve">  </w:t>
      </w:r>
      <w:r>
        <w:rPr>
          <w:rFonts w:ascii="黑体;SimHei" w:hAnsi="黑体;SimHei" w:cs="黑体;SimHei" w:eastAsia="黑体;SimHei"/>
          <w:kern w:val="2"/>
        </w:rPr>
        <w:t>则</w:t>
      </w:r>
    </w:p>
    <w:p>
      <w:pPr>
        <w:pStyle w:val="Normal"/>
        <w:widowControl w:val="false"/>
        <w:spacing w:lineRule="exact" w:line="600"/>
        <w:rPr>
          <w:rFonts w:ascii="黑体;SimHei" w:hAnsi="黑体;SimHei" w:eastAsia="黑体;SimHei" w:cs="黑体;SimHei"/>
          <w:kern w:val="2"/>
        </w:rPr>
      </w:pPr>
      <w:r>
        <w:rPr>
          <w:rFonts w:eastAsia="黑体;SimHei" w:cs="黑体;SimHei" w:ascii="黑体;SimHei" w:hAnsi="黑体;SimHei"/>
          <w:kern w:val="2"/>
        </w:rPr>
      </w:r>
    </w:p>
    <w:p>
      <w:pPr>
        <w:pStyle w:val="Normal"/>
        <w:widowControl w:val="false"/>
        <w:spacing w:lineRule="exact" w:line="600"/>
        <w:rPr/>
      </w:pPr>
      <w:r>
        <w:rPr>
          <w:rFonts w:hint="eastAsia"/>
          <w:kern w:val="2"/>
        </w:rPr>
        <w:t>　　</w:t>
      </w:r>
      <w:r>
        <w:rPr>
          <w:rFonts w:ascii="黑体;SimHei" w:hAnsi="黑体;SimHei" w:cs="黑体;SimHei" w:hint="eastAsia" w:eastAsia="黑体;SimHei"/>
          <w:kern w:val="2"/>
        </w:rPr>
        <w:t>第四十</w:t>
      </w:r>
      <w:r>
        <w:rPr>
          <w:rFonts w:ascii="黑体;SimHei" w:hAnsi="黑体;SimHei" w:cs="黑体;SimHei" w:eastAsia="黑体;SimHei"/>
          <w:kern w:val="2"/>
        </w:rPr>
        <w:t>二</w:t>
      </w:r>
      <w:r>
        <w:rPr>
          <w:rFonts w:ascii="黑体;SimHei" w:hAnsi="黑体;SimHei" w:cs="黑体;SimHei" w:hint="eastAsia" w:eastAsia="黑体;SimHei"/>
          <w:kern w:val="2"/>
        </w:rPr>
        <w:t>条</w:t>
      </w:r>
      <w:r>
        <w:rPr>
          <w:rFonts w:hint="eastAsia"/>
          <w:kern w:val="2"/>
        </w:rPr>
        <w:t>　</w:t>
      </w:r>
      <w:r>
        <w:rPr>
          <w:kern w:val="2"/>
        </w:rPr>
        <w:t>本条例自</w:t>
      </w:r>
      <w:r>
        <w:rPr>
          <w:kern w:val="2"/>
        </w:rPr>
        <w:t>2009</w:t>
      </w:r>
      <w:r>
        <w:rPr>
          <w:kern w:val="2"/>
        </w:rPr>
        <w:t>年</w:t>
      </w:r>
      <w:r>
        <w:rPr>
          <w:kern w:val="2"/>
        </w:rPr>
        <w:t>2</w:t>
      </w:r>
      <w:r>
        <w:rPr>
          <w:kern w:val="2"/>
        </w:rPr>
        <w:t>月</w:t>
      </w:r>
      <w:r>
        <w:rPr>
          <w:kern w:val="2"/>
        </w:rPr>
        <w:t>1</w:t>
      </w:r>
      <w:r>
        <w:rPr>
          <w:kern w:val="2"/>
        </w:rPr>
        <w:t>日起施行。</w:t>
      </w:r>
    </w:p>
    <w:p>
      <w:pPr>
        <w:pStyle w:val="Normal"/>
        <w:widowControl w:val="false"/>
        <w:spacing w:lineRule="exact" w:line="600"/>
        <w:rPr>
          <w:kern w:val="2"/>
        </w:rPr>
      </w:pPr>
      <w:r>
        <w:rPr>
          <w:kern w:val="2"/>
        </w:rPr>
      </w:r>
    </w:p>
    <w:sectPr>
      <w:footerReference w:type="default" r:id="rId2"/>
      <w:type w:val="nextPage"/>
      <w:pgSz w:w="11906" w:h="16838"/>
      <w:pgMar w:left="1531" w:right="1531" w:gutter="0" w:header="0" w:top="2041" w:footer="1361" w:bottom="1588"/>
      <w:pgNumType w:fmt="decimal"/>
      <w:formProt w:val="false"/>
      <w:textDirection w:val="lrTb"/>
      <w:docGrid w:type="line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Liberation Sans">
    <w:altName w:val="Arial"/>
    <w:charset w:val="01" w:characterSet="utf-8"/>
    <w:family w:val="swiss"/>
    <w:pitch w:val="variable"/>
  </w:font>
  <w:font w:name="华文中宋">
    <w:charset w:val="86"/>
    <w:family w:val="auto"/>
    <w:pitch w:val="variable"/>
  </w:font>
  <w:font w:name="楷体_GB2312">
    <w:charset w:val="86"/>
    <w:family w:val="modern"/>
    <w:pitch w:val="default"/>
  </w:font>
  <w:font w:name="宋体">
    <w:altName w:val="SimSun"/>
    <w:charset w:val="86"/>
    <w:family w:val="auto"/>
    <w:pitch w:val="variable"/>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65151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651510" cy="302260"/>
                      </a:xfrm>
                      <a:prstGeom prst="rect"/>
                      <a:solidFill>
                        <a:srgbClr val="FFFFFF">
                          <a:alpha val="0"/>
                        </a:srgbClr>
                      </a:solidFill>
                    </wps:spPr>
                    <wps:txbx>
                      <w:txbxContent>
                        <w:p>
                          <w:pPr>
                            <w:pStyle w:val="Footer"/>
                            <w:widowControl w:val="false"/>
                            <w:rPr>
                              <w:rStyle w:val="PageNumber"/>
                              <w:rFonts w:ascii="宋体;SimSun" w:hAnsi="宋体;SimSun" w:eastAsia="宋体;SimSun" w:cs="宋体;SimSun"/>
                              <w:sz w:val="28"/>
                              <w:szCs w:val="28"/>
                            </w:rPr>
                          </w:pPr>
                          <w:r>
                            <w:rPr>
                              <w:rStyle w:val="PageNumber"/>
                              <w:rFonts w:eastAsia="宋体;SimSun" w:cs="宋体;SimSun" w:hint="eastAsia" w:ascii="宋体;SimSun" w:hAnsi="宋体;SimSun"/>
                              <w:sz w:val="28"/>
                              <w:szCs w:val="28"/>
                            </w:rPr>
                            <w:t xml:space="preserve">— </w:t>
                          </w: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12</w:t>
                          </w:r>
                          <w:r>
                            <w:rPr>
                              <w:rStyle w:val="PageNumbe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widowControl w:val="false"/>
                      <w:rPr>
                        <w:rStyle w:val="PageNumber"/>
                        <w:rFonts w:ascii="宋体;SimSun" w:hAnsi="宋体;SimSun" w:eastAsia="宋体;SimSun" w:cs="宋体;SimSun"/>
                        <w:sz w:val="28"/>
                        <w:szCs w:val="28"/>
                      </w:rPr>
                    </w:pPr>
                    <w:r>
                      <w:rPr>
                        <w:rStyle w:val="PageNumber"/>
                        <w:rFonts w:eastAsia="宋体;SimSun" w:cs="宋体;SimSun" w:hint="eastAsia" w:ascii="宋体;SimSun" w:hAnsi="宋体;SimSun"/>
                        <w:sz w:val="28"/>
                        <w:szCs w:val="28"/>
                      </w:rPr>
                      <w:t xml:space="preserve">— </w:t>
                    </w: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12</w:t>
                    </w:r>
                    <w:r>
                      <w:rPr>
                        <w:rStyle w:val="PageNumbe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pPr>
    <w:rPr>
      <w:rFonts w:ascii="仿宋_GB2312" w:hAnsi="仿宋_GB2312" w:eastAsia="仿宋_GB2312" w:cs="仿宋_GB2312"/>
      <w:color w:val="auto"/>
      <w:sz w:val="32"/>
      <w:szCs w:val="32"/>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Doc2.dot</Template>
  <TotalTime>68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2017-02-03T23:48:00Z</dcterms:created>
  <dc:creator>lenovo</dc:creator>
  <dc:description/>
  <cp:keywords/>
  <dc:language>en-US</dc:language>
  <cp:lastModifiedBy>Administrator</cp:lastModifiedBy>
  <cp:lastPrinted>2020-12-01T09:28:00Z</cp:lastPrinted>
  <dcterms:modified xsi:type="dcterms:W3CDTF">2020-12-29T11:03:00Z</dcterms:modified>
  <cp:revision>34</cp:revision>
  <dc:subject/>
  <dc:title>西安市城市管理综合行政执法条例</dc:title>
</cp:coreProperties>
</file>